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tabs>
          <w:tab w:val="left" w:pos="2700" w:leader="none"/>
          <w:tab w:val="right" w:pos="936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Додаток до рішення 10 сесії Менської міської ради 8 скликання від 21.09.2021 року №____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/>
    </w:p>
    <w:p>
      <w:pPr>
        <w:numPr>
          <w:ilvl w:val="0"/>
          <w:numId w:val="1"/>
        </w:numPr>
        <w:ind w:left="5245" w:hanging="6"/>
        <w:jc w:val="right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56"/>
          <w:szCs w:val="56"/>
        </w:rPr>
      </w:pPr>
      <w:r>
        <w:rPr>
          <w:rFonts w:ascii="Times New Roman" w:hAnsi="Times New Roman" w:eastAsia="Times New Roman"/>
          <w:b/>
          <w:sz w:val="56"/>
          <w:szCs w:val="56"/>
        </w:rPr>
        <w:t xml:space="preserve">П</w:t>
      </w:r>
      <w:r>
        <w:rPr>
          <w:rFonts w:ascii="Times New Roman" w:hAnsi="Times New Roman" w:eastAsia="Times New Roman"/>
          <w:b/>
          <w:sz w:val="56"/>
          <w:szCs w:val="56"/>
        </w:rPr>
        <w:t xml:space="preserve">рограма «Громадське бюджетування (бюджет участі) в Менській міській територіальній громаді на 2022 - 2024 роки» </w:t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0" w:right="0" w:firstLine="0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м. Мена </w:t>
      </w:r>
      <w:r/>
    </w:p>
    <w:p>
      <w:pPr>
        <w:ind w:left="0" w:right="0" w:firstLine="0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2021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ПАСПОРТ</w:t>
      </w:r>
      <w:r/>
    </w:p>
    <w:p>
      <w:pPr>
        <w:ind w:left="0" w:right="0" w:firstLine="0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програми «Громадське бюджетування (бюджет участі) в Менській міській територіальній громаді на 2022 - 2024 року»</w:t>
      </w:r>
      <w:r/>
    </w:p>
    <w:p>
      <w:pPr>
        <w:ind w:left="432" w:firstLine="0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Style w:val="824"/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55"/>
        <w:gridCol w:w="598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Міський голова, секретар ради, депутати Менської міської ради, 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Назва, дата і номер розпорядчого документа органу виконавчої влади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Закони України «Про місцеве самоврядування в Україні», Бюджетний кодекс України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Брали участь у розробці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Бюджет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Орієнтовний обсяг коштів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2022 р. – 500,00 тис. грн.</w:t>
            </w:r>
            <w:r/>
          </w:p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2023 р. – 500,00 тис. грн.</w:t>
            </w:r>
            <w:r/>
          </w:p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2024 р. - 500,00 тис. грн.</w:t>
            </w:r>
            <w:r/>
          </w:p>
        </w:tc>
      </w:tr>
    </w:tbl>
    <w:p>
      <w:pPr>
        <w:ind w:left="720" w:right="57"/>
        <w:jc w:val="right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432" w:right="57"/>
        <w:jc w:val="center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Програма «Громадське бюджетування (бюджет участі) в Менській міській територіальній громаді на 2022 - 2024 роки»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І. Загальні положення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рограма «Громадське бюджетування (бюджет участі) в Менській міській </w:t>
      </w:r>
      <w:r>
        <w:rPr>
          <w:sz w:val="28"/>
          <w:szCs w:val="28"/>
        </w:rPr>
        <w:t xml:space="preserve">територіальній </w:t>
      </w:r>
      <w:r>
        <w:rPr>
          <w:rFonts w:ascii="Times New Roman" w:hAnsi="Times New Roman" w:eastAsia="Times New Roman"/>
          <w:sz w:val="28"/>
          <w:szCs w:val="28"/>
        </w:rPr>
        <w:t xml:space="preserve">громаді на 2022 -</w:t>
      </w:r>
      <w:r>
        <w:rPr>
          <w:rFonts w:ascii="Times New Roman" w:hAnsi="Times New Roman" w:eastAsia="Times New Roman"/>
          <w:sz w:val="28"/>
          <w:szCs w:val="28"/>
        </w:rPr>
        <w:t xml:space="preserve"> 2024 роки» (далі - Програма) встановлює та регулює систему взаємодії виконавчих органів Менської міської ради та жителів населених пунктів Менської міської територіальної громади (далі – Громади) щодо реалізації проектів за рахунок коштів бюджету громади.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Програма </w:t>
      </w:r>
      <w:r>
        <w:rPr>
          <w:rFonts w:ascii="Times New Roman" w:hAnsi="Times New Roman" w:eastAsia="Times New Roman"/>
          <w:sz w:val="28"/>
          <w:szCs w:val="28"/>
        </w:rPr>
        <w:t xml:space="preserve">розроблен</w:t>
      </w:r>
      <w:r>
        <w:rPr>
          <w:rFonts w:ascii="Times New Roman" w:hAnsi="Times New Roman" w:eastAsia="Times New Roman"/>
          <w:sz w:val="28"/>
          <w:szCs w:val="28"/>
        </w:rPr>
        <w:t xml:space="preserve">а відповідно до норм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громадського бюджетування.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Програмі застосовуються такі терміни:</w:t>
      </w:r>
      <w:r/>
    </w:p>
    <w:p>
      <w:pPr>
        <w:jc w:val="both"/>
        <w:spacing w:lineRule="auto" w:line="240" w:after="0"/>
        <w:tabs>
          <w:tab w:val="left" w:pos="142" w:leader="none"/>
          <w:tab w:val="left" w:pos="851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Громадське бюджетування</w:t>
      </w:r>
      <w:r>
        <w:rPr>
          <w:rFonts w:ascii="Times New Roman" w:hAnsi="Times New Roman" w:eastAsia="Times New Roman"/>
          <w:sz w:val="28"/>
          <w:szCs w:val="28"/>
        </w:rPr>
        <w:t xml:space="preserve"> - процес взаємодії з громадськістю, направлений на включення мешканців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, які постійно проживають у межах Громади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 прийняття рішень щодо розподілу Громадського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Менської міської ради та її виконавчих органів.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Б) Експертна група</w:t>
      </w:r>
      <w:r>
        <w:rPr>
          <w:rFonts w:ascii="Times New Roman" w:hAnsi="Times New Roman" w:eastAsia="Times New Roman"/>
          <w:sz w:val="28"/>
          <w:szCs w:val="28"/>
        </w:rPr>
        <w:t xml:space="preserve"> – створена рішенням виконавчого комітету Менської міської ради робоча група, яка здійснює детальний аналіз та оцінку запропонованих проєктів і надає обґрунтовані рекомендації щодо їх реалізації.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В) Уповноважений робочий орган</w:t>
      </w:r>
      <w:r>
        <w:rPr>
          <w:rFonts w:ascii="Times New Roman" w:hAnsi="Times New Roman" w:eastAsia="Times New Roman"/>
          <w:sz w:val="28"/>
          <w:szCs w:val="28"/>
        </w:rPr>
        <w:t xml:space="preserve"> – виконавчий апарат Менської міської ради, який координує питання функціонування громадського бюджетування, здійснює підготовку проєктів нормативно-правових актів та забезпечує співпрацю з громадськістю щодо питань громадського бюджетування;</w:t>
      </w:r>
      <w:r/>
    </w:p>
    <w:p>
      <w:pPr>
        <w:jc w:val="both"/>
        <w:spacing w:lineRule="auto" w:line="240" w:after="0"/>
        <w:tabs>
          <w:tab w:val="left" w:pos="142" w:leader="none"/>
          <w:tab w:val="left" w:pos="851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Г) Проєкт</w:t>
      </w:r>
      <w:r>
        <w:rPr>
          <w:rFonts w:ascii="Times New Roman" w:hAnsi="Times New Roman" w:eastAsia="Times New Roman"/>
          <w:sz w:val="28"/>
          <w:szCs w:val="28"/>
        </w:rPr>
        <w:t xml:space="preserve"> – програма, план дій, комплекс робіт, задум, ідея, втілені у формі описання, обґрунтування, </w:t>
      </w:r>
      <w:r>
        <w:rPr>
          <w:rFonts w:ascii="Times New Roman" w:hAnsi="Times New Roman" w:eastAsia="Times New Roman"/>
          <w:sz w:val="28"/>
          <w:szCs w:val="28"/>
        </w:rPr>
        <w:t xml:space="preserve">розрахунків, креслень, що розкривають сутність замислу та можливість його практичної реалізації. Проєкт має за мету покращення після його реалізації зовнішнього вигляду населених пунктів Громади та умов проживання у ньому громадян, які належать до Громади.</w:t>
      </w:r>
      <w:r/>
    </w:p>
    <w:p>
      <w:pPr>
        <w:jc w:val="both"/>
        <w:spacing w:lineRule="auto" w:line="240" w:after="0"/>
        <w:tabs>
          <w:tab w:val="left" w:pos="142" w:leader="none"/>
          <w:tab w:val="left" w:pos="851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Ґ) Автор проєкту</w:t>
      </w:r>
      <w:r>
        <w:rPr>
          <w:rFonts w:ascii="Times New Roman" w:hAnsi="Times New Roman" w:eastAsia="Times New Roman"/>
          <w:sz w:val="28"/>
          <w:szCs w:val="28"/>
        </w:rPr>
        <w:t xml:space="preserve"> – громадянин України, якому виповнилося 14 років, отримав паспорт громадянина України, зареєстрований (відповідно до чинного законодавства України) та проживає на території Громади.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Д) Картка аналізу проєкту</w:t>
      </w:r>
      <w:r>
        <w:rPr>
          <w:rFonts w:ascii="Times New Roman" w:hAnsi="Times New Roman" w:eastAsia="Times New Roman"/>
          <w:sz w:val="28"/>
          <w:szCs w:val="28"/>
        </w:rPr>
        <w:t xml:space="preserve"> – формуляр, який заповнюється експертною групою;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Е) Пункти голосування</w:t>
      </w:r>
      <w:r>
        <w:rPr>
          <w:rFonts w:ascii="Times New Roman" w:hAnsi="Times New Roman" w:eastAsia="Times New Roman"/>
          <w:sz w:val="28"/>
          <w:szCs w:val="28"/>
        </w:rPr>
        <w:t xml:space="preserve"> – місця для проведення голосування, які визначені розпорядженням Менського міського голови;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Є) Голосування</w:t>
      </w:r>
      <w:r>
        <w:rPr>
          <w:rFonts w:ascii="Times New Roman" w:hAnsi="Times New Roman" w:eastAsia="Times New Roman"/>
          <w:sz w:val="28"/>
          <w:szCs w:val="28"/>
        </w:rPr>
        <w:t xml:space="preserve"> – процес визначення жителями проектів - переможців серед поданих проєктів шляхом заповнення бланку для голосування (в паперовому та (або) електронному вигляді);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Ж) Встановлення підсумків голосування</w:t>
      </w:r>
      <w:r>
        <w:rPr>
          <w:rFonts w:ascii="Times New Roman" w:hAnsi="Times New Roman" w:eastAsia="Times New Roman"/>
          <w:sz w:val="28"/>
          <w:szCs w:val="28"/>
        </w:rPr>
        <w:t xml:space="preserve"> – підрахунок уповноваженим робочим органом голосів, поданих за кожен із проєктів відповідно до заповнених бланків для голосування;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З) Проєкти - переможці</w:t>
      </w:r>
      <w:r>
        <w:rPr>
          <w:rFonts w:ascii="Times New Roman" w:hAnsi="Times New Roman" w:eastAsia="Times New Roman"/>
          <w:sz w:val="28"/>
          <w:szCs w:val="28"/>
        </w:rPr>
        <w:t xml:space="preserve"> – проєкти, що відповідно до встановлення підсумків голосування набрали найбільшу кількість балів. У випадку нестачі коштів на реалізацію чергового проєкту за кількістю балів, переможцем визнається наступний проект за кількістю балів, р</w:t>
      </w:r>
      <w:r>
        <w:rPr>
          <w:rFonts w:ascii="Times New Roman" w:hAnsi="Times New Roman" w:eastAsia="Times New Roman"/>
          <w:sz w:val="28"/>
          <w:szCs w:val="28"/>
        </w:rPr>
        <w:t xml:space="preserve">еалізація якого не призведе до перевищення загальної суми громадського бюджету. У випадку якщо проєкти набирають однакову кількість голосів, місце пропозицій у списку визначається за порядковим номером у реєстрі проєктів, які поступили на етапі реєстрації;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И) Головний розпорядник бюджетних коштів проєктів-переможців</w:t>
      </w:r>
      <w:r>
        <w:rPr>
          <w:rFonts w:ascii="Times New Roman" w:hAnsi="Times New Roman" w:eastAsia="Times New Roman"/>
          <w:sz w:val="28"/>
          <w:szCs w:val="28"/>
        </w:rPr>
        <w:t xml:space="preserve"> – Менська міська рада в особі міського голови, який отримує повноваження шляхом встановлення бюджетних призначень для виконання проєктів - переможців.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ІІ. Визначення проблеми, на розв’язання якої направлена програма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 сучасному громадянському суспільстві</w:t>
      </w:r>
      <w:r>
        <w:rPr>
          <w:rFonts w:ascii="Times New Roman" w:hAnsi="Times New Roman" w:eastAsia="Times New Roman"/>
          <w:sz w:val="28"/>
          <w:szCs w:val="28"/>
        </w:rPr>
        <w:t xml:space="preserve"> зросла соціальна активність людей та з’явились активісти, які мають бажання долучатись до вирішення проблем с</w:t>
      </w:r>
      <w:r>
        <w:rPr>
          <w:rFonts w:ascii="Times New Roman" w:hAnsi="Times New Roman" w:eastAsia="Times New Roman"/>
          <w:sz w:val="28"/>
          <w:szCs w:val="28"/>
        </w:rPr>
        <w:t xml:space="preserve">успільства. У жителів виникають ідеї, як покращити благоустрій територій Громади, провести соціальні, культурно-мистецькі, спортивні заходи тощо.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Вдалим світовим досвідом щодо технології залучення громадян до процесу підготовки та прийняття рішень є громадське (партиципаторне) бюджетування.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Таким чином, затвердження Програми створить інструменти залучення громадян </w:t>
      </w:r>
      <w:r>
        <w:rPr>
          <w:rFonts w:ascii="Times New Roman" w:hAnsi="Times New Roman" w:eastAsia="Times New Roman"/>
          <w:sz w:val="28"/>
          <w:szCs w:val="28"/>
        </w:rPr>
        <w:t xml:space="preserve">до бюджетного процесу, сприятиме запровадженню процесу демократич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ного обговорення та прийняття рішень, у якому жителі вирішуватимуть, як розподілити визначену частину бюджету громади та допоможе зміцнити довіру громадян до органів місцевого самоврядування.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/>
      <w:bookmarkStart w:id="0" w:name="bookmark=id.gjdgxs"/>
      <w:r/>
      <w:bookmarkEnd w:id="0"/>
      <w:r>
        <w:rPr>
          <w:rFonts w:ascii="Times New Roman" w:hAnsi="Times New Roman" w:eastAsia="Times New Roman"/>
          <w:b/>
          <w:sz w:val="28"/>
          <w:szCs w:val="28"/>
        </w:rPr>
        <w:t xml:space="preserve">III. Мета програми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1" w:name="bookmark=id.30j0zll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Проведення громадського (партиципаторного) бюджетування має сприяти налагодженню системного діалогу Менської міської ради як органу місцевого </w:t>
      </w:r>
      <w:r>
        <w:rPr>
          <w:rFonts w:ascii="Times New Roman" w:hAnsi="Times New Roman" w:eastAsia="Times New Roman"/>
          <w:sz w:val="28"/>
          <w:szCs w:val="28"/>
        </w:rPr>
        <w:t xml:space="preserve">самоврядування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жителями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, які постійно проживають у межах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створенню умов для участі жителів у реалізації повноважень, визначених Законом України «Про місцеве самоврядування в Україні».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/>
      <w:bookmarkStart w:id="2" w:name="bookmark=id.1fob9te"/>
      <w:r/>
      <w:bookmarkEnd w:id="2"/>
      <w:r>
        <w:rPr>
          <w:rFonts w:ascii="Times New Roman" w:hAnsi="Times New Roman" w:eastAsia="Times New Roman"/>
          <w:b/>
          <w:sz w:val="28"/>
          <w:szCs w:val="28"/>
        </w:rPr>
        <w:t xml:space="preserve">IV. Обґрунтування шляхів і засобів розв’язання проблеми, строки виконання програми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/>
      <w:bookmarkStart w:id="3" w:name="bookmark=id.3znysh7"/>
      <w:r/>
      <w:bookmarkEnd w:id="3"/>
      <w:r>
        <w:rPr>
          <w:rFonts w:ascii="Times New Roman" w:hAnsi="Times New Roman" w:eastAsia="Times New Roman"/>
          <w:sz w:val="28"/>
          <w:szCs w:val="28"/>
        </w:rPr>
        <w:t xml:space="preserve">Виріш</w:t>
      </w:r>
      <w:r>
        <w:rPr>
          <w:rFonts w:ascii="Times New Roman" w:hAnsi="Times New Roman" w:eastAsia="Times New Roman"/>
          <w:sz w:val="28"/>
          <w:szCs w:val="28"/>
        </w:rPr>
        <w:t xml:space="preserve">ення проблеми здійснюється шляхом розроблення механізму взаємодії вик</w:t>
      </w:r>
      <w:r>
        <w:rPr>
          <w:rFonts w:ascii="Times New Roman" w:hAnsi="Times New Roman" w:eastAsia="Times New Roman"/>
          <w:sz w:val="28"/>
          <w:szCs w:val="28"/>
        </w:rPr>
        <w:t xml:space="preserve">онавчих органів Менської міської ради та громадян у бюджетному процесі, залучаючи жителів до процесу прийняття рішень на місцевому рівні та розв’язуючи найбільш нагальні проблеми громади.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Виконан</w:t>
      </w:r>
      <w:r>
        <w:rPr>
          <w:rFonts w:ascii="Times New Roman" w:hAnsi="Times New Roman" w:eastAsia="Times New Roman"/>
          <w:sz w:val="28"/>
          <w:szCs w:val="28"/>
        </w:rPr>
        <w:t xml:space="preserve">ня Програми розраховано до 2024 року.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V. Завдання та заходи програми 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Завдання програми: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 Інформаційна і промоційна кампанія.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Подання проєктів.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Перевірка проєктів.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Голосування за проєкти та підрахунок результатів.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Реалізація проєктів та оцінка процесу.</w:t>
      </w:r>
      <w:r/>
    </w:p>
    <w:p>
      <w:pPr>
        <w:jc w:val="both"/>
        <w:spacing w:lineRule="auto" w:line="276" w:after="0" w:before="24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                                                         </w:t>
      </w:r>
      <w:r/>
    </w:p>
    <w:tbl>
      <w:tblPr>
        <w:tblStyle w:val="825"/>
        <w:tblW w:w="9354" w:type="dxa"/>
        <w:tblInd w:w="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>
        <w:trPr>
          <w:trHeight w:val="108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354" w:type="dxa"/>
            <w:textDirection w:val="lrTb"/>
            <w:noWrap w:val="false"/>
          </w:tcPr>
          <w:p>
            <w:pPr>
              <w:ind w:left="440"/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b/>
                <w:sz w:val="32"/>
                <w:szCs w:val="32"/>
              </w:rPr>
              <w:t xml:space="preserve">«Громадське бюджетування (бюджет участі) в Менській міській територіальній громаді до 2021 року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»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108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354" w:type="dxa"/>
            <w:textDirection w:val="lrTb"/>
            <w:noWrap w:val="false"/>
          </w:tcPr>
          <w:p>
            <w:pPr>
              <w:ind w:left="-140" w:right="-20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1. Інформаційна</w:t>
            </w:r>
            <w:r/>
          </w:p>
          <w:p>
            <w:pPr>
              <w:ind w:left="-140" w:right="-20"/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 промоційна кампанія </w:t>
            </w:r>
            <w:r/>
          </w:p>
          <w:p>
            <w:pPr>
              <w:ind w:left="440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</w:rPr>
            </w:r>
            <w:r/>
          </w:p>
        </w:tc>
      </w:tr>
      <w:tr>
        <w:trPr>
          <w:trHeight w:val="108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354" w:type="dxa"/>
            <w:textDirection w:val="lrTb"/>
            <w:noWrap w:val="false"/>
          </w:tcPr>
          <w:p>
            <w:pPr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2. Подання проектів</w:t>
            </w:r>
            <w:r/>
          </w:p>
          <w:p>
            <w:pPr>
              <w:ind w:left="-140" w:right="-20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08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354" w:type="dxa"/>
            <w:textDirection w:val="lrTb"/>
            <w:noWrap w:val="false"/>
          </w:tcPr>
          <w:p>
            <w:pPr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3. Перевірка проектів </w:t>
            </w:r>
            <w:r/>
          </w:p>
          <w:p>
            <w:pPr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08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354" w:type="dxa"/>
            <w:textDirection w:val="lrTb"/>
            <w:noWrap w:val="false"/>
          </w:tcPr>
          <w:p>
            <w:pPr>
              <w:jc w:val="center"/>
              <w:spacing w:lineRule="auto" w:line="240" w:after="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4. Голосування за проекти</w:t>
            </w:r>
            <w:r/>
          </w:p>
          <w:p>
            <w:pPr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та підрахунок результатів</w:t>
            </w:r>
            <w:r/>
          </w:p>
          <w:p>
            <w:pPr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082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354" w:type="dxa"/>
            <w:textDirection w:val="lrTb"/>
            <w:noWrap w:val="false"/>
          </w:tcPr>
          <w:p>
            <w:pPr>
              <w:jc w:val="center"/>
              <w:spacing w:lineRule="auto" w:line="240" w:after="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5. Реалізація</w:t>
            </w:r>
            <w:r/>
          </w:p>
          <w:p>
            <w:pPr>
              <w:jc w:val="center"/>
              <w:spacing w:lineRule="auto" w:line="240" w:after="24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проектів та оцінка процесу</w:t>
            </w:r>
            <w:r/>
          </w:p>
          <w:p>
            <w:pPr>
              <w:jc w:val="center"/>
              <w:spacing w:lineRule="auto" w:line="240" w:after="0" w:before="24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76" w:after="0" w:before="240"/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/>
    </w:p>
    <w:p>
      <w:pPr>
        <w:jc w:val="center"/>
        <w:spacing w:lineRule="auto" w:line="276" w:after="0" w:before="24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Заходи Програми</w:t>
      </w:r>
      <w:r/>
    </w:p>
    <w:tbl>
      <w:tblPr>
        <w:tblStyle w:val="826"/>
        <w:tblW w:w="964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8"/>
        <w:gridCol w:w="2126"/>
        <w:gridCol w:w="2268"/>
      </w:tblGrid>
      <w:tr>
        <w:trPr>
          <w:trHeight w:val="706"/>
        </w:trPr>
        <w:tc>
          <w:tcP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п/п</w:t>
            </w:r>
            <w:r>
              <w:rPr>
                <w:sz w:val="24"/>
              </w:rPr>
            </w:r>
          </w:p>
        </w:tc>
        <w:tc>
          <w:tcPr>
            <w:tcW w:w="45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Зміст заходів</w:t>
            </w:r>
            <w:r>
              <w:rPr>
                <w:sz w:val="24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Виконавці</w:t>
            </w:r>
            <w:r>
              <w:rPr>
                <w:sz w:val="24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Термін виконання</w:t>
            </w:r>
            <w:r>
              <w:rPr>
                <w:sz w:val="24"/>
              </w:rPr>
            </w:r>
          </w:p>
        </w:tc>
      </w:tr>
      <w:tr>
        <w:trPr>
          <w:trHeight w:val="191"/>
        </w:trPr>
        <w:tc>
          <w:tcPr>
            <w:gridSpan w:val="4"/>
            <w:tcW w:w="96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tabs>
                <w:tab w:val="center" w:pos="5292" w:leader="none"/>
                <w:tab w:val="left" w:pos="7440" w:leader="none"/>
              </w:tabs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1. ІНФОРМАЦІЙНА І ПРОМОЦІЙНА КАМПАНІЯ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1.1.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Ознайомлення мешканців Громади з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основними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положеннями та принципами бюджету участі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ради, депутати міської ради, громадські організації 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1.2.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Інформування про хронологію бюджету участі з етапами і датами проведення заходів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1.3.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Розповсюдження інформації стосовно перебігу та результатів процесу бюджету участі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1.4.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Підготовка графіку проведення публічних дискусій про пріоритети розвитку територіальної громади та визначення проблем - тематики проектів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ради, депутати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1.5.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Проведення публічних дискусій про пріоритети розвитку територіальної громади міської ради та визначення проблем - тематики проектів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ради, депутати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</w:p>
        </w:tc>
      </w:tr>
      <w:tr>
        <w:trPr>
          <w:trHeight w:val="4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1.6.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Оприлюднення графіку проведення зустрічей та протоколів зборів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1.7.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Підготовка проєкту рішення виконавчого комітету про створення Експертної групи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2022 </w:t>
            </w:r>
            <w:r>
              <w:rPr>
                <w:sz w:val="28"/>
              </w:rPr>
            </w:r>
          </w:p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2023</w:t>
            </w:r>
            <w:r>
              <w:rPr>
                <w:sz w:val="28"/>
              </w:rPr>
            </w:r>
          </w:p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2024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gridSpan w:val="4"/>
            <w:tcW w:w="96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tabs>
                <w:tab w:val="center" w:pos="5292" w:leader="none"/>
                <w:tab w:val="left" w:pos="7440" w:leader="none"/>
              </w:tabs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2. ПОДАННЯ ПРОЄКТІВ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2.1.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положення та форми подання проєкту у електронній версії на офіційному веб-сайті Менської міської ради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2022 </w:t>
            </w:r>
            <w:r>
              <w:rPr>
                <w:sz w:val="28"/>
              </w:rPr>
            </w:r>
          </w:p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2023</w:t>
            </w:r>
            <w:r>
              <w:rPr>
                <w:sz w:val="28"/>
              </w:rPr>
            </w:r>
          </w:p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2024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2.2.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Подання проєктів, відповідно до форми, вимог до проекту з урахуванням обсягу коштів:</w:t>
            </w:r>
            <w:r>
              <w:rPr>
                <w:sz w:val="28"/>
              </w:rPr>
            </w:r>
          </w:p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- особисто на реєстрацію в часи роботи Менської міської ради секретарю Менської міської ради;</w:t>
            </w:r>
            <w:r>
              <w:rPr>
                <w:sz w:val="28"/>
              </w:rPr>
            </w:r>
          </w:p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- поштою за адресою: </w:t>
            </w:r>
            <w:r>
              <w:rPr>
                <w:rFonts w:ascii="Times New Roman" w:hAnsi="Times New Roman" w:eastAsia="Times New Roman"/>
                <w:sz w:val="28"/>
                <w:szCs w:val="24"/>
                <w:highlight w:val="white"/>
              </w:rPr>
              <w:t xml:space="preserve">вулиця Героїв АТО, 6,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м. Мена, Чернігівська обл., </w:t>
            </w:r>
            <w:r>
              <w:rPr>
                <w:rFonts w:ascii="Times New Roman" w:hAnsi="Times New Roman" w:eastAsia="Times New Roman"/>
                <w:sz w:val="28"/>
                <w:szCs w:val="24"/>
                <w:highlight w:val="white"/>
              </w:rPr>
              <w:t xml:space="preserve">15600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 з поміткою на конверті </w:t>
            </w: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«Громадський бюджет»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;</w:t>
            </w:r>
            <w:r>
              <w:rPr>
                <w:sz w:val="28"/>
              </w:rPr>
            </w:r>
          </w:p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- електронною поштою за адресою </w:t>
            </w:r>
            <w:hyperlink r:id="rId11" w:tooltip="mailto:miskradamena@cg.gov.ua" w:history="1">
              <w:r>
                <w:rPr>
                  <w:rFonts w:ascii="Times New Roman" w:hAnsi="Times New Roman" w:eastAsia="Times New Roman"/>
                  <w:color w:val="0000FF"/>
                  <w:sz w:val="28"/>
                  <w:szCs w:val="24"/>
                  <w:u w:val="single"/>
                </w:rPr>
                <w:t xml:space="preserve">miskradamena@cg.gov.ua</w:t>
              </w:r>
            </w:hyperlink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 з темою </w:t>
            </w: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«Громадський бюджет» </w:t>
            </w:r>
            <w:r>
              <w:rPr>
                <w:sz w:val="28"/>
              </w:rPr>
            </w:r>
          </w:p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у вигляді відсканованого оригіналу документу за обов’язкової умови подачі паперової копії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Автори проектів 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15 березня - 14 квітня</w:t>
            </w:r>
            <w:r>
              <w:rPr>
                <w:sz w:val="28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</w:rPr>
            </w:r>
            <w:r>
              <w:rPr>
                <w:sz w:val="28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</w:rPr>
            </w:r>
            <w:r>
              <w:rPr>
                <w:sz w:val="28"/>
              </w:rPr>
            </w:r>
            <w:r>
              <w:rPr>
                <w:rFonts w:ascii="Times New Roman" w:hAnsi="Times New Roman" w:eastAsia="Times New Roman"/>
                <w:sz w:val="28"/>
                <w:szCs w:val="20"/>
              </w:rPr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2.3.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сканованих заповнених форм проєктів, за винятком сторінок, які містять персональні дані авторів проекту на офіційному веб-сайті Менської міської ради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Після подання проекту протягом 5 календарних днів </w:t>
            </w:r>
            <w:r>
              <w:rPr>
                <w:sz w:val="28"/>
              </w:rPr>
            </w:r>
          </w:p>
        </w:tc>
      </w:tr>
      <w:tr>
        <w:trPr>
          <w:trHeight w:val="378"/>
        </w:trPr>
        <w:tc>
          <w:tcPr>
            <w:gridSpan w:val="4"/>
            <w:tcW w:w="96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3. ПЕРЕВІРКА ПРОЕКТІВ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3.1.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Здійснення попередньої перевірки проєктів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5 робочих днів після кінцевого терміну подання Проектів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3.2.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Внесення, у разі необхідності, коректив до форми подання проєктів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Автори про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є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ктів, 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5 робочих днів з дня отримання проєкту 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3.3.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Надання сканованих заповнених форм подання проєктів до експертної групи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періоду прийняття проєктів у строки визначені Положенням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3.4.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Заповнення карток аналізу проєктів, надання обґрунтованих рекомендацій щодо внесення проектів у бланк для голосування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Експертна група 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періоду прийняття проєктів у строки визначені Положенням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3.5.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Проведення аналізу проєктів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Експертна група 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1 робочого дня після реєстрації поданих проєктів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3.6.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Уточнення інформації, необхідної для аналізу та оцінки проектів та надання заповнених карт аналізу проєктів до виконавчому комітету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Експертна група, автори про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є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тів 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30 днів з дня отримання сканованих заповнених форм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3.7.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Складання списків позитивно і негативно оцінених проєктів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 календарних днів до дня початку голосування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3.8.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Надання міському голові для ознайомлення списків позитивно і негативно оцінених проєктів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1 робочого дня після складання списку проєктів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3.9.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на офіційному веб-сайті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у рубриці «Громадський бюджет» списків з проектами які отримали позитивну або негативну оцінку (з аргументованими мотивами відмови) та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відсканованих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 заповнених карток аналізу проєктів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 календарних днів до дня початку голосування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gridSpan w:val="4"/>
            <w:tcW w:w="96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4. ГОЛОСУВАННЯ ЗА ПРОЄКТИ ТА ПІДРАХУНОК РЕЗУЛЬТАТІВ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4.1.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Підготовка проекту розпорядження міського голови про затвердження переліку пунктів для голосування та графіку їх роботи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 днів до дня початку голосування</w:t>
            </w:r>
            <w:r>
              <w:rPr>
                <w:sz w:val="28"/>
              </w:rPr>
            </w:r>
          </w:p>
        </w:tc>
      </w:tr>
      <w:tr>
        <w:trPr>
          <w:trHeight w:val="748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4.2.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Оприлюднення на офіційному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веб-сайті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переліку пунктів для голосування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 днів до дня початку голосування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4.3.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голосування шляхом: голосування у пунктах голосування в період їх роботи та в інформаційному пункті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в робочий час.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з 01 червня по 20 червня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4.4.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Встановлення підсумків голосування шляхом підрахунку балів, відданих за кожний проект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липень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4.5.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Складання рейтингових списків проектів з урахуванням результатів голосування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липень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4.6.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на офіційному сайті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результатів голосування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120"/>
              <w:rPr>
                <w:rFonts w:ascii="Times New Roman" w:hAnsi="Times New Roman" w:eastAsia="Times New Roman"/>
                <w:sz w:val="28"/>
                <w:szCs w:val="1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15 робочих днів після закінчення голосування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gridSpan w:val="4"/>
            <w:tcW w:w="96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5. РЕАЛІЗАЦІЯ ПРОЄКТІВ ТА ОЦІНКА ПРОЦЕСУ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5.1.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Визначення відповідальних за реалізацію кожного проєкту - переможця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липень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5.2.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Обов’язкове включення головними розпорядниками коштів до бюджетних запитів на відповідний бюджетний період проєктів-переможців, враховуючи вимоги чинного законодавства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Головні розпорядники бюджетних коштів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Відповідно до вимог ст. 75, 76, 77 Бюджетного кодексу України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5.3.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Виконання головними розпорядниками бюджетних коштів проєктів – переможців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Головні розпорядники бюджетних коштів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бюджетного року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5.4.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Формування і подання звітів про виконання проєкту до відділу економічного розвитку та інвестицій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Головні розпорядники бюджетних коштів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до 15 числа місяця, що настає за звітним періодом</w:t>
            </w:r>
            <w:r>
              <w:rPr>
                <w:sz w:val="28"/>
              </w:rPr>
            </w:r>
          </w:p>
        </w:tc>
      </w:tr>
      <w:tr>
        <w:trPr>
          <w:trHeight w:val="687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5.4.</w:t>
            </w:r>
            <w:r>
              <w:rPr>
                <w:sz w:val="28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звітів про виконання проєктів на офіційному сайті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ї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ї міської ради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5 днів після подання до відділу </w:t>
            </w:r>
            <w:r>
              <w:rPr>
                <w:sz w:val="28"/>
              </w:rPr>
            </w:r>
          </w:p>
        </w:tc>
      </w:tr>
    </w:tbl>
    <w:p>
      <w:pPr>
        <w:ind w:firstLine="567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VI. Обсяги і джерела фінансування програми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Фінансування Програми здійснюється відповідно до діючого законодавства за рахунок коштів бюджету громади за кодами тимчасової класифікації видатків та визначається у рішенні «Про бюджет Менської міської територіальної громади» на відповідний рік.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Партиципаторний бюджет </w:t>
      </w:r>
      <w:r>
        <w:rPr>
          <w:rFonts w:ascii="Times New Roman" w:hAnsi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міської ради на 2022 - 2024 року для реалізації проектів пропонується передбачити в сумі 500 тис. грн. щорічно.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Головним розпорядником коштів бюджету громади видатків на реалізацію Програми є Менська міська рада.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Орієнтовні розрахунки видатків на інформаційну, промоційну кампанії та організацію голосування за проекти наведені у Додатку 1 до Програми.</w:t>
      </w:r>
      <w:r/>
    </w:p>
    <w:p>
      <w:pPr>
        <w:ind w:firstLine="8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Style w:val="827"/>
        <w:tblW w:w="10348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69"/>
        <w:gridCol w:w="2976"/>
        <w:gridCol w:w="1134"/>
        <w:gridCol w:w="1134"/>
        <w:gridCol w:w="1101"/>
      </w:tblGrid>
      <w:tr>
        <w:trPr>
          <w:trHeight w:val="132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34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Напрями використання коштів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Відповідальний виконавець</w:t>
            </w:r>
            <w:r/>
          </w:p>
        </w:tc>
        <w:tc>
          <w:tcPr>
            <w:gridSpan w:val="3"/>
            <w:tcW w:w="33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Прогнозний обсяг коштів, тис. грн.</w:t>
            </w:r>
            <w:r/>
          </w:p>
        </w:tc>
      </w:tr>
      <w:tr>
        <w:trPr>
          <w:trHeight w:val="166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spacing w:lineRule="auto" w:line="276" w:after="0"/>
              <w:widowControl w:val="off"/>
              <w:rPr>
                <w:rFonts w:ascii="Times New Roman" w:hAnsi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W w:w="3469" w:type="dxa"/>
            <w:vMerge w:val="continue"/>
            <w:textDirection w:val="lrTb"/>
            <w:noWrap w:val="false"/>
          </w:tcPr>
          <w:p>
            <w:pPr>
              <w:spacing w:lineRule="auto" w:line="276" w:after="0"/>
              <w:widowControl w:val="off"/>
              <w:rPr>
                <w:rFonts w:ascii="Times New Roman" w:hAnsi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lineRule="auto" w:line="276" w:after="0"/>
              <w:widowControl w:val="off"/>
              <w:rPr>
                <w:rFonts w:ascii="Times New Roman" w:hAnsi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2022 р.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2023 р.</w:t>
            </w:r>
            <w:r/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2024 р.</w:t>
            </w:r>
            <w:r/>
          </w:p>
        </w:tc>
      </w:tr>
      <w:tr>
        <w:trPr>
          <w:trHeight w:val="70"/>
        </w:trPr>
        <w:tc>
          <w:tcPr>
            <w:gridSpan w:val="6"/>
            <w:tcW w:w="103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Загальний фонд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</w:t>
            </w:r>
            <w:r>
              <w:rPr>
                <w:sz w:val="28"/>
              </w:rPr>
            </w:r>
          </w:p>
        </w:tc>
        <w:tc>
          <w:tcPr>
            <w:tcW w:w="346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Інформаційна кампанія</w:t>
            </w:r>
            <w:r>
              <w:rPr>
                <w:sz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4,5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4,5</w:t>
            </w:r>
            <w:r>
              <w:rPr>
                <w:sz w:val="28"/>
              </w:rPr>
            </w:r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4,5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</w:t>
            </w:r>
            <w:r>
              <w:rPr>
                <w:sz w:val="28"/>
              </w:rPr>
            </w:r>
          </w:p>
        </w:tc>
        <w:tc>
          <w:tcPr>
            <w:tcW w:w="34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роботи та обладнання пунктів голосування за проекти</w:t>
            </w:r>
            <w:r>
              <w:rPr>
                <w:sz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0,1</w:t>
            </w:r>
            <w:r>
              <w:rPr>
                <w:sz w:val="2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0,1</w:t>
            </w:r>
            <w:r>
              <w:rPr>
                <w:sz w:val="28"/>
              </w:rPr>
            </w:r>
          </w:p>
        </w:tc>
        <w:tc>
          <w:tcPr>
            <w:tcW w:w="11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0,1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</w:t>
            </w:r>
            <w:r>
              <w:rPr>
                <w:sz w:val="28"/>
              </w:rPr>
            </w:r>
          </w:p>
        </w:tc>
        <w:tc>
          <w:tcPr>
            <w:tcW w:w="346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</w:rPr>
              <w:t xml:space="preserve">Організація голосування за проекти: виготовлення бланків для голосування</w:t>
            </w:r>
            <w:r>
              <w:rPr>
                <w:sz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0,4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0,4</w:t>
            </w:r>
            <w:r>
              <w:rPr>
                <w:sz w:val="28"/>
              </w:rPr>
            </w:r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0,4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</w:t>
            </w:r>
            <w:r>
              <w:rPr>
                <w:sz w:val="28"/>
              </w:rPr>
            </w:r>
          </w:p>
        </w:tc>
        <w:tc>
          <w:tcPr>
            <w:tcW w:w="346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Виконання проектів, які визнано переможцями</w:t>
            </w:r>
            <w:r>
              <w:rPr>
                <w:sz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головний розпорядник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бюджетних коштів 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500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</w:rPr>
              <w:t xml:space="preserve">500</w:t>
            </w:r>
            <w:r>
              <w:rPr>
                <w:sz w:val="28"/>
              </w:rPr>
            </w:r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</w:rPr>
              <w:t xml:space="preserve">500</w:t>
            </w:r>
            <w:r>
              <w:rPr>
                <w:sz w:val="28"/>
              </w:rPr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VIІ. Контроль за ходом виконання програми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Програми здійс</w:t>
      </w:r>
      <w:r>
        <w:rPr>
          <w:rFonts w:ascii="Times New Roman" w:hAnsi="Times New Roman" w:eastAsia="Times New Roman"/>
          <w:sz w:val="28"/>
          <w:szCs w:val="28"/>
        </w:rPr>
        <w:t xml:space="preserve">нюють заступники міського голови з питань діяльності виконавчих органів ради, відділ економічного розвитку та інвестицій Менської міської ради, Менська міська рада, виконавчий апарат Менської міської ради, експертна група відповідно до повноважень.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Відп</w:t>
      </w:r>
      <w:r>
        <w:rPr>
          <w:rFonts w:ascii="Times New Roman" w:hAnsi="Times New Roman" w:eastAsia="Times New Roman"/>
          <w:sz w:val="28"/>
          <w:szCs w:val="28"/>
        </w:rPr>
        <w:t xml:space="preserve">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проєктів-переможців Програми у межах визначених бюджетних призначень.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Виконавчий апарат Менської міської ради забезпечує контроль за проведенням інформаційної і </w:t>
      </w:r>
      <w:r>
        <w:rPr>
          <w:rFonts w:ascii="Times New Roman" w:hAnsi="Times New Roman" w:eastAsia="Times New Roman"/>
          <w:sz w:val="28"/>
          <w:szCs w:val="28"/>
        </w:rPr>
        <w:t xml:space="preserve">промоційної</w:t>
      </w:r>
      <w:r>
        <w:rPr>
          <w:rFonts w:ascii="Times New Roman" w:hAnsi="Times New Roman" w:eastAsia="Times New Roman"/>
          <w:sz w:val="28"/>
          <w:szCs w:val="28"/>
        </w:rPr>
        <w:t xml:space="preserve"> кампанії, дотриманням хронології бюджету участі з етапами і датами проведення заходів, виконанням графіку проведення публічних дискусій про пріоритети розвитку громади.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Експертна група спільно з виконавчим апаратом Менської міської ради контролює етап перевірки проєкту, про що</w:t>
      </w:r>
      <w:r>
        <w:rPr>
          <w:rFonts w:ascii="Times New Roman" w:hAnsi="Times New Roman" w:eastAsia="Times New Roman"/>
          <w:sz w:val="28"/>
          <w:szCs w:val="28"/>
        </w:rPr>
        <w:t xml:space="preserve"> свідчитимуть заповнені картки аналізу проектів, розміщення їх сканованих копій на офіційному сайті міської ради та підготовлений список позитивно і негативно оцінених проєктів, бланк для голосування з назвами проєктів та зазначенням сум на їх реалізацію.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Головний розпорядник бюджетних коштів в межах своїх повноважень здійснює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  <w:r>
        <w:rPr>
          <w:rFonts w:ascii="Times New Roman" w:hAnsi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Головний розпорядник бюджетних коштів забезпечує ефективне використанн</w:t>
      </w:r>
      <w:r>
        <w:rPr>
          <w:rFonts w:ascii="Times New Roman" w:hAnsi="Times New Roman" w:eastAsia="Times New Roman"/>
          <w:sz w:val="28"/>
          <w:szCs w:val="28"/>
        </w:rPr>
        <w:t xml:space="preserve">я к</w:t>
      </w:r>
      <w:r>
        <w:rPr>
          <w:rFonts w:ascii="Times New Roman" w:hAnsi="Times New Roman" w:eastAsia="Times New Roman"/>
          <w:sz w:val="28"/>
          <w:szCs w:val="28"/>
        </w:rPr>
        <w:t xml:space="preserve">оштів, виділених на реалізацію проєктів – переможців, оприлюднює звіти про виконання проектів, співпрацюючи протягом часу реалізації проєкту з авторами. Після реалізації проєкту звіт, який включає фото та інші матеріали розміщується на сайті міської ради.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/>
      <w:bookmarkStart w:id="4" w:name="bookmark=id.2et92p0"/>
      <w:r/>
      <w:bookmarkEnd w:id="4"/>
      <w:r>
        <w:rPr>
          <w:rFonts w:ascii="Times New Roman" w:hAnsi="Times New Roman" w:eastAsia="Times New Roman"/>
          <w:b/>
          <w:sz w:val="28"/>
          <w:szCs w:val="28"/>
        </w:rPr>
        <w:t xml:space="preserve">VIІІ. Очікувані результати виконання програми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Очікуваними </w:t>
      </w:r>
      <w:r>
        <w:rPr>
          <w:rFonts w:ascii="Times New Roman" w:hAnsi="Times New Roman" w:eastAsia="Times New Roman"/>
          <w:sz w:val="28"/>
          <w:szCs w:val="28"/>
        </w:rPr>
        <w:t xml:space="preserve">результатами виконання програми є: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створення ефективного механізму взаємодії виконавчих органів Менської міської ради та жителів Громади в бюджетному процесі;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залуч</w:t>
      </w:r>
      <w:r>
        <w:rPr>
          <w:rFonts w:ascii="Times New Roman" w:hAnsi="Times New Roman" w:eastAsia="Times New Roman"/>
          <w:sz w:val="28"/>
          <w:szCs w:val="28"/>
        </w:rPr>
        <w:t xml:space="preserve">ення жителів Громади до процесу прийняття рішень органів місцевого самоврядування;</w:t>
      </w:r>
      <w:r>
        <w:rPr>
          <w:rFonts w:ascii="Times New Roman" w:hAnsi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довіри громадян до органів місцевого самоврядування;</w:t>
      </w:r>
      <w:r>
        <w:rPr>
          <w:rFonts w:ascii="Times New Roman" w:hAnsi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підвищення відкритості діяльності органів місцевого самоврядування;</w:t>
      </w:r>
      <w:r>
        <w:rPr>
          <w:rFonts w:ascii="Times New Roman" w:hAnsi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підвищення рівня прозорості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процесу прийняття рішень шляхом надання жителям Громади можливості безпосереднього впливу на бюджетну політику; </w:t>
      </w:r>
      <w:r>
        <w:rPr>
          <w:rFonts w:ascii="Times New Roman" w:hAnsi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виріш</w:t>
      </w:r>
      <w:r>
        <w:rPr>
          <w:rFonts w:ascii="Times New Roman" w:hAnsi="Times New Roman" w:eastAsia="Times New Roman"/>
          <w:sz w:val="28"/>
          <w:szCs w:val="28"/>
        </w:rPr>
        <w:t xml:space="preserve">ення питань, які найбільш хвилюють Громади</w:t>
      </w:r>
      <w:r/>
    </w:p>
    <w:tbl>
      <w:tblPr>
        <w:tblStyle w:val="828"/>
        <w:tblW w:w="964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275"/>
        <w:gridCol w:w="1276"/>
        <w:gridCol w:w="1276"/>
      </w:tblGrid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Очікувані показники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Одиниця виміру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2022 р.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2023 р.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2024 р.</w:t>
            </w:r>
            <w:r/>
          </w:p>
        </w:tc>
      </w:tr>
      <w:tr>
        <w:trPr>
          <w:trHeight w:val="57"/>
        </w:trPr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Затрати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1.1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Інформаційна кампанія</w:t>
            </w:r>
            <w:r>
              <w:rPr>
                <w:sz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тис. грн.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4,5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4,5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4,5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1.2.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роботи та обладнання пунктів голосування за проєкти</w:t>
            </w:r>
            <w:r>
              <w:rPr>
                <w:sz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тис. грн.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1.3.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голосування за проєкти: виготовлення бланків для голосування </w:t>
            </w:r>
            <w:r>
              <w:rPr>
                <w:sz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тис. грн.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Реалізація проєктів-переможців</w:t>
            </w:r>
            <w:r>
              <w:rPr>
                <w:sz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тис. грн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6"/>
            <w:tcW w:w="9640" w:type="dxa"/>
            <w:textDirection w:val="lrTb"/>
            <w:noWrap w:val="false"/>
          </w:tcPr>
          <w:p>
            <w:pPr>
              <w:ind w:left="-108" w:right="-121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Продукти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2.1.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Кількість інформаційних заходів щодо ознайомлення жителів </w:t>
            </w:r>
            <w:r>
              <w:rPr>
                <w:sz w:val="28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одиниць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2.2.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Проведення процедури голосування </w:t>
            </w:r>
            <w:r>
              <w:rPr>
                <w:sz w:val="28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одиниць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ind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2.3.</w:t>
            </w:r>
            <w:r>
              <w:rPr>
                <w:sz w:val="28"/>
              </w:rPr>
            </w:r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Кількість реалізованих проєктів</w:t>
            </w:r>
            <w:r>
              <w:rPr>
                <w:sz w:val="28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одиниць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більше 1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більше 1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більше 1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6"/>
            <w:tcW w:w="96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Ефективності та якості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3.1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Відсоток виконання проєктів - переможців</w:t>
            </w:r>
            <w:r>
              <w:rPr>
                <w:sz w:val="28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%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3.2</w:t>
            </w:r>
            <w:r>
              <w:rPr>
                <w:sz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Відсоток залучення жителів Громади до участі в Програмі</w:t>
            </w:r>
            <w:r>
              <w:rPr>
                <w:sz w:val="28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%</w:t>
            </w:r>
            <w:r>
              <w:rPr>
                <w:sz w:val="28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 w:val="10"/>
          <w:szCs w:val="10"/>
        </w:rPr>
      </w:pPr>
      <w:r>
        <w:rPr>
          <w:rFonts w:ascii="Times New Roman" w:hAnsi="Times New Roman" w:eastAsia="Times New Roman"/>
          <w:sz w:val="10"/>
          <w:szCs w:val="10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ІХ. Звітність про хід виконання Програми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10"/>
          <w:szCs w:val="10"/>
        </w:rPr>
      </w:pPr>
      <w:r>
        <w:rPr>
          <w:rFonts w:ascii="Times New Roman" w:hAnsi="Times New Roman" w:eastAsia="Times New Roman"/>
          <w:sz w:val="10"/>
          <w:szCs w:val="10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виконавчого комітету Менської міської ради разом із пояснювальною запискою.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5670" w:right="0" w:hanging="1"/>
        <w:spacing w:lineRule="auto" w:line="240"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Додаток 1 </w:t>
      </w:r>
      <w:r/>
      <w:r>
        <w:rPr>
          <w:rFonts w:ascii="Times New Roman" w:hAnsi="Times New Roman" w:eastAsia="Times New Roman"/>
          <w:sz w:val="20"/>
          <w:szCs w:val="20"/>
        </w:rPr>
        <w:t xml:space="preserve">до програми «Громадське бюджетування (бюджет участі) в Менській міській територіальній громаді на 2022 - 2024 роки»</w:t>
      </w:r>
      <w:r/>
    </w:p>
    <w:p>
      <w:pPr>
        <w:ind w:left="8485"/>
        <w:jc w:val="both"/>
        <w:spacing w:lineRule="auto" w:line="240" w:after="0"/>
        <w:tabs>
          <w:tab w:val="left" w:pos="8505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34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Орієнтовні розрахунки </w:t>
      </w:r>
      <w:r/>
    </w:p>
    <w:p>
      <w:pPr>
        <w:ind w:left="34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видатків на інформаційну, промоційну кампанії та організацію голосування за проєкти за Програмою «Громадське бюджетування (бюджет участі) в Менській міській територіальній громаді на 2022 - 2024 роки»</w:t>
      </w:r>
      <w:r/>
    </w:p>
    <w:p>
      <w:pPr>
        <w:ind w:left="340"/>
        <w:jc w:val="center"/>
        <w:spacing w:lineRule="auto" w:line="240"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/>
    </w:p>
    <w:tbl>
      <w:tblPr>
        <w:tblStyle w:val="829"/>
        <w:tblW w:w="992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3"/>
        <w:gridCol w:w="1039"/>
        <w:gridCol w:w="1039"/>
        <w:gridCol w:w="1040"/>
      </w:tblGrid>
      <w:tr>
        <w:trPr>
          <w:trHeight w:val="740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№</w:t>
            </w:r>
            <w:r>
              <w:rPr>
                <w:sz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Напрями використання коштів</w:t>
            </w:r>
            <w:r>
              <w:rPr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Відповідальний виконавець</w:t>
            </w:r>
            <w:r>
              <w:rPr>
                <w:sz w:val="22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2022 рік</w:t>
            </w:r>
            <w:r>
              <w:rPr>
                <w:sz w:val="22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(тис. грн.)</w:t>
            </w:r>
            <w:r>
              <w:rPr>
                <w:sz w:val="22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2023 рік</w:t>
            </w:r>
            <w:r>
              <w:rPr>
                <w:sz w:val="22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(тис. грн.)</w:t>
            </w:r>
            <w:r>
              <w:rPr>
                <w:sz w:val="22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2024 рік</w:t>
            </w:r>
            <w:r>
              <w:rPr>
                <w:sz w:val="22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(тис. грн.)</w:t>
            </w:r>
            <w:r>
              <w:rPr>
                <w:sz w:val="22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Організація роботи та обладнання пунктів голосування за проекти</w:t>
            </w:r>
            <w:r>
              <w:rPr>
                <w:sz w:val="2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Організація голосування за проекти: виготовлення бланків для голосування</w:t>
            </w:r>
            <w:r>
              <w:rPr>
                <w:sz w:val="2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Виготовлення та розміщення графічно-інформаційних матеріалів, плакатів, оголошень щодо проведення зустрічей та запрошення до голосування</w:t>
            </w:r>
            <w:r>
              <w:rPr>
                <w:sz w:val="2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Виготовлення банерів-стендів</w:t>
            </w:r>
            <w:r>
              <w:rPr>
                <w:sz w:val="2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Оплата по наданню консультаційних послуг щодо написання проектів, інформаційних зустрічей з жителями щодо впровадження бюджету участі </w:t>
            </w:r>
            <w:r>
              <w:rPr>
                <w:sz w:val="2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1,5</w:t>
            </w:r>
            <w:r>
              <w:rPr>
                <w:sz w:val="28"/>
              </w:rPr>
            </w:r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0,5</w:t>
            </w:r>
            <w:r>
              <w:rPr>
                <w:sz w:val="28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0,5</w:t>
            </w:r>
            <w:r>
              <w:rPr>
                <w:sz w:val="28"/>
              </w:rPr>
            </w:r>
          </w:p>
        </w:tc>
      </w:tr>
    </w:tbl>
    <w:p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70409020205020404"/>
  </w:font>
  <w:font w:name="Courier New">
    <w:panose1 w:val="02070309020205020404"/>
  </w:font>
  <w:font w:name="Segoe UI">
    <w:panose1 w:val="020B0502040504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11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817"/>
    <w:link w:val="812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817"/>
    <w:link w:val="813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817"/>
    <w:link w:val="814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817"/>
    <w:link w:val="815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817"/>
    <w:link w:val="816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7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7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7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character" w:styleId="654">
    <w:name w:val="Title Char"/>
    <w:basedOn w:val="817"/>
    <w:link w:val="821"/>
    <w:uiPriority w:val="10"/>
    <w:rPr>
      <w:sz w:val="48"/>
      <w:szCs w:val="48"/>
    </w:rPr>
  </w:style>
  <w:style w:type="character" w:styleId="655">
    <w:name w:val="Subtitle Char"/>
    <w:basedOn w:val="817"/>
    <w:link w:val="823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7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7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6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0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7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7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left="0" w:right="0" w:firstLine="567"/>
      <w:jc w:val="both"/>
      <w:spacing w:lineRule="auto" w:line="240" w:after="0"/>
    </w:pPr>
  </w:style>
  <w:style w:type="paragraph" w:styleId="811">
    <w:name w:val="Heading 1"/>
    <w:basedOn w:val="810"/>
    <w:next w:val="810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12">
    <w:name w:val="Heading 2"/>
    <w:basedOn w:val="810"/>
    <w:next w:val="810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813">
    <w:name w:val="Heading 3"/>
    <w:basedOn w:val="810"/>
    <w:next w:val="810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814">
    <w:name w:val="Heading 4"/>
    <w:basedOn w:val="810"/>
    <w:next w:val="810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815">
    <w:name w:val="Heading 5"/>
    <w:basedOn w:val="810"/>
    <w:next w:val="810"/>
    <w:rPr>
      <w:b/>
    </w:rPr>
    <w:pPr>
      <w:keepLines/>
      <w:keepNext/>
      <w:spacing w:after="40" w:before="220"/>
      <w:outlineLvl w:val="4"/>
    </w:pPr>
  </w:style>
  <w:style w:type="paragraph" w:styleId="816">
    <w:name w:val="Heading 6"/>
    <w:basedOn w:val="810"/>
    <w:next w:val="810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table" w:styleId="82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1">
    <w:name w:val="Title"/>
    <w:basedOn w:val="810"/>
    <w:next w:val="810"/>
    <w:rPr>
      <w:b/>
      <w:sz w:val="72"/>
      <w:szCs w:val="72"/>
    </w:rPr>
    <w:pPr>
      <w:keepLines/>
      <w:keepNext/>
      <w:spacing w:after="120" w:before="480"/>
    </w:pPr>
  </w:style>
  <w:style w:type="paragraph" w:styleId="822" w:customStyle="1">
    <w:name w:val="Абзац списка1"/>
    <w:basedOn w:val="810"/>
    <w:rPr>
      <w:rFonts w:ascii="Times New Roman" w:hAnsi="Times New Roman" w:eastAsia="Times New Roman"/>
      <w:sz w:val="24"/>
      <w:szCs w:val="24"/>
      <w:lang w:val="ru-RU" w:eastAsia="zh-CN"/>
    </w:rPr>
    <w:pPr>
      <w:contextualSpacing w:val="true"/>
      <w:ind w:left="720"/>
      <w:spacing w:lineRule="auto" w:line="240" w:after="0"/>
    </w:pPr>
  </w:style>
  <w:style w:type="paragraph" w:styleId="823">
    <w:name w:val="Subtitle"/>
    <w:basedOn w:val="810"/>
    <w:next w:val="810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24" w:customStyle="1">
    <w:name w:val="StGen0"/>
    <w:basedOn w:val="8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25" w:customStyle="1">
    <w:name w:val="StGen1"/>
    <w:basedOn w:val="82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26" w:customStyle="1">
    <w:name w:val="StGen2"/>
    <w:basedOn w:val="8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27" w:customStyle="1">
    <w:name w:val="StGen3"/>
    <w:basedOn w:val="8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28" w:customStyle="1">
    <w:name w:val="StGen4"/>
    <w:basedOn w:val="8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29" w:customStyle="1">
    <w:name w:val="StGen5"/>
    <w:basedOn w:val="8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830">
    <w:name w:val="Balloon Text"/>
    <w:basedOn w:val="810"/>
    <w:link w:val="83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1" w:customStyle="1">
    <w:name w:val="Текст у виносці Знак"/>
    <w:basedOn w:val="817"/>
    <w:link w:val="83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isk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+9MlP38rrN/juIgTootDXiFPg==">AMUW2mX+ZAjYTcyBOMI5NZYQptUhbcER+ZkHrxq9sRnDOoAUIfiPV5P1aS5sph+6GTIwSNvhwMgMAEchgRXciSOBge4Qys7x465zBkiFaA8AUERqmBPtYNSMbAmvunZ74rNS3BZwWxqOtltn0EwjtEpn0YKzxP52e5ArmyHrQ9Mkt1nYvILQtKB6z/fGkOyW37tw3/1pex/6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2021-09-08T13:10:00Z</dcterms:created>
  <dcterms:modified xsi:type="dcterms:W3CDTF">2021-09-13T14:00:50Z</dcterms:modified>
</cp:coreProperties>
</file>