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val="en-US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8" cy="609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УКРАЇНА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(дев’ята сесія восьмого скликання)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РІШЕННЯ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</w:r>
      <w:r>
        <w:rPr>
          <w:sz w:val="28"/>
        </w:rPr>
      </w:r>
    </w:p>
    <w:p>
      <w:pPr>
        <w:spacing w:lineRule="auto" w:line="240" w:after="0"/>
        <w:tabs>
          <w:tab w:val="center" w:pos="476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31 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ерпня 2021 року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484</w: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sz w:val="28"/>
        </w:rPr>
      </w:r>
    </w:p>
    <w:p>
      <w:pPr>
        <w:spacing w:lineRule="auto" w:line="240" w:after="0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</w:r>
      <w:r>
        <w:rPr>
          <w:sz w:val="28"/>
        </w:rPr>
      </w:r>
    </w:p>
    <w:p>
      <w:pPr>
        <w:ind w:right="5527"/>
        <w:jc w:val="both"/>
        <w:spacing w:lineRule="auto" w:line="240" w:after="0"/>
        <w:tabs>
          <w:tab w:val="left" w:pos="-7371" w:leader="none"/>
          <w:tab w:val="left" w:pos="-3119" w:leader="none"/>
          <w:tab w:val="left" w:pos="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погодження розміщення телекомунікаційного обладнання ТОВ «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лайфселл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»</w:t>
      </w:r>
      <w:r>
        <w:rPr>
          <w:sz w:val="28"/>
        </w:rPr>
      </w:r>
    </w:p>
    <w:p>
      <w:pPr>
        <w:ind w:right="-1" w:firstLine="851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cs="Times New Roman" w:eastAsia="Times New Roman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>
        <w:rPr>
          <w:sz w:val="28"/>
        </w:rPr>
      </w:r>
    </w:p>
    <w:p>
      <w:pPr>
        <w:pStyle w:val="834"/>
        <w:ind w:firstLine="709"/>
        <w:jc w:val="both"/>
        <w:spacing w:after="0" w:afterAutospacing="0" w:before="0" w:beforeAutospacing="0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uk-UA" w:eastAsia="ar-SA"/>
        </w:rPr>
        <w:t xml:space="preserve">Розглянувши лист ТОВ «</w:t>
      </w:r>
      <w:r>
        <w:rPr>
          <w:b w:val="false"/>
          <w:bCs w:val="false"/>
          <w:sz w:val="28"/>
          <w:szCs w:val="28"/>
          <w:lang w:val="uk-UA" w:eastAsia="ar-SA"/>
        </w:rPr>
        <w:t xml:space="preserve">лайфселл</w:t>
      </w:r>
      <w:r>
        <w:rPr>
          <w:b w:val="false"/>
          <w:bCs w:val="false"/>
          <w:sz w:val="28"/>
          <w:szCs w:val="28"/>
          <w:lang w:val="uk-UA" w:eastAsia="ar-SA"/>
        </w:rPr>
        <w:t xml:space="preserve">» від 28.07.2021 р. вих. № СН2611 щодо розміщення телекомунікаційного обладнання </w:t>
      </w:r>
      <w:r>
        <w:rPr>
          <w:b w:val="false"/>
          <w:bCs w:val="false"/>
          <w:sz w:val="28"/>
          <w:szCs w:val="28"/>
          <w:lang w:val="uk-UA" w:eastAsia="ar-SA"/>
        </w:rPr>
        <w:t xml:space="preserve">ТОВ «</w:t>
      </w:r>
      <w:r>
        <w:rPr>
          <w:b w:val="false"/>
          <w:bCs w:val="false"/>
          <w:sz w:val="28"/>
          <w:szCs w:val="28"/>
          <w:lang w:val="uk-UA" w:eastAsia="ar-SA"/>
        </w:rPr>
        <w:t xml:space="preserve">лайфселл</w:t>
      </w:r>
      <w:r>
        <w:rPr>
          <w:b w:val="false"/>
          <w:bCs w:val="false"/>
          <w:sz w:val="28"/>
          <w:szCs w:val="28"/>
          <w:lang w:val="uk-UA" w:eastAsia="ar-SA"/>
        </w:rPr>
        <w:t xml:space="preserve">» </w:t>
      </w:r>
      <w:r>
        <w:rPr>
          <w:b w:val="false"/>
          <w:bCs w:val="false"/>
          <w:sz w:val="28"/>
          <w:szCs w:val="28"/>
          <w:lang w:val="uk-UA" w:eastAsia="ar-SA"/>
        </w:rPr>
        <w:t xml:space="preserve">на даху нежитлової будівлі Будинку культури, що розташова</w:t>
      </w:r>
      <w:r>
        <w:rPr>
          <w:b w:val="false"/>
          <w:bCs w:val="false"/>
          <w:sz w:val="28"/>
          <w:szCs w:val="28"/>
          <w:lang w:val="uk-UA" w:eastAsia="ar-SA"/>
        </w:rPr>
        <w:t xml:space="preserve">на за адресою вул.Миру, 31, с. </w:t>
      </w:r>
      <w:r>
        <w:rPr>
          <w:b w:val="false"/>
          <w:bCs w:val="false"/>
          <w:sz w:val="28"/>
          <w:szCs w:val="28"/>
          <w:lang w:val="uk-UA" w:eastAsia="ar-SA"/>
        </w:rPr>
        <w:t xml:space="preserve">Феськівка</w:t>
      </w:r>
      <w:r>
        <w:rPr>
          <w:b w:val="false"/>
          <w:bCs w:val="false"/>
          <w:sz w:val="28"/>
          <w:szCs w:val="28"/>
          <w:lang w:val="uk-UA" w:eastAsia="ar-SA"/>
        </w:rPr>
        <w:t xml:space="preserve">,</w:t>
      </w:r>
      <w:r>
        <w:rPr>
          <w:b w:val="false"/>
          <w:bCs w:val="false"/>
          <w:sz w:val="28"/>
          <w:szCs w:val="28"/>
          <w:lang w:val="uk-UA" w:eastAsia="ar-SA"/>
        </w:rPr>
        <w:t xml:space="preserve"> строком на 35 місяців з платою за розміщення обладнання в розмірі 3500 грн. за місяць</w:t>
      </w:r>
      <w:r>
        <w:rPr>
          <w:b w:val="false"/>
          <w:bCs w:val="false"/>
          <w:sz w:val="28"/>
          <w:szCs w:val="28"/>
          <w:lang w:val="uk-UA" w:eastAsia="ar-SA"/>
        </w:rPr>
        <w:t xml:space="preserve">, </w:t>
      </w:r>
      <w:r>
        <w:rPr>
          <w:b w:val="false"/>
          <w:bCs w:val="false"/>
          <w:sz w:val="28"/>
          <w:szCs w:val="28"/>
          <w:lang w:val="uk-UA" w:eastAsia="ar-SA"/>
        </w:rPr>
        <w:t xml:space="preserve">керуючись Законом України «</w:t>
      </w:r>
      <w:r>
        <w:rPr>
          <w:b w:val="false"/>
          <w:bCs w:val="false"/>
          <w:sz w:val="28"/>
          <w:szCs w:val="28"/>
          <w:lang w:val="uk-UA" w:eastAsia="ar-SA"/>
        </w:rPr>
        <w:t xml:space="preserve">Про доступ до об’єктів будівництва, транспорту, електроенергетики з метою розвитку телекомунікаційних мереж</w:t>
      </w:r>
      <w:r>
        <w:rPr>
          <w:b w:val="false"/>
          <w:bCs w:val="false"/>
          <w:sz w:val="28"/>
          <w:szCs w:val="28"/>
          <w:lang w:val="uk-UA" w:eastAsia="ar-SA"/>
        </w:rPr>
        <w:t xml:space="preserve">», </w:t>
      </w:r>
      <w:r>
        <w:rPr>
          <w:b w:val="false"/>
          <w:sz w:val="28"/>
          <w:szCs w:val="28"/>
          <w:lang w:val="uk-UA" w:eastAsia="ar-SA"/>
        </w:rPr>
        <w:t xml:space="preserve">Правила</w:t>
      </w:r>
      <w:r>
        <w:rPr>
          <w:b w:val="false"/>
          <w:sz w:val="28"/>
          <w:szCs w:val="28"/>
          <w:lang w:eastAsia="ar-SA"/>
        </w:rPr>
        <w:t xml:space="preserve">ми</w:t>
      </w:r>
      <w:r>
        <w:rPr>
          <w:b w:val="false"/>
          <w:sz w:val="28"/>
          <w:szCs w:val="28"/>
          <w:lang w:val="uk-UA" w:eastAsia="ar-SA"/>
        </w:rPr>
        <w:t xml:space="preserve"> </w:t>
      </w:r>
      <w:r>
        <w:rPr>
          <w:b w:val="false"/>
          <w:sz w:val="28"/>
          <w:szCs w:val="28"/>
          <w:lang w:val="uk-UA" w:eastAsia="ar-SA"/>
        </w:rPr>
        <w:t xml:space="preserve">надання доступу до інфраструктури об’єкта будівництва</w:t>
      </w:r>
      <w:r>
        <w:rPr>
          <w:b w:val="false"/>
          <w:sz w:val="28"/>
          <w:szCs w:val="28"/>
          <w:lang w:eastAsia="ar-SA"/>
        </w:rPr>
        <w:t xml:space="preserve">, </w:t>
      </w:r>
      <w:r>
        <w:rPr>
          <w:b w:val="false"/>
          <w:sz w:val="28"/>
          <w:szCs w:val="28"/>
          <w:lang w:val="uk-UA" w:eastAsia="ar-SA"/>
        </w:rPr>
        <w:t xml:space="preserve">затвердженими</w:t>
      </w:r>
      <w:r>
        <w:rPr>
          <w:b w:val="false"/>
          <w:bCs w:val="false"/>
          <w:sz w:val="28"/>
          <w:szCs w:val="28"/>
          <w:lang w:val="uk-UA" w:eastAsia="ar-SA"/>
        </w:rPr>
        <w:t xml:space="preserve"> </w:t>
      </w:r>
      <w:r>
        <w:rPr>
          <w:b w:val="false"/>
          <w:sz w:val="28"/>
          <w:szCs w:val="28"/>
          <w:lang w:val="uk-UA" w:eastAsia="ar-SA"/>
        </w:rPr>
        <w:t xml:space="preserve">постановою Кабінету Міністрів України</w:t>
      </w:r>
      <w:r>
        <w:rPr>
          <w:b w:val="false"/>
          <w:sz w:val="28"/>
          <w:szCs w:val="28"/>
          <w:lang w:val="uk-UA" w:eastAsia="ar-SA"/>
        </w:rPr>
        <w:t xml:space="preserve"> </w:t>
      </w:r>
      <w:r>
        <w:rPr>
          <w:b w:val="false"/>
          <w:sz w:val="28"/>
          <w:szCs w:val="28"/>
          <w:lang w:val="uk-UA" w:eastAsia="ar-SA"/>
        </w:rPr>
        <w:t xml:space="preserve">від 18 липня 2018 р. № 610,</w:t>
      </w:r>
      <w:r>
        <w:rPr>
          <w:rStyle w:val="839"/>
          <w:b w:val="false"/>
          <w:bCs w:val="false"/>
          <w:color w:val="333333"/>
          <w:sz w:val="28"/>
          <w:shd w:val="clear" w:fill="FFFFFF" w:color="auto"/>
          <w:lang w:val="uk-UA"/>
        </w:rPr>
        <w:t xml:space="preserve"> </w:t>
      </w:r>
      <w:r>
        <w:rPr>
          <w:b w:val="false"/>
          <w:bCs w:val="false"/>
          <w:sz w:val="28"/>
          <w:szCs w:val="28"/>
          <w:lang w:val="uk-UA" w:eastAsia="ar-SA"/>
        </w:rPr>
        <w:t xml:space="preserve">ст. 26, 60 </w:t>
      </w:r>
      <w:r>
        <w:rPr>
          <w:b w:val="false"/>
          <w:bCs w:val="false"/>
          <w:sz w:val="28"/>
          <w:szCs w:val="28"/>
          <w:lang w:val="uk-UA" w:eastAsia="ar-SA"/>
        </w:rPr>
        <w:t xml:space="preserve">Закону України</w:t>
      </w:r>
      <w:r>
        <w:rPr>
          <w:b w:val="false"/>
          <w:bCs w:val="false"/>
          <w:sz w:val="28"/>
          <w:szCs w:val="28"/>
          <w:lang w:val="uk-UA" w:eastAsia="ar-SA"/>
        </w:rPr>
        <w:t xml:space="preserve"> «Про місцеве самоврядування в Україні», Менська міська рада </w:t>
      </w:r>
      <w:r>
        <w:rPr>
          <w:sz w:val="28"/>
        </w:rPr>
      </w:r>
    </w:p>
    <w:p>
      <w:pPr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numPr>
          <w:ilvl w:val="0"/>
          <w:numId w:val="7"/>
        </w:numPr>
        <w:ind w:left="0" w:right="0" w:firstLine="709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Погодити розміщення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телекомунікаційного обладнання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ТОВ «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лайфселл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» на даху нежитлової будівлі Будинку культури, що розташована за адресою вул. Миру, 31, с. Феськівка, строком на 35 місяців з платою за розміщення обладнання в розмірі 3500 грн. за місяць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.</w:t>
      </w:r>
      <w:r>
        <w:rPr>
          <w:sz w:val="28"/>
        </w:rPr>
      </w:r>
    </w:p>
    <w:p>
      <w:pPr>
        <w:numPr>
          <w:ilvl w:val="0"/>
          <w:numId w:val="7"/>
        </w:numPr>
        <w:ind w:left="0" w:right="0" w:firstLine="709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Засту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пнику міського голови з питань діяльності виконавчих органів ради В.І.Гнипу забезпечити видачу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Технічних умови з доступу до елементів інфраструктури об’єкта доступу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eastAsia="ar-SA"/>
        </w:rPr>
      </w:r>
    </w:p>
    <w:p>
      <w:pPr>
        <w:numPr>
          <w:ilvl w:val="0"/>
          <w:numId w:val="7"/>
        </w:numPr>
        <w:ind w:left="0" w:right="0" w:firstLine="709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ТОВ «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лайфселл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після отримання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Технічних умов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з доступу до елементів інфраструктури об’єкта доступу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розробити та подати на погодження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Проектну документація з доступу до інфраструктури об’єкта доступу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eastAsia="ar-SA"/>
        </w:rPr>
      </w:r>
    </w:p>
    <w:p>
      <w:pPr>
        <w:numPr>
          <w:ilvl w:val="0"/>
          <w:numId w:val="7"/>
        </w:numPr>
        <w:ind w:left="0" w:right="0" w:firstLine="709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Доручити начальнику відділу культури міської ради укласти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Договір з доступу на запропонованих умовах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, після проходження процедури розробки та погодження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Проектн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ої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документаці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ї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 з доступу до інфраструктури об’єкта доступу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.</w:t>
      </w:r>
      <w:r>
        <w:rPr>
          <w:rFonts w:ascii="Times New Roman" w:hAnsi="Times New Roman" w:cs="Times New Roman" w:eastAsia="Times New Roman"/>
          <w:sz w:val="28"/>
          <w:lang w:eastAsia="ar-SA"/>
        </w:rPr>
      </w:r>
    </w:p>
    <w:p>
      <w:pPr>
        <w:numPr>
          <w:ilvl w:val="0"/>
          <w:numId w:val="7"/>
        </w:numPr>
        <w:ind w:left="0" w:right="0" w:firstLine="709"/>
        <w:jc w:val="both"/>
        <w:spacing w:lineRule="auto" w:line="240" w:after="0"/>
        <w:shd w:val="clear" w:fill="FFFFFF" w:color="auto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Гнипа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 В.І.</w:t>
      </w:r>
      <w:r>
        <w:rPr>
          <w:sz w:val="28"/>
        </w:rPr>
      </w:r>
    </w:p>
    <w:p>
      <w:pPr>
        <w:spacing w:after="0"/>
        <w:tabs>
          <w:tab w:val="left" w:pos="6663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spacing w:after="0"/>
        <w:tabs>
          <w:tab w:val="left" w:pos="6663" w:leader="none"/>
        </w:tabs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spacing w:after="0"/>
        <w:tabs>
          <w:tab w:val="left" w:pos="6663" w:leader="none"/>
        </w:tabs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Г.А. Примаков</w:t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444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0">
    <w:name w:val="Title Char"/>
    <w:basedOn w:val="662"/>
    <w:link w:val="683"/>
    <w:uiPriority w:val="10"/>
    <w:rPr>
      <w:sz w:val="48"/>
      <w:szCs w:val="48"/>
    </w:rPr>
  </w:style>
  <w:style w:type="character" w:styleId="651">
    <w:name w:val="Subtitle Char"/>
    <w:basedOn w:val="662"/>
    <w:link w:val="685"/>
    <w:uiPriority w:val="11"/>
    <w:rPr>
      <w:sz w:val="24"/>
      <w:szCs w:val="24"/>
    </w:rPr>
  </w:style>
  <w:style w:type="character" w:styleId="652">
    <w:name w:val="Quote Char"/>
    <w:link w:val="687"/>
    <w:uiPriority w:val="29"/>
    <w:rPr>
      <w:i/>
    </w:rPr>
  </w:style>
  <w:style w:type="character" w:styleId="653">
    <w:name w:val="Intense Quote Char"/>
    <w:link w:val="689"/>
    <w:uiPriority w:val="30"/>
    <w:rPr>
      <w:i/>
    </w:rPr>
  </w:style>
  <w:style w:type="paragraph" w:styleId="654">
    <w:name w:val="Caption"/>
    <w:basedOn w:val="661"/>
    <w:next w:val="6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5">
    <w:name w:val="Caption Char"/>
    <w:basedOn w:val="654"/>
    <w:link w:val="693"/>
    <w:uiPriority w:val="99"/>
  </w:style>
  <w:style w:type="character" w:styleId="656">
    <w:name w:val="Footnote Text Char"/>
    <w:link w:val="821"/>
    <w:uiPriority w:val="99"/>
    <w:rPr>
      <w:sz w:val="18"/>
    </w:rPr>
  </w:style>
  <w:style w:type="paragraph" w:styleId="657">
    <w:name w:val="endnote text"/>
    <w:basedOn w:val="661"/>
    <w:link w:val="658"/>
    <w:uiPriority w:val="99"/>
    <w:semiHidden/>
    <w:unhideWhenUsed/>
    <w:rPr>
      <w:sz w:val="20"/>
    </w:rPr>
    <w:pPr>
      <w:spacing w:lineRule="auto" w:line="240" w:after="0"/>
    </w:pPr>
  </w:style>
  <w:style w:type="character" w:styleId="658">
    <w:name w:val="Endnote Text Char"/>
    <w:link w:val="657"/>
    <w:uiPriority w:val="99"/>
    <w:rPr>
      <w:sz w:val="20"/>
    </w:rPr>
  </w:style>
  <w:style w:type="character" w:styleId="659">
    <w:name w:val="endnote reference"/>
    <w:basedOn w:val="662"/>
    <w:uiPriority w:val="99"/>
    <w:semiHidden/>
    <w:unhideWhenUsed/>
    <w:rPr>
      <w:vertAlign w:val="superscript"/>
    </w:rPr>
  </w:style>
  <w:style w:type="paragraph" w:styleId="660">
    <w:name w:val="table of figures"/>
    <w:basedOn w:val="661"/>
    <w:next w:val="661"/>
    <w:uiPriority w:val="99"/>
    <w:unhideWhenUsed/>
    <w:pPr>
      <w:spacing w:after="0" w:afterAutospacing="0"/>
    </w:pPr>
  </w:style>
  <w:style w:type="paragraph" w:styleId="661" w:default="1">
    <w:name w:val="Normal"/>
    <w:qFormat/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paragraph" w:styleId="665" w:customStyle="1">
    <w:name w:val="Heading 1"/>
    <w:basedOn w:val="661"/>
    <w:next w:val="661"/>
    <w:link w:val="6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6" w:customStyle="1">
    <w:name w:val="Heading 1 Char"/>
    <w:basedOn w:val="662"/>
    <w:link w:val="665"/>
    <w:uiPriority w:val="9"/>
    <w:rPr>
      <w:rFonts w:ascii="Arial" w:hAnsi="Arial" w:cs="Arial" w:eastAsia="Arial"/>
      <w:sz w:val="40"/>
      <w:szCs w:val="40"/>
    </w:rPr>
  </w:style>
  <w:style w:type="character" w:styleId="667" w:customStyle="1">
    <w:name w:val="Heading 2 Char"/>
    <w:basedOn w:val="662"/>
    <w:link w:val="834"/>
    <w:uiPriority w:val="9"/>
    <w:rPr>
      <w:rFonts w:ascii="Arial" w:hAnsi="Arial" w:cs="Arial" w:eastAsia="Arial"/>
      <w:sz w:val="34"/>
    </w:rPr>
  </w:style>
  <w:style w:type="paragraph" w:styleId="668" w:customStyle="1">
    <w:name w:val="Heading 3"/>
    <w:basedOn w:val="661"/>
    <w:next w:val="661"/>
    <w:link w:val="6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9" w:customStyle="1">
    <w:name w:val="Heading 3 Char"/>
    <w:basedOn w:val="662"/>
    <w:link w:val="668"/>
    <w:uiPriority w:val="9"/>
    <w:rPr>
      <w:rFonts w:ascii="Arial" w:hAnsi="Arial" w:cs="Arial" w:eastAsia="Arial"/>
      <w:sz w:val="30"/>
      <w:szCs w:val="30"/>
    </w:rPr>
  </w:style>
  <w:style w:type="paragraph" w:styleId="670" w:customStyle="1">
    <w:name w:val="Heading 4"/>
    <w:basedOn w:val="661"/>
    <w:next w:val="661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1" w:customStyle="1">
    <w:name w:val="Heading 4 Char"/>
    <w:basedOn w:val="662"/>
    <w:link w:val="670"/>
    <w:uiPriority w:val="9"/>
    <w:rPr>
      <w:rFonts w:ascii="Arial" w:hAnsi="Arial" w:cs="Arial" w:eastAsia="Arial"/>
      <w:b/>
      <w:bCs/>
      <w:sz w:val="26"/>
      <w:szCs w:val="26"/>
    </w:rPr>
  </w:style>
  <w:style w:type="paragraph" w:styleId="672" w:customStyle="1">
    <w:name w:val="Heading 5"/>
    <w:basedOn w:val="661"/>
    <w:next w:val="661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3" w:customStyle="1">
    <w:name w:val="Heading 5 Char"/>
    <w:basedOn w:val="662"/>
    <w:link w:val="672"/>
    <w:uiPriority w:val="9"/>
    <w:rPr>
      <w:rFonts w:ascii="Arial" w:hAnsi="Arial" w:cs="Arial" w:eastAsia="Arial"/>
      <w:b/>
      <w:bCs/>
      <w:sz w:val="24"/>
      <w:szCs w:val="24"/>
    </w:rPr>
  </w:style>
  <w:style w:type="paragraph" w:styleId="674" w:customStyle="1">
    <w:name w:val="Heading 6"/>
    <w:basedOn w:val="661"/>
    <w:next w:val="661"/>
    <w:link w:val="67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75" w:customStyle="1">
    <w:name w:val="Heading 6 Char"/>
    <w:basedOn w:val="662"/>
    <w:link w:val="674"/>
    <w:uiPriority w:val="9"/>
    <w:rPr>
      <w:rFonts w:ascii="Arial" w:hAnsi="Arial" w:cs="Arial" w:eastAsia="Arial"/>
      <w:b/>
      <w:bCs/>
      <w:sz w:val="22"/>
      <w:szCs w:val="22"/>
    </w:rPr>
  </w:style>
  <w:style w:type="paragraph" w:styleId="676" w:customStyle="1">
    <w:name w:val="Heading 7"/>
    <w:basedOn w:val="661"/>
    <w:next w:val="661"/>
    <w:link w:val="67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77" w:customStyle="1">
    <w:name w:val="Heading 7 Char"/>
    <w:basedOn w:val="662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8" w:customStyle="1">
    <w:name w:val="Heading 8"/>
    <w:basedOn w:val="661"/>
    <w:next w:val="661"/>
    <w:link w:val="67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79" w:customStyle="1">
    <w:name w:val="Heading 8 Char"/>
    <w:basedOn w:val="662"/>
    <w:link w:val="678"/>
    <w:uiPriority w:val="9"/>
    <w:rPr>
      <w:rFonts w:ascii="Arial" w:hAnsi="Arial" w:cs="Arial" w:eastAsia="Arial"/>
      <w:i/>
      <w:iCs/>
      <w:sz w:val="22"/>
      <w:szCs w:val="22"/>
    </w:rPr>
  </w:style>
  <w:style w:type="paragraph" w:styleId="680" w:customStyle="1">
    <w:name w:val="Heading 9"/>
    <w:basedOn w:val="661"/>
    <w:next w:val="661"/>
    <w:link w:val="6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1" w:customStyle="1">
    <w:name w:val="Heading 9 Char"/>
    <w:basedOn w:val="662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No Spacing"/>
    <w:qFormat/>
    <w:uiPriority w:val="1"/>
    <w:pPr>
      <w:spacing w:lineRule="auto" w:line="240" w:after="0"/>
    </w:pPr>
  </w:style>
  <w:style w:type="paragraph" w:styleId="683">
    <w:name w:val="Title"/>
    <w:basedOn w:val="661"/>
    <w:next w:val="661"/>
    <w:link w:val="6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4" w:customStyle="1">
    <w:name w:val="Название Знак"/>
    <w:basedOn w:val="662"/>
    <w:link w:val="683"/>
    <w:uiPriority w:val="10"/>
    <w:rPr>
      <w:sz w:val="48"/>
      <w:szCs w:val="48"/>
    </w:rPr>
  </w:style>
  <w:style w:type="paragraph" w:styleId="685">
    <w:name w:val="Subtitle"/>
    <w:basedOn w:val="661"/>
    <w:next w:val="661"/>
    <w:link w:val="686"/>
    <w:qFormat/>
    <w:uiPriority w:val="11"/>
    <w:rPr>
      <w:sz w:val="24"/>
      <w:szCs w:val="24"/>
    </w:rPr>
    <w:pPr>
      <w:spacing w:after="200" w:before="200"/>
    </w:pPr>
  </w:style>
  <w:style w:type="character" w:styleId="686" w:customStyle="1">
    <w:name w:val="Подзаголовок Знак"/>
    <w:basedOn w:val="662"/>
    <w:link w:val="685"/>
    <w:uiPriority w:val="11"/>
    <w:rPr>
      <w:sz w:val="24"/>
      <w:szCs w:val="24"/>
    </w:rPr>
  </w:style>
  <w:style w:type="paragraph" w:styleId="687">
    <w:name w:val="Quote"/>
    <w:basedOn w:val="661"/>
    <w:next w:val="661"/>
    <w:link w:val="688"/>
    <w:qFormat/>
    <w:uiPriority w:val="29"/>
    <w:rPr>
      <w:i/>
    </w:rPr>
    <w:pPr>
      <w:ind w:left="720" w:right="720"/>
    </w:pPr>
  </w:style>
  <w:style w:type="character" w:styleId="688" w:customStyle="1">
    <w:name w:val="Цитата 2 Знак"/>
    <w:link w:val="687"/>
    <w:uiPriority w:val="29"/>
    <w:rPr>
      <w:i/>
    </w:rPr>
  </w:style>
  <w:style w:type="paragraph" w:styleId="689">
    <w:name w:val="Intense Quote"/>
    <w:basedOn w:val="661"/>
    <w:next w:val="661"/>
    <w:link w:val="69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0" w:customStyle="1">
    <w:name w:val="Выделенная цитата Знак"/>
    <w:link w:val="689"/>
    <w:uiPriority w:val="30"/>
    <w:rPr>
      <w:i/>
    </w:rPr>
  </w:style>
  <w:style w:type="paragraph" w:styleId="691" w:customStyle="1">
    <w:name w:val="Header"/>
    <w:basedOn w:val="661"/>
    <w:link w:val="6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2" w:customStyle="1">
    <w:name w:val="Header Char"/>
    <w:basedOn w:val="662"/>
    <w:link w:val="691"/>
    <w:uiPriority w:val="99"/>
  </w:style>
  <w:style w:type="paragraph" w:styleId="693" w:customStyle="1">
    <w:name w:val="Footer"/>
    <w:basedOn w:val="661"/>
    <w:link w:val="6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4" w:customStyle="1">
    <w:name w:val="Footer Char"/>
    <w:basedOn w:val="662"/>
    <w:link w:val="693"/>
    <w:uiPriority w:val="99"/>
  </w:style>
  <w:style w:type="table" w:styleId="695" w:customStyle="1">
    <w:name w:val="Table Grid Light"/>
    <w:basedOn w:val="66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Plain Table 1"/>
    <w:basedOn w:val="66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 w:customStyle="1">
    <w:name w:val="Plain Table 2"/>
    <w:basedOn w:val="6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 w:customStyle="1">
    <w:name w:val="Plain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 w:customStyle="1">
    <w:name w:val="Plain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Plain Table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 w:customStyle="1">
    <w:name w:val="Grid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 w:customStyle="1">
    <w:name w:val="Grid Table 4 - Accent 1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24" w:customStyle="1">
    <w:name w:val="Grid Table 4 - Accent 2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5" w:customStyle="1">
    <w:name w:val="Grid Table 4 - Accent 3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6" w:customStyle="1">
    <w:name w:val="Grid Table 4 - Accent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7" w:customStyle="1">
    <w:name w:val="Grid Table 4 - Accent 5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8" w:customStyle="1">
    <w:name w:val="Grid Table 4 - Accent 6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9" w:customStyle="1">
    <w:name w:val="Grid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7" w:customStyle="1">
    <w:name w:val="Grid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8" w:customStyle="1">
    <w:name w:val="Grid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9" w:customStyle="1">
    <w:name w:val="Grid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0" w:customStyle="1">
    <w:name w:val="Grid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1" w:customStyle="1">
    <w:name w:val="Grid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2" w:customStyle="1">
    <w:name w:val="Grid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3" w:customStyle="1">
    <w:name w:val="Grid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Grid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7" w:customStyle="1">
    <w:name w:val="Grid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8" w:customStyle="1">
    <w:name w:val="Grid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9" w:customStyle="1">
    <w:name w:val="Grid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50" w:customStyle="1">
    <w:name w:val="List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8" w:customStyle="1">
    <w:name w:val="List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9" w:customStyle="1">
    <w:name w:val="List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0" w:customStyle="1">
    <w:name w:val="List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1" w:customStyle="1">
    <w:name w:val="List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2" w:customStyle="1">
    <w:name w:val="List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3" w:customStyle="1">
    <w:name w:val="List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4" w:customStyle="1">
    <w:name w:val="List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6" w:customStyle="1">
    <w:name w:val="List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7" w:customStyle="1">
    <w:name w:val="List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8" w:customStyle="1">
    <w:name w:val="List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9" w:customStyle="1">
    <w:name w:val="List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0" w:customStyle="1">
    <w:name w:val="List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91" w:customStyle="1">
    <w:name w:val="List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2" w:customStyle="1">
    <w:name w:val="List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st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st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List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List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Lined - Accent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0" w:customStyle="1">
    <w:name w:val="Lined - Accent 1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01" w:customStyle="1">
    <w:name w:val="Lined - Accent 2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2" w:customStyle="1">
    <w:name w:val="Lined - Accent 3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3" w:customStyle="1">
    <w:name w:val="Lined - Accent 4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04" w:customStyle="1">
    <w:name w:val="Lined - Accent 5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05" w:customStyle="1">
    <w:name w:val="Lined - Accent 6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06" w:customStyle="1">
    <w:name w:val="Bordered &amp; Lined - Accent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7" w:customStyle="1">
    <w:name w:val="Bordered &amp; Lined - Accent 1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08" w:customStyle="1">
    <w:name w:val="Bordered &amp; Lined - Accent 2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9" w:customStyle="1">
    <w:name w:val="Bordered &amp; Lined - Accent 3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0" w:customStyle="1">
    <w:name w:val="Bordered &amp; Lined - Accent 4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1" w:customStyle="1">
    <w:name w:val="Bordered &amp; Lined - Accent 5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12" w:customStyle="1">
    <w:name w:val="Bordered &amp; Lined - Accent 6"/>
    <w:basedOn w:val="66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3" w:customStyle="1">
    <w:name w:val="Bordered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4" w:customStyle="1">
    <w:name w:val="Bordered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5" w:customStyle="1">
    <w:name w:val="Bordered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6" w:customStyle="1">
    <w:name w:val="Bordered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7" w:customStyle="1">
    <w:name w:val="Bordered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8" w:customStyle="1">
    <w:name w:val="Bordered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9" w:customStyle="1">
    <w:name w:val="Bordered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0">
    <w:name w:val="Hyperlink"/>
    <w:uiPriority w:val="99"/>
    <w:unhideWhenUsed/>
    <w:rPr>
      <w:color w:val="0563C1" w:themeColor="hyperlink"/>
      <w:u w:val="single"/>
    </w:rPr>
  </w:style>
  <w:style w:type="paragraph" w:styleId="821">
    <w:name w:val="footnote text"/>
    <w:basedOn w:val="661"/>
    <w:link w:val="822"/>
    <w:uiPriority w:val="99"/>
    <w:semiHidden/>
    <w:unhideWhenUsed/>
    <w:rPr>
      <w:sz w:val="18"/>
    </w:rPr>
    <w:pPr>
      <w:spacing w:lineRule="auto" w:line="240" w:after="40"/>
    </w:pPr>
  </w:style>
  <w:style w:type="character" w:styleId="822" w:customStyle="1">
    <w:name w:val="Текст сноски Знак"/>
    <w:link w:val="821"/>
    <w:uiPriority w:val="99"/>
    <w:rPr>
      <w:sz w:val="18"/>
    </w:rPr>
  </w:style>
  <w:style w:type="character" w:styleId="823">
    <w:name w:val="footnote reference"/>
    <w:basedOn w:val="662"/>
    <w:uiPriority w:val="99"/>
    <w:unhideWhenUsed/>
    <w:rPr>
      <w:vertAlign w:val="superscript"/>
    </w:rPr>
  </w:style>
  <w:style w:type="paragraph" w:styleId="824">
    <w:name w:val="toc 1"/>
    <w:basedOn w:val="661"/>
    <w:next w:val="661"/>
    <w:uiPriority w:val="39"/>
    <w:unhideWhenUsed/>
    <w:pPr>
      <w:spacing w:after="57"/>
    </w:pPr>
  </w:style>
  <w:style w:type="paragraph" w:styleId="825">
    <w:name w:val="toc 2"/>
    <w:basedOn w:val="661"/>
    <w:next w:val="661"/>
    <w:uiPriority w:val="39"/>
    <w:unhideWhenUsed/>
    <w:pPr>
      <w:ind w:left="283"/>
      <w:spacing w:after="57"/>
    </w:pPr>
  </w:style>
  <w:style w:type="paragraph" w:styleId="826">
    <w:name w:val="toc 3"/>
    <w:basedOn w:val="661"/>
    <w:next w:val="661"/>
    <w:uiPriority w:val="39"/>
    <w:unhideWhenUsed/>
    <w:pPr>
      <w:ind w:left="567"/>
      <w:spacing w:after="57"/>
    </w:pPr>
  </w:style>
  <w:style w:type="paragraph" w:styleId="827">
    <w:name w:val="toc 4"/>
    <w:basedOn w:val="661"/>
    <w:next w:val="661"/>
    <w:uiPriority w:val="39"/>
    <w:unhideWhenUsed/>
    <w:pPr>
      <w:ind w:left="850"/>
      <w:spacing w:after="57"/>
    </w:pPr>
  </w:style>
  <w:style w:type="paragraph" w:styleId="828">
    <w:name w:val="toc 5"/>
    <w:basedOn w:val="661"/>
    <w:next w:val="661"/>
    <w:uiPriority w:val="39"/>
    <w:unhideWhenUsed/>
    <w:pPr>
      <w:ind w:left="1134"/>
      <w:spacing w:after="57"/>
    </w:pPr>
  </w:style>
  <w:style w:type="paragraph" w:styleId="829">
    <w:name w:val="toc 6"/>
    <w:basedOn w:val="661"/>
    <w:next w:val="661"/>
    <w:uiPriority w:val="39"/>
    <w:unhideWhenUsed/>
    <w:pPr>
      <w:ind w:left="1417"/>
      <w:spacing w:after="57"/>
    </w:pPr>
  </w:style>
  <w:style w:type="paragraph" w:styleId="830">
    <w:name w:val="toc 7"/>
    <w:basedOn w:val="661"/>
    <w:next w:val="661"/>
    <w:uiPriority w:val="39"/>
    <w:unhideWhenUsed/>
    <w:pPr>
      <w:ind w:left="1701"/>
      <w:spacing w:after="57"/>
    </w:pPr>
  </w:style>
  <w:style w:type="paragraph" w:styleId="831">
    <w:name w:val="toc 8"/>
    <w:basedOn w:val="661"/>
    <w:next w:val="661"/>
    <w:uiPriority w:val="39"/>
    <w:unhideWhenUsed/>
    <w:pPr>
      <w:ind w:left="1984"/>
      <w:spacing w:after="57"/>
    </w:pPr>
  </w:style>
  <w:style w:type="paragraph" w:styleId="832">
    <w:name w:val="toc 9"/>
    <w:basedOn w:val="661"/>
    <w:next w:val="661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 w:customStyle="1">
    <w:name w:val="Heading 2"/>
    <w:basedOn w:val="661"/>
    <w:link w:val="844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val="ru-RU" w:eastAsia="ru-RU"/>
    </w:rPr>
    <w:pPr>
      <w:spacing w:lineRule="auto" w:line="240" w:after="100" w:afterAutospacing="1" w:before="100" w:beforeAutospacing="1"/>
      <w:outlineLvl w:val="1"/>
    </w:pPr>
  </w:style>
  <w:style w:type="paragraph" w:styleId="835">
    <w:name w:val="List Paragraph"/>
    <w:basedOn w:val="661"/>
    <w:qFormat/>
    <w:uiPriority w:val="34"/>
    <w:pPr>
      <w:contextualSpacing w:val="true"/>
      <w:ind w:left="720"/>
    </w:pPr>
  </w:style>
  <w:style w:type="paragraph" w:styleId="836">
    <w:name w:val="Balloon Text"/>
    <w:basedOn w:val="661"/>
    <w:link w:val="83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37" w:customStyle="1">
    <w:name w:val="Текст выноски Знак"/>
    <w:basedOn w:val="662"/>
    <w:link w:val="836"/>
    <w:uiPriority w:val="99"/>
    <w:semiHidden/>
    <w:rPr>
      <w:rFonts w:ascii="Segoe UI" w:hAnsi="Segoe UI" w:cs="Segoe UI"/>
      <w:sz w:val="18"/>
      <w:szCs w:val="18"/>
    </w:rPr>
  </w:style>
  <w:style w:type="character" w:styleId="838" w:customStyle="1">
    <w:name w:val="rvts23"/>
    <w:basedOn w:val="662"/>
  </w:style>
  <w:style w:type="character" w:styleId="839" w:customStyle="1">
    <w:name w:val="rvts9"/>
    <w:basedOn w:val="662"/>
  </w:style>
  <w:style w:type="character" w:styleId="840">
    <w:name w:val="Strong"/>
    <w:basedOn w:val="662"/>
    <w:qFormat/>
    <w:uiPriority w:val="22"/>
    <w:rPr>
      <w:b/>
      <w:bCs/>
    </w:rPr>
  </w:style>
  <w:style w:type="table" w:styleId="841">
    <w:name w:val="Table Grid"/>
    <w:basedOn w:val="663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2" w:customStyle="1">
    <w:name w:val="docdata"/>
    <w:basedOn w:val="662"/>
  </w:style>
  <w:style w:type="paragraph" w:styleId="843">
    <w:name w:val="Normal (Web)"/>
    <w:basedOn w:val="661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44" w:customStyle="1">
    <w:name w:val="Заголовок 2 Знак"/>
    <w:basedOn w:val="662"/>
    <w:link w:val="834"/>
    <w:uiPriority w:val="9"/>
    <w:rPr>
      <w:rFonts w:ascii="Times New Roman" w:hAnsi="Times New Roman" w:cs="Times New Roman" w:eastAsia="Times New Roman"/>
      <w:b/>
      <w:bCs/>
      <w:sz w:val="36"/>
      <w:szCs w:val="36"/>
      <w:lang w:val="ru-RU" w:eastAsia="ru-RU"/>
    </w:rPr>
  </w:style>
  <w:style w:type="paragraph" w:styleId="845" w:customStyle="1">
    <w:name w:val="tc"/>
    <w:basedOn w:val="66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22</cp:revision>
  <dcterms:created xsi:type="dcterms:W3CDTF">2021-07-28T12:37:00Z</dcterms:created>
  <dcterms:modified xsi:type="dcterms:W3CDTF">2021-09-02T10:30:39Z</dcterms:modified>
</cp:coreProperties>
</file>