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до рішення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 скликання від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31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.2021 №____“Про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 ”</w:t>
      </w:r>
      <w:r/>
    </w:p>
    <w:p>
      <w:pPr>
        <w:ind w:left="2096" w:right="1800"/>
        <w:jc w:val="center"/>
        <w:spacing w:lineRule="auto" w:line="240" w:after="0"/>
        <w:widowControl w:val="off"/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</w:r>
      <w:r/>
    </w:p>
    <w:p>
      <w:pPr>
        <w:ind w:left="2096" w:right="1800"/>
        <w:jc w:val="center"/>
        <w:spacing w:lineRule="auto" w:line="240" w:after="0"/>
        <w:widowControl w:val="off"/>
        <w:rPr>
          <w:rFonts w:ascii="Times New Roman" w:hAnsi="Times New Roman" w:cs="Verdana"/>
          <w:b/>
          <w:bCs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ІН</w:t>
      </w:r>
      <w:r>
        <w:rPr>
          <w:rFonts w:ascii="Times New Roman" w:hAnsi="Times New Roman" w:cs="Verdana"/>
          <w:b/>
          <w:bCs/>
          <w:spacing w:val="-4"/>
          <w:sz w:val="28"/>
          <w:szCs w:val="28"/>
          <w:lang w:eastAsia="ru-RU"/>
        </w:rPr>
        <w:t xml:space="preserve">Ф</w:t>
      </w:r>
      <w:r>
        <w:rPr>
          <w:rFonts w:ascii="Times New Roman" w:hAnsi="Times New Roman" w:cs="Verdana"/>
          <w:b/>
          <w:bCs/>
          <w:spacing w:val="4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Verdana"/>
          <w:b/>
          <w:bCs/>
          <w:spacing w:val="-1"/>
          <w:sz w:val="28"/>
          <w:szCs w:val="28"/>
          <w:lang w:eastAsia="ru-RU"/>
        </w:rPr>
        <w:t xml:space="preserve">РМ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spacing w:val="4"/>
          <w:sz w:val="28"/>
          <w:szCs w:val="28"/>
          <w:lang w:eastAsia="ru-RU"/>
        </w:rPr>
        <w:t xml:space="preserve">Ц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І</w:t>
      </w:r>
      <w:r>
        <w:rPr>
          <w:rFonts w:ascii="Times New Roman" w:hAnsi="Times New Roman" w:cs="Verdana"/>
          <w:b/>
          <w:bCs/>
          <w:spacing w:val="-2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Verdana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spacing w:val="-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-1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spacing w:val="-1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Т</w:t>
      </w:r>
      <w:r>
        <w:rPr>
          <w:rFonts w:ascii="Times New Roman" w:hAnsi="Times New Roman" w:cs="Verdana"/>
          <w:b/>
          <w:bCs/>
          <w:spacing w:val="-2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Verdana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Verdana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АД</w:t>
      </w:r>
      <w:r>
        <w:rPr>
          <w:rFonts w:ascii="Times New Roman" w:hAnsi="Times New Roman" w:cs="Verdana"/>
          <w:b/>
          <w:bCs/>
          <w:spacing w:val="-2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ІНІСТ</w:t>
      </w:r>
      <w:r>
        <w:rPr>
          <w:rFonts w:ascii="Times New Roman" w:hAnsi="Times New Roman" w:cs="Verdana"/>
          <w:b/>
          <w:bCs/>
          <w:spacing w:val="-1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АТИ</w:t>
      </w:r>
      <w:r>
        <w:rPr>
          <w:rFonts w:ascii="Times New Roman" w:hAnsi="Times New Roman" w:cs="Verdana"/>
          <w:b/>
          <w:bCs/>
          <w:spacing w:val="-2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НОЇ ПОСЛУГИ</w:t>
      </w:r>
      <w:r>
        <w:rPr>
          <w:rFonts w:ascii="Times New Roman" w:hAnsi="Times New Roman" w:cs="Verdana"/>
          <w:b/>
          <w:bCs/>
          <w:spacing w:val="2"/>
          <w:sz w:val="28"/>
          <w:szCs w:val="28"/>
          <w:lang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Verdana"/>
          <w:sz w:val="28"/>
          <w:szCs w:val="28"/>
          <w:u w:val="single"/>
          <w:lang w:eastAsia="ru-RU"/>
        </w:rPr>
      </w:pPr>
      <w:r>
        <w:rPr>
          <w:rFonts w:ascii="Times New Roman" w:hAnsi="Times New Roman" w:cs="Verdana"/>
          <w:b/>
          <w:sz w:val="28"/>
          <w:szCs w:val="28"/>
          <w:u w:val="single"/>
        </w:rPr>
        <w:t xml:space="preserve">«ВИДАЧА ВИТЯГУ З РЕЄСТРУ ТЕРИТОРІАЛЬНОЇ ГРОМАДИ ПРО ЗАРЕЄСТРОВАНИХ У ЖИТЛОВОМУ ПРИМІЩЕННІ/БУДИНКУ ОСІБ»</w:t>
      </w:r>
      <w:r/>
    </w:p>
    <w:p>
      <w:pPr>
        <w:ind w:right="2267"/>
        <w:jc w:val="center"/>
        <w:spacing w:lineRule="auto" w:line="240" w:after="0"/>
        <w:widowControl w:val="off"/>
        <w:rPr>
          <w:rFonts w:ascii="Times New Roman" w:hAnsi="Times New Roman" w:cs="Verdana"/>
          <w:sz w:val="28"/>
          <w:szCs w:val="28"/>
          <w:lang w:eastAsia="ru-RU"/>
        </w:rPr>
      </w:pPr>
      <w:r>
        <w:rPr>
          <w:rFonts w:ascii="Times New Roman" w:hAnsi="Times New Roman" w:cs="Verdana"/>
          <w:sz w:val="28"/>
          <w:szCs w:val="28"/>
          <w:lang w:eastAsia="ru-RU"/>
        </w:rPr>
        <w:t xml:space="preserve">                                     (назва</w:t>
      </w:r>
      <w:r>
        <w:rPr>
          <w:rFonts w:ascii="Times New Roman" w:hAnsi="Times New Roman" w:cs="Verdan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Verdana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Verdana"/>
          <w:spacing w:val="3"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Verdana"/>
          <w:sz w:val="28"/>
          <w:szCs w:val="28"/>
          <w:lang w:eastAsia="ru-RU"/>
        </w:rPr>
        <w:t xml:space="preserve">міністр</w:t>
      </w:r>
      <w:r>
        <w:rPr>
          <w:rFonts w:ascii="Times New Roman" w:hAnsi="Times New Roman" w:cs="Verdana"/>
          <w:spacing w:val="3"/>
          <w:sz w:val="28"/>
          <w:szCs w:val="28"/>
          <w:lang w:eastAsia="ru-RU"/>
        </w:rPr>
        <w:t xml:space="preserve">ат</w:t>
      </w:r>
      <w:r>
        <w:rPr>
          <w:rFonts w:ascii="Times New Roman" w:hAnsi="Times New Roman" w:cs="Verdana"/>
          <w:sz w:val="28"/>
          <w:szCs w:val="28"/>
          <w:lang w:eastAsia="ru-RU"/>
        </w:rPr>
        <w:t xml:space="preserve">ивної</w:t>
      </w:r>
      <w:r>
        <w:rPr>
          <w:rFonts w:ascii="Times New Roman" w:hAnsi="Times New Roman" w:cs="Verdana"/>
          <w:spacing w:val="-13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Verdana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Verdana"/>
          <w:spacing w:val="6"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Verdana"/>
          <w:sz w:val="28"/>
          <w:szCs w:val="28"/>
          <w:lang w:eastAsia="ru-RU"/>
        </w:rPr>
        <w:t xml:space="preserve">луг</w:t>
      </w:r>
      <w:r>
        <w:rPr>
          <w:rFonts w:ascii="Times New Roman" w:hAnsi="Times New Roman" w:cs="Verdana"/>
          <w:spacing w:val="3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Verdana"/>
          <w:sz w:val="28"/>
          <w:szCs w:val="28"/>
          <w:lang w:eastAsia="ru-RU"/>
        </w:rPr>
        <w:t xml:space="preserve">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Відділ «Центр надання адміністративних послуг»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найменування суб’єкта надання адміністративної послуги)</w:t>
      </w:r>
      <w:r/>
    </w:p>
    <w:tbl>
      <w:tblPr>
        <w:tblW w:w="1000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65"/>
        <w:gridCol w:w="3165"/>
        <w:gridCol w:w="1515"/>
        <w:gridCol w:w="4564"/>
      </w:tblGrid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Інформація про суб’єкта надання адміністративної послуги</w:t>
            </w:r>
            <w:r/>
          </w:p>
        </w:tc>
      </w:tr>
      <w:tr>
        <w:trPr>
          <w:trHeight w:val="1630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Найменування  центру надання адміністративних послуг, в якому здійснюється обслуговування суб’єкта звернення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79" w:type="dxa"/>
            <w:vAlign w:val="center"/>
            <w:textDirection w:val="lrTb"/>
            <w:noWrap w:val="false"/>
          </w:tcPr>
          <w:p>
            <w:pPr>
              <w:pStyle w:val="611"/>
              <w:spacing w:after="0" w:afterAutospacing="0"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611"/>
              <w:spacing w:after="0" w:afterAutospacing="0" w:before="0" w:before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Староста або в.о. старости в </w:t>
            </w:r>
            <w:r>
              <w:rPr>
                <w:bCs/>
                <w:sz w:val="28"/>
                <w:szCs w:val="28"/>
              </w:rPr>
              <w:t xml:space="preserve">старостинських</w:t>
            </w:r>
            <w:r>
              <w:rPr>
                <w:bCs/>
                <w:sz w:val="28"/>
                <w:szCs w:val="28"/>
              </w:rPr>
              <w:t xml:space="preserve"> округах Менської міської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Місцезнаходження центру надання адміністративних послуг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79" w:type="dxa"/>
            <w:vAlign w:val="center"/>
            <w:textDirection w:val="lrTb"/>
            <w:noWrap w:val="false"/>
          </w:tcPr>
          <w:p>
            <w:pPr>
              <w:pStyle w:val="611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15600, вул. Героїв Ато, 6 м. </w:t>
            </w:r>
            <w:r>
              <w:rPr>
                <w:sz w:val="28"/>
                <w:szCs w:val="28"/>
              </w:rPr>
              <w:t xml:space="preserve">Мена</w:t>
            </w:r>
            <w:r>
              <w:rPr>
                <w:sz w:val="28"/>
                <w:szCs w:val="28"/>
              </w:rPr>
              <w:t xml:space="preserve"> Чернігівська область</w:t>
            </w:r>
            <w:r/>
          </w:p>
          <w:p>
            <w:pPr>
              <w:pStyle w:val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Інформація щодо часу прийому суб’єктів звернень центром надання адміністративних послуг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79" w:type="dxa"/>
            <w:textDirection w:val="lrTb"/>
            <w:noWrap w:val="false"/>
          </w:tcPr>
          <w:p>
            <w:pPr>
              <w:pStyle w:val="611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Понеділок                  з 8:30 до 16:30</w:t>
            </w:r>
            <w:r>
              <w:rPr>
                <w:sz w:val="28"/>
                <w:szCs w:val="28"/>
              </w:rPr>
              <w:br/>
              <w:t xml:space="preserve">Вівторок                     з 8:30 до 16:30</w:t>
            </w:r>
            <w:r/>
          </w:p>
          <w:p>
            <w:pPr>
              <w:pStyle w:val="611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Середа                        з 8:30 до 16:30</w:t>
            </w:r>
            <w:r>
              <w:rPr>
                <w:sz w:val="28"/>
                <w:szCs w:val="28"/>
              </w:rPr>
              <w:br/>
              <w:t xml:space="preserve">Четвер                        з 8:30 до 20:00</w:t>
            </w:r>
            <w:r>
              <w:rPr>
                <w:sz w:val="28"/>
                <w:szCs w:val="28"/>
              </w:rPr>
              <w:br/>
              <w:t xml:space="preserve">П’ятниця                    з 8:30 до 15:30</w:t>
            </w:r>
            <w:r>
              <w:rPr>
                <w:sz w:val="28"/>
                <w:szCs w:val="28"/>
              </w:rPr>
              <w:br/>
              <w:t xml:space="preserve">Субота                        з 8:30 до 15:30</w:t>
            </w:r>
            <w:r/>
          </w:p>
          <w:p>
            <w:pPr>
              <w:pStyle w:val="610"/>
              <w:ind w:left="130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Вихідний день                 неділя</w:t>
            </w:r>
            <w:r/>
          </w:p>
          <w:p>
            <w:pPr>
              <w:pStyle w:val="61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Телефон/факс (довідки), адреса електронної пошти та веб-сайт центру надання адміністративних послуг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79" w:type="dxa"/>
            <w:textDirection w:val="lrTb"/>
            <w:noWrap w:val="false"/>
          </w:tcPr>
          <w:p>
            <w:pPr>
              <w:pStyle w:val="6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Тел</w:t>
            </w:r>
            <w:r>
              <w:rPr>
                <w:bCs/>
                <w:sz w:val="28"/>
                <w:szCs w:val="28"/>
              </w:rPr>
              <w:t xml:space="preserve">./факс:</w:t>
            </w:r>
            <w:r>
              <w:rPr>
                <w:sz w:val="28"/>
                <w:szCs w:val="28"/>
              </w:rPr>
              <w:t xml:space="preserve"> (04644) 2-16-81</w:t>
            </w:r>
            <w:r/>
          </w:p>
          <w:p>
            <w:pPr>
              <w:pStyle w:val="61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Електронна пошта: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0" w:tooltip="mailto:cnapradamena@cg.gov.ua" w:history="1"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cnapradamena</w:t>
              </w:r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</w:rPr>
                <w:t xml:space="preserve">@</w:t>
              </w:r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cg</w:t>
              </w:r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</w:rPr>
                <w:t xml:space="preserve">.</w:t>
              </w:r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gov</w:t>
              </w:r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</w:rPr>
                <w:t xml:space="preserve">.</w:t>
              </w:r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ua</w:t>
              </w:r>
            </w:hyperlink>
            <w:r/>
            <w:r/>
          </w:p>
        </w:tc>
      </w:tr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Закони України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NewRomanPSMT"/>
                <w:sz w:val="28"/>
                <w:szCs w:val="28"/>
                <w:lang w:eastAsia="uk-UA"/>
              </w:rPr>
              <w:t xml:space="preserve">Закон України «Про адміністративні послуги»                 від 06.09.2012 № 5203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свободу пересування та вільний вибір місця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проживання в Україні»  від 11.12.2003 № 1382-І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NewRomanPSMT"/>
                <w:sz w:val="28"/>
                <w:szCs w:val="28"/>
                <w:lang w:eastAsia="uk-UA"/>
              </w:rPr>
              <w:t xml:space="preserve">Закон України «Про місцеве самоврядування в Україні» від 21.05.1997 № 280/97-ВР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 Кабінету Міністрів України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Постанова КМУ від 02.03.2016 №207 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Підстава для одержання адміністративної послуги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vAlign w:val="center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Заява особи або її законного представника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заява;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паспорт, якщо дитина не досягла 14 років, подається свідоцтво про народження;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документ про право власності на житлове приміщення/будинок (для осіб, місце проживання яких не зареєстроване в даному житловому приміщенні/будинку, але особа є власником/співвласником);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домову книгу (за наявності);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5) у разі подання заяви представником особи додатково подаються: документ, що посвідчує особу представника; документ, що підтверджує повноваження особи як представника;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6) документ, що посвідчує особу законного представника; документи, що підтверджують повноваження законного представника у разі подання заяви законним представником;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інші документи, передбачені нормативно-правовими актами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України та конкретним рішення органу місцевого самоврядування.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ind w:left="-113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Verdan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Verdana"/>
                <w:color w:val="000000"/>
                <w:sz w:val="28"/>
                <w:szCs w:val="28"/>
                <w:lang w:eastAsia="ru-RU"/>
              </w:rPr>
              <w:t xml:space="preserve">Заявник для одержання адміністративної послуги з видачі витягу з РТГ про зареєстрованих у житловому приміщення/будинку осіб звертається до центру надання адміністративних послуг відповідно до реєстрації місця проживання або до старости.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Платність (безоплатність)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Адміністративна послуга безкоштовна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Строк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/>
            <w:bookmarkStart w:id="0" w:name="n142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день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13.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Перелік підстав для відмови у наданні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 реєстрації відмовляє у видачі витягу, якщо: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особа не подала необхідних документів;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 поданих документах містяться недостовірні відомості або подані документи є недійсними;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звернулася особа, яка не досягла 14 років.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Рішення про відмову у видачі витягу  приймається в день звернення особи або її представника шляхом зазначення у заяві підстав відмови.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Зазначена заява повертається особі або її представнику.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14.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Витяг з РТГ про зареєстрованих у житловому приміщення/будинку осіб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15.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Особисто або через уповноважену особу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16.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Оскарження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установленому порядку.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2096" w:right="180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  <w:lang w:eastAsia="ru-RU"/>
        </w:rPr>
      </w:pPr>
      <w:r/>
      <w:bookmarkStart w:id="1" w:name="_Hlk79150757"/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lang w:eastAsia="ru-RU"/>
        </w:rPr>
        <w:t xml:space="preserve">ТЕХНОЛОГІЧНА К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  <w:lang w:eastAsia="ru-RU"/>
        </w:rPr>
        <w:t xml:space="preserve">АД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  <w:lang w:eastAsia="ru-RU"/>
        </w:rPr>
        <w:t xml:space="preserve">ІНІСТ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  <w:lang w:eastAsia="ru-RU"/>
        </w:rPr>
        <w:t xml:space="preserve">АТИ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  <w:lang w:eastAsia="ru-RU"/>
        </w:rPr>
        <w:t xml:space="preserve">НОЇ ПОСЛУГИ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  <w:lang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  <w:t xml:space="preserve">ВИДАЧА ВИТЯГУ  З РЕЄСТРУ ТЕРИТОРІАЛЬНОЇ ГРОМАДИ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  <w:t xml:space="preserve">ПРО ЗАРЕЄСТРОВАНИХ У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  <w:t xml:space="preserve">ЖИТЛОВОМУ ПРИМІЩЕННІ/БУДИНКУ ОСІБ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tbl>
      <w:tblPr>
        <w:tblW w:w="9781" w:type="dxa"/>
        <w:tblInd w:w="-1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68"/>
        <w:gridCol w:w="2126"/>
        <w:gridCol w:w="2126"/>
        <w:gridCol w:w="1701"/>
      </w:tblGrid>
      <w:tr>
        <w:trPr/>
        <w:tc>
          <w:tcPr>
            <w:shd w:val="clear" w:fill="auto" w:color="auto"/>
            <w:tcW w:w="5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№ п/п</w:t>
            </w:r>
            <w:r/>
          </w:p>
        </w:tc>
        <w:tc>
          <w:tcPr>
            <w:shd w:val="clear" w:fill="auto" w:color="auto"/>
            <w:tcW w:w="3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Етапи послуги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Відповідальна посадова особа 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Відповідальні структурні підрозділи,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Строк виконання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етапів (днів)</w:t>
            </w:r>
            <w:r/>
          </w:p>
        </w:tc>
      </w:tr>
      <w:tr>
        <w:trPr/>
        <w:tc>
          <w:tcPr>
            <w:shd w:val="clear" w:fill="auto" w:color="auto"/>
            <w:tcW w:w="56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fill="auto" w:color="auto"/>
            <w:tcW w:w="3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Прийом документів, що подаються заявником або його законним представником для оформлення витягу з РТГ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Адміністратор центру надання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адміністративних послуг Менської міської ради,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староста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старостат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 день подання заявником необхідних документів</w:t>
            </w:r>
            <w:r/>
          </w:p>
        </w:tc>
      </w:tr>
      <w:tr>
        <w:trPr/>
        <w:tc>
          <w:tcPr>
            <w:shd w:val="clear" w:fill="auto" w:color="auto"/>
            <w:tcW w:w="56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fill="auto" w:color="auto"/>
            <w:tcW w:w="3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Підготовка та оформлення витягу з РТГ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Адміністратор центру надання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адміністративних послуг, староста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старостат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 день звернення</w:t>
            </w:r>
            <w:r/>
          </w:p>
        </w:tc>
      </w:tr>
      <w:tr>
        <w:trPr/>
        <w:tc>
          <w:tcPr>
            <w:shd w:val="clear" w:fill="auto" w:color="auto"/>
            <w:tcW w:w="56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fill="auto" w:color="auto"/>
            <w:tcW w:w="3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Видача витягу з РТГ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Адміністратор центру надання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адміністративних послуг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міської ради, староста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, старостат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 день звернення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488"/>
        </w:trPr>
        <w:tc>
          <w:tcPr>
            <w:shd w:val="clear" w:fill="auto" w:color="auto"/>
            <w:tcW w:w="56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fill="auto" w:color="auto"/>
            <w:tcW w:w="3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Оскарження</w:t>
            </w:r>
            <w:r/>
          </w:p>
        </w:tc>
        <w:tc>
          <w:tcPr>
            <w:gridSpan w:val="2"/>
            <w:shd w:val="clear" w:fill="auto" w:color="auto"/>
            <w:tcBorders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становленому порядку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bookmarkEnd w:id="1"/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ІНФОРМАЦІЙНА КАРТКА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адміністративної послуги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ідтвердження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відомостей про кінцевого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бенефіціарного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власника юридичної особи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відділ «Центр надання адміністративних послуг» Менської міської ради</w:t>
      </w:r>
      <w:r/>
    </w:p>
    <w:tbl>
      <w:tblPr>
        <w:tblW w:w="5447" w:type="pct"/>
        <w:tblInd w:w="-507" w:type="dxa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960"/>
        <w:gridCol w:w="3015"/>
        <w:gridCol w:w="6508"/>
      </w:tblGrid>
      <w:tr>
        <w:trPr/>
        <w:tc>
          <w:tcPr>
            <w:gridSpan w:val="3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та/або центру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Місцезнаходження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15600, Чернігівська область,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вул. Героїв АТО, 6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Понеділок: 08:30-16:30</w:t>
            </w:r>
            <w:r/>
          </w:p>
          <w:p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Вівторок: 08:30-16:30</w:t>
            </w:r>
            <w:r/>
          </w:p>
          <w:p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Середа: 08:30-16:30</w:t>
            </w:r>
            <w:r/>
          </w:p>
          <w:p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Четвер: 08:30-20:00</w:t>
            </w:r>
            <w:r/>
          </w:p>
          <w:p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П’ятниця: 08:30-15:30</w:t>
            </w:r>
            <w:r/>
          </w:p>
          <w:p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Субота: 08:30-15:30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Вихідний: неділя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 (довідки), адреса електронної пошти та веб-сайт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(04644), 2-16-81, адреса електронної пошти: </w:t>
            </w:r>
            <w:hyperlink r:id="rId11" w:tooltip="mailto:cnapradamena@cg.gov.ua" w:history="1"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cnapradamena</w:t>
              </w:r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</w:rPr>
                <w:t xml:space="preserve">@cg.gov.ua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веб-сайт Менської  міської ради Чернігівської області(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://mena.cg.gov.ua)</w:t>
            </w:r>
            <w:r/>
          </w:p>
        </w:tc>
      </w:tr>
      <w:tr>
        <w:trPr/>
        <w:tc>
          <w:tcPr>
            <w:gridSpan w:val="3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 Кабінету Міністрів України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 центральних органів виконавчої влади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зареєстрований у Міністерстві юстиції України 18.11.2016 за № 1500/29630;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юстиції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юстиції України від 23.03.2016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  <w:r/>
          </w:p>
        </w:tc>
      </w:tr>
      <w:tr>
        <w:trPr/>
        <w:tc>
          <w:tcPr>
            <w:gridSpan w:val="3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Підстава для отримання адміністративної послуги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уповноваженого представника юридичної особи (далі – заявник)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документів, необхідних для отримання адміністративної послуги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заява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підтвердження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відомостей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кінцевого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бенефіціарного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власника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/>
            <w:bookmarkStart w:id="2" w:name="n1357"/>
            <w:r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структура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власності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формою 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змістом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визначеними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/>
            <w:bookmarkStart w:id="3" w:name="n1358"/>
            <w:r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витяг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виписка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інший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 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торговельного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банківського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судового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тощо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підтверджує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- нерезидента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країні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її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місцезнаходження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якщо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засновником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 - нерезидент;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/>
            <w:bookmarkStart w:id="4" w:name="n1359"/>
            <w:r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нотаріально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засвідчена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копія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посвідчує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особу, яка 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кінцевим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бенефіціарним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власником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особи, -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фізичної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- нерезидента та,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якщо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 оформлений без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застосування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Єдиного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демографічного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-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фізичної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- резидента.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крім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випадку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коли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відомості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повноваження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містяться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Єдиному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фізичних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підприємців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громадських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формувань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представником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додатково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примірник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оригіналу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нотаріально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засвідчена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копія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документа,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засвідчує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повноваження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документи подаються особисто,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проживання.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подання документів, необхідних для отримання адміністративної послуги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 паперовій формі документи подаються заявником особисто або поштовим відправленням.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електронній формі документи подаються через портал електронних сервісів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Платність (безоплатність) надання адміністративної послуги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надання адміністративної послуги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Зупинення розгляду документів здійснюється у строк, встановлений для державної реєстрації.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зупинення розгляду документів, поданих для державної реєстрації, становить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алендарних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днів з дати їх зупинення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підстав для зупинення розгляду документів, поданих для державної реєстрації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Невідповідність документів вимогам, установленим</w:t>
            </w:r>
            <w:hyperlink r:id="rId12" w:tooltip="https://zakon.rada.gov.ua/laws/show/755-15#n476" w:anchor="n476" w:history="1"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 </w:t>
              </w:r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</w:rPr>
                <w:t xml:space="preserve">статтею 15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державну реєстрацію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юридичнихосіб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фізичнихосіб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підприємців та громадських формувань»;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Невідповідність реєстраційного номера облікової картки платника податків або серії та номера паспорта (для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фізичнихосіб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які мають відмітку в паспорті про право здійснювати платежі за серією та номером паспорта) відомостям, наданим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</w:t>
            </w:r>
            <w:hyperlink r:id="rId13" w:tooltip="https://zakon.rada.gov.ua/laws/show/755-15#n432" w:anchor="n432" w:history="1">
              <w:r>
                <w:rPr>
                  <w:rStyle w:val="613"/>
                  <w:rFonts w:ascii="Times New Roman" w:hAnsi="Times New Roman" w:cs="Times New Roman"/>
                  <w:sz w:val="28"/>
                  <w:szCs w:val="28"/>
                </w:rPr>
                <w:t xml:space="preserve">статті 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державну реєстрацію юридичних осіб, фізичних осіб – підприємців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громадськихформувань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порушенням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встановленого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законодавством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строку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їх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подання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підстав для відмови у державній реєстрації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подано особою, яка не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повноважень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Єдиному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містяться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відомості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судове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заборони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реєстраційної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подані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неналежного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усунуто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підстави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зупинення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розгляду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тягом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встановленого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строку;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суперечать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вимогам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HYPERLINK "https://zakon.rada.gov.ua/laws/show/254%D0%BA/96-%D0%B2%D1%80" \t "_blank"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>
              <w:rPr>
                <w:rStyle w:val="613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Конституції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законівУкраїни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невідповідність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відомостей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зазначених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заяві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відомостям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зазначениму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документах,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відомостям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містяться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Єдиному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інших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інформаційних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системах,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використання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передбачено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фізичних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підприємців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громадських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формувань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»;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невідповідність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відомостей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зазначених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документах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відомостям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містяться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Єдиному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реєстр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нших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інформаційних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системах,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використання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передбачено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державнуреєстрацію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фізичних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підприємців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громадських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формувань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надання адміністративної послуги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виписка з Єдиного державного реєстру юридичних осіб, фізичних осіб – підприємців та громадських формувань; установчий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умент юридичної особи в електронній формі, виготовлений шляхом сканування – у разі створення юридичної особи на підставі власного установчого документа; повідомлення про відмову у державній реєстрації із зазначенням виключного переліку підстав для відмови.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3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Способи отримання відповіді (результату)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10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документ юридичної особи) в електронній формі оприлюднюються на порталі електронних сервісів та доступні для їх пошуку за кодом доступу. За бажанням заявника з Єдиного державного реєстру юридичних осіб, фізичних осіб – підприємців та громадських формува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ровій формі.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ТЕХНОЛОГІЧНА КАРТКА</w:t>
      </w:r>
      <w:r/>
    </w:p>
    <w:p>
      <w:pPr>
        <w:jc w:val="center"/>
        <w:spacing w:lineRule="auto" w:line="240" w:after="0"/>
        <w:tabs>
          <w:tab w:val="left" w:pos="3969" w:leader="none"/>
        </w:tabs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адміністративної послуги</w:t>
      </w:r>
      <w:r/>
    </w:p>
    <w:p>
      <w:pPr>
        <w:jc w:val="center"/>
        <w:spacing w:lineRule="auto" w:line="240" w:after="0"/>
        <w:tabs>
          <w:tab w:val="left" w:pos="3969" w:leader="none"/>
        </w:tabs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fill="FFFFFF" w:color="auto"/>
          <w:lang w:val="ru-RU"/>
        </w:rPr>
        <w:t xml:space="preserve">П</w:t>
      </w:r>
      <w:r>
        <w:rPr>
          <w:rFonts w:ascii="Times New Roman" w:hAnsi="Times New Roman"/>
          <w:b/>
          <w:color w:val="333333"/>
          <w:sz w:val="28"/>
          <w:szCs w:val="28"/>
          <w:shd w:val="clear" w:fill="FFFFFF" w:color="auto"/>
        </w:rPr>
        <w:t xml:space="preserve">ідтвердження</w:t>
      </w:r>
      <w:r>
        <w:rPr>
          <w:rFonts w:ascii="Times New Roman" w:hAnsi="Times New Roman"/>
          <w:b/>
          <w:color w:val="333333"/>
          <w:sz w:val="28"/>
          <w:szCs w:val="28"/>
          <w:shd w:val="clear" w:fill="FFFFFF" w:color="auto"/>
        </w:rPr>
        <w:t xml:space="preserve"> відомостей про кінцевого </w:t>
      </w:r>
      <w:r>
        <w:rPr>
          <w:rFonts w:ascii="Times New Roman" w:hAnsi="Times New Roman"/>
          <w:b/>
          <w:color w:val="333333"/>
          <w:sz w:val="28"/>
          <w:szCs w:val="28"/>
          <w:shd w:val="clear" w:fill="FFFFFF" w:color="auto"/>
        </w:rPr>
        <w:t xml:space="preserve">бенефіціарного</w:t>
      </w:r>
      <w:r>
        <w:rPr>
          <w:rFonts w:ascii="Times New Roman" w:hAnsi="Times New Roman"/>
          <w:b/>
          <w:color w:val="333333"/>
          <w:sz w:val="28"/>
          <w:szCs w:val="28"/>
          <w:shd w:val="clear" w:fill="FFFFFF" w:color="auto"/>
        </w:rPr>
        <w:t xml:space="preserve"> власника юридичної особи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/>
    </w:p>
    <w:p>
      <w:pPr>
        <w:jc w:val="center"/>
        <w:spacing w:lineRule="auto" w:line="240" w:after="0"/>
        <w:tabs>
          <w:tab w:val="left" w:pos="3969" w:leader="none"/>
        </w:tabs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відділ «Центр надання адміністративних послуг»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10774" w:type="dxa"/>
        <w:tblInd w:w="-60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6"/>
        <w:gridCol w:w="2127"/>
        <w:gridCol w:w="2694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Етапи опрацювання звернення про надання адміністративної послуги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Відповідальна особа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Строки виконання етапів</w:t>
            </w:r>
            <w:r/>
          </w:p>
        </w:tc>
      </w:tr>
      <w:tr>
        <w:trPr>
          <w:trHeight w:val="157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57" w:right="-57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969" w:leader="none"/>
              </w:tabs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Прийом за описом документів, які подані для державної реєстрації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fill="FFFFFF" w:color="auto"/>
              </w:rPr>
              <w:t xml:space="preserve">ідтвердження відомостей про кінцевого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fill="FFFFFF" w:color="auto"/>
              </w:rPr>
              <w:t xml:space="preserve">бенефіціарного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fill="FFFFFF" w:color="auto"/>
              </w:rPr>
              <w:t xml:space="preserve"> власника юридичної особи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ержавний реєстратор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день надходження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документів.</w:t>
            </w:r>
            <w:r/>
          </w:p>
        </w:tc>
      </w:tr>
      <w:tr>
        <w:trPr>
          <w:trHeight w:val="20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57" w:right="-57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Перевірка документів, на відсутність підстав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зупинення розгляду документів або підстав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відмови у державній реєстрації.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ержавний реєстратор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24 годин, крім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вихідних та святкових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днів, після надходження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документів.</w:t>
            </w:r>
            <w:r/>
          </w:p>
        </w:tc>
      </w:tr>
      <w:tr>
        <w:trPr>
          <w:trHeight w:val="1409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left="-57" w:right="-57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ержавний реєстратор 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Розміщуються на порталі електронних сервісів у день зупинення та надсилаються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аявнику на адресу його електронної пошти. Розміщуються на порталі електронних сервісів у день відмови у державній реєстрації.</w:t>
            </w:r>
            <w:r/>
          </w:p>
        </w:tc>
      </w:tr>
      <w:tr>
        <w:trPr>
          <w:trHeight w:val="140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3969" w:leader="none"/>
              </w:tabs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fill="FFFFFF" w:color="auto"/>
                <w:lang w:val="ru-RU"/>
              </w:rPr>
              <w:t xml:space="preserve">П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fill="FFFFFF" w:color="auto"/>
              </w:rPr>
              <w:t xml:space="preserve">ідтвердження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fill="FFFFFF" w:color="auto"/>
              </w:rPr>
              <w:t xml:space="preserve"> відомостей про кінцевого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fill="FFFFFF" w:color="auto"/>
              </w:rPr>
              <w:t xml:space="preserve">бенефіціарного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fill="FFFFFF" w:color="auto"/>
              </w:rPr>
              <w:t xml:space="preserve"> власника юридичної особи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ержавний реєстратор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24 годин, крім вихідних та святкових днів, після надходження документів. </w:t>
            </w:r>
            <w:r/>
          </w:p>
        </w:tc>
      </w:tr>
      <w:tr>
        <w:trPr>
          <w:trHeight w:val="18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Формування та оприлюднення на порталі електронних сервісів результату надання адміністративної послуги, виписки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ержавний реєстратор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Після проведення реєстраційної дії.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70409020205020404"/>
  </w:font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6"/>
    <w:next w:val="6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List Paragraph"/>
    <w:basedOn w:val="606"/>
    <w:qFormat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11">
    <w:name w:val="Normal (Web)"/>
    <w:basedOn w:val="606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612">
    <w:name w:val="Table Grid"/>
    <w:basedOn w:val="608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13">
    <w:name w:val="Hyperlink"/>
    <w:unhideWhenUsed/>
    <w:rPr>
      <w:color w:val="0563C1" w:themeColor="hyperlink"/>
      <w:u w:val="single"/>
    </w:rPr>
  </w:style>
  <w:style w:type="paragraph" w:styleId="614" w:customStyle="1">
    <w:name w:val="Без интервала1"/>
    <w:rPr>
      <w:rFonts w:ascii="Calibri" w:hAnsi="Calibri" w:cs="Times New Roman" w:eastAsia="Calibri"/>
    </w:rPr>
    <w:pPr>
      <w:spacing w:lineRule="auto" w:line="240" w:after="0"/>
    </w:pPr>
  </w:style>
  <w:style w:type="paragraph" w:styleId="615">
    <w:name w:val="No Spacing"/>
    <w:qFormat/>
    <w:rPr>
      <w:rFonts w:ascii="Calibri" w:hAnsi="Calibri" w:cs="Calibri" w:eastAsia="Calibri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16">
    <w:name w:val="Unresolved Mention"/>
    <w:basedOn w:val="607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cnapradamena@cg.gov.ua" TargetMode="External"/><Relationship Id="rId11" Type="http://schemas.openxmlformats.org/officeDocument/2006/relationships/hyperlink" Target="mailto:cnapradamena@cg.gov.ua" TargetMode="External"/><Relationship Id="rId12" Type="http://schemas.openxmlformats.org/officeDocument/2006/relationships/hyperlink" Target="https://zakon.rada.gov.ua/laws/show/755-15" TargetMode="External"/><Relationship Id="rId13" Type="http://schemas.openxmlformats.org/officeDocument/2006/relationships/hyperlink" Target="https://zakon.rada.gov.ua/laws/show/755-1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2021-08-06T11:02:00Z</dcterms:created>
  <dcterms:modified xsi:type="dcterms:W3CDTF">2021-09-01T13:48:28Z</dcterms:modified>
</cp:coreProperties>
</file>