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ПРОЄ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КТ РІШЕННЯ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426" w:hanging="381"/>
        <w:tabs>
          <w:tab w:val="left" w:pos="4253" w:leader="none"/>
        </w:tabs>
        <w:rPr>
          <w:rFonts w:ascii="Times New Roman" w:hAnsi="Times New Roman" w:eastAsia="Times New Roman"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__ 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серпень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2021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м. 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№___</w:t>
      </w:r>
      <w:r/>
    </w:p>
    <w:p>
      <w:pPr>
        <w:ind w:left="15" w:hanging="15"/>
        <w:jc w:val="center"/>
        <w:rPr>
          <w:rFonts w:ascii="Times New Roman" w:hAnsi="Times New Roman" w:eastAsia="Times New Roman"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ar-SA"/>
        </w:rPr>
      </w:r>
      <w:r/>
    </w:p>
    <w:p>
      <w:pPr>
        <w:numPr>
          <w:ilvl w:val="1"/>
          <w:numId w:val="0"/>
        </w:numPr>
        <w:ind w:hanging="576"/>
        <w:keepNext/>
        <w:tabs>
          <w:tab w:val="num" w:pos="0" w:leader="none"/>
          <w:tab w:val="left" w:pos="4395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       </w:t>
      </w:r>
      <w:r/>
    </w:p>
    <w:p>
      <w:pPr>
        <w:numPr>
          <w:ilvl w:val="1"/>
          <w:numId w:val="0"/>
        </w:numPr>
        <w:ind w:right="5669"/>
        <w:keepNext/>
        <w:tabs>
          <w:tab w:val="num" w:pos="0" w:leader="none"/>
          <w:tab w:val="left" w:pos="4820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обмеження (заборону) проїзду великовагових транспортних засобів по вул. Шевченка</w:t>
      </w:r>
      <w:r/>
    </w:p>
    <w:p>
      <w:pPr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8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збереження ціліс</w:t>
      </w:r>
      <w:r>
        <w:rPr>
          <w:sz w:val="28"/>
          <w:szCs w:val="28"/>
          <w:lang w:val="uk-UA"/>
        </w:rPr>
        <w:t xml:space="preserve">ності дорожнього покриття</w:t>
      </w:r>
      <w:r>
        <w:rPr>
          <w:sz w:val="28"/>
          <w:szCs w:val="28"/>
          <w:lang w:val="uk-UA"/>
        </w:rPr>
        <w:t xml:space="preserve">, колодязів інженерних мереж, розташованих на проїзній частині вулиць, забезпечення максимальної мінімізації шкідливого впливу на технічний стан дорожнього покриття автомобільних доріг, відповідно до постанови Кабінету Міністрів Укра</w:t>
      </w:r>
      <w:r>
        <w:rPr>
          <w:sz w:val="28"/>
          <w:szCs w:val="28"/>
          <w:lang w:val="uk-UA"/>
        </w:rPr>
        <w:t xml:space="preserve">їни від 18.01.2001 року №30 «Про проїзд великогабаритних та великовагових транспортних засобів автомобільними дорогами, вулицями та залізничними переїздами», ст. 19, ст. 20 Закону України «Про автомобільні дороги», ст. 6 Закону України «Про дорожній рух»,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Закону України «Про благоустрій населених пунктів», виконавчий комітет Менської міської ради</w:t>
      </w:r>
      <w:r/>
    </w:p>
    <w:p>
      <w:pPr>
        <w:jc w:val="both"/>
        <w:spacing w:after="120"/>
        <w:rPr>
          <w:rFonts w:ascii="Times New Roman" w:hAnsi="Times New Roman" w:eastAsia="Times New Roman"/>
          <w:b/>
          <w:sz w:val="28"/>
          <w:szCs w:val="24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4"/>
          <w:lang w:bidi="ar-SA" w:eastAsia="ru-RU"/>
        </w:rPr>
        <w:t xml:space="preserve">В И Р І Ш И В:</w:t>
      </w:r>
      <w:r/>
    </w:p>
    <w:p>
      <w:pPr>
        <w:pStyle w:val="806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Обмежити (заборонити) рух транзитного вантажного, великогабаритного та велико</w:t>
      </w:r>
      <w:r>
        <w:rPr>
          <w:rFonts w:ascii="Times New Roman" w:hAnsi="Times New Roman"/>
          <w:bCs/>
          <w:iCs/>
          <w:sz w:val="28"/>
          <w:szCs w:val="28"/>
        </w:rPr>
        <w:t xml:space="preserve">вагового транспорту </w:t>
      </w:r>
      <w:r>
        <w:rPr>
          <w:rFonts w:ascii="Times New Roman" w:hAnsi="Times New Roman"/>
          <w:bCs/>
          <w:iCs/>
          <w:sz w:val="28"/>
          <w:szCs w:val="28"/>
        </w:rPr>
        <w:t xml:space="preserve">вулицею Шевченка міста </w:t>
      </w:r>
      <w:r>
        <w:rPr>
          <w:rFonts w:ascii="Times New Roman" w:hAnsi="Times New Roman"/>
          <w:bCs/>
          <w:iCs/>
          <w:sz w:val="28"/>
          <w:szCs w:val="28"/>
        </w:rPr>
        <w:t xml:space="preserve">Мена</w:t>
      </w:r>
      <w:r>
        <w:rPr>
          <w:rFonts w:ascii="Times New Roman" w:hAnsi="Times New Roman"/>
          <w:bCs/>
          <w:iCs/>
          <w:sz w:val="28"/>
          <w:szCs w:val="28"/>
        </w:rPr>
        <w:t xml:space="preserve"> у зв’язку з руйнуванням дорожнього полотна</w:t>
      </w:r>
      <w:r>
        <w:rPr>
          <w:rFonts w:ascii="Times New Roman" w:hAnsi="Times New Roman"/>
          <w:bCs/>
          <w:iCs/>
          <w:sz w:val="28"/>
          <w:szCs w:val="28"/>
        </w:rPr>
        <w:t xml:space="preserve"> та розташуванням основних соціальних закладів вздовж проїзної частини зазначеної автодороги</w:t>
      </w:r>
      <w:r>
        <w:rPr>
          <w:rFonts w:ascii="Times New Roman" w:hAnsi="Times New Roman"/>
          <w:bCs/>
          <w:iCs/>
          <w:sz w:val="28"/>
          <w:szCs w:val="28"/>
        </w:rPr>
        <w:t xml:space="preserve">.</w:t>
      </w:r>
      <w:r/>
    </w:p>
    <w:p>
      <w:pPr>
        <w:pStyle w:val="806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Обмеження руху, зазначені у п. 1 цього рішення не розповсюджуються на транспортні засоби, які здійснюють перевезення вантажів, що використовуються під час ліквідації стихійних явищ або надзвичайних ситуацій техногенного та природного характеру.</w:t>
      </w:r>
      <w:r/>
    </w:p>
    <w:p>
      <w:pPr>
        <w:pStyle w:val="806"/>
        <w:numPr>
          <w:ilvl w:val="0"/>
          <w:numId w:val="6"/>
        </w:numPr>
        <w:ind w:left="0" w:firstLine="851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Встановити  дорожні знаки </w:t>
      </w:r>
      <w:r>
        <w:rPr>
          <w:rFonts w:ascii="Times New Roman" w:hAnsi="Times New Roman"/>
          <w:sz w:val="28"/>
          <w:szCs w:val="28"/>
          <w:lang w:eastAsia="ru-RU"/>
        </w:rPr>
        <w:t xml:space="preserve">3.3 «Рух вантажних автомобілів заборонено» при 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’</w:t>
      </w:r>
      <w:r>
        <w:rPr>
          <w:rFonts w:ascii="Times New Roman" w:hAnsi="Times New Roman"/>
          <w:sz w:val="28"/>
          <w:szCs w:val="28"/>
          <w:lang w:eastAsia="ru-RU"/>
        </w:rPr>
        <w:t xml:space="preserve">їзді та виїзді з вул. Шевченка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806"/>
        <w:numPr>
          <w:ilvl w:val="0"/>
          <w:numId w:val="6"/>
        </w:numPr>
        <w:ind w:left="0" w:firstLine="851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Встановити дорожні знак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3.22 «Поворот </w:t>
      </w:r>
      <w:r>
        <w:rPr>
          <w:rFonts w:ascii="Times New Roman" w:hAnsi="Times New Roman"/>
          <w:sz w:val="28"/>
          <w:szCs w:val="28"/>
        </w:rPr>
        <w:t xml:space="preserve">праворуч заборонено» з табличками</w:t>
      </w:r>
      <w:r>
        <w:rPr>
          <w:rFonts w:ascii="Times New Roman" w:hAnsi="Times New Roman"/>
          <w:sz w:val="28"/>
          <w:szCs w:val="28"/>
        </w:rPr>
        <w:t xml:space="preserve"> 7.5.1 «Вид транспортного засобу» (вантажні автомобілі) за 50</w:t>
      </w:r>
      <w:r>
        <w:rPr>
          <w:rFonts w:ascii="Times New Roman" w:hAnsi="Times New Roman"/>
          <w:sz w:val="28"/>
          <w:szCs w:val="28"/>
        </w:rPr>
        <w:t xml:space="preserve">-100</w:t>
      </w:r>
      <w:r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перехрестя </w:t>
      </w:r>
      <w:r>
        <w:rPr>
          <w:rFonts w:ascii="Times New Roman" w:hAnsi="Times New Roman"/>
          <w:sz w:val="28"/>
          <w:szCs w:val="28"/>
        </w:rPr>
        <w:t xml:space="preserve">вул. Шевченка</w:t>
      </w:r>
      <w:r>
        <w:rPr>
          <w:rFonts w:ascii="Times New Roman" w:hAnsi="Times New Roman"/>
          <w:sz w:val="28"/>
          <w:szCs w:val="28"/>
        </w:rPr>
        <w:t xml:space="preserve">-Вокзальної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зі с</w:t>
      </w:r>
      <w:r>
        <w:rPr>
          <w:rFonts w:ascii="Times New Roman" w:hAnsi="Times New Roman"/>
          <w:sz w:val="28"/>
          <w:szCs w:val="28"/>
        </w:rPr>
        <w:t xml:space="preserve">торони переїзду по автодорозі з</w:t>
      </w:r>
      <w:r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</w:rPr>
        <w:t xml:space="preserve">Корюківка</w:t>
      </w:r>
      <w:r>
        <w:rPr>
          <w:rFonts w:ascii="Times New Roman" w:hAnsi="Times New Roman"/>
          <w:sz w:val="28"/>
          <w:szCs w:val="28"/>
        </w:rPr>
        <w:t xml:space="preserve"> та по вул. Сіверський шлях за 50-100 м. до перехрестя з вул. </w:t>
      </w:r>
      <w:r>
        <w:rPr>
          <w:rFonts w:ascii="Times New Roman" w:hAnsi="Times New Roman"/>
          <w:sz w:val="28"/>
          <w:szCs w:val="28"/>
        </w:rPr>
        <w:t xml:space="preserve">Героїв АТО, а також</w:t>
      </w:r>
      <w:r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3.23 «Поворот ліворуч заборонено» з </w:t>
      </w:r>
      <w:r>
        <w:rPr>
          <w:rFonts w:ascii="Times New Roman" w:hAnsi="Times New Roman"/>
          <w:sz w:val="28"/>
          <w:szCs w:val="28"/>
        </w:rPr>
        <w:t xml:space="preserve">табличками</w:t>
      </w:r>
      <w:r>
        <w:rPr>
          <w:rFonts w:ascii="Times New Roman" w:hAnsi="Times New Roman"/>
          <w:sz w:val="28"/>
          <w:szCs w:val="28"/>
        </w:rPr>
        <w:t xml:space="preserve"> 7.5.1 «Вид</w:t>
      </w:r>
      <w:r>
        <w:rPr>
          <w:rFonts w:ascii="Times New Roman" w:hAnsi="Times New Roman"/>
          <w:sz w:val="28"/>
          <w:szCs w:val="28"/>
        </w:rPr>
        <w:t xml:space="preserve"> транспортного засобу» за 50</w:t>
      </w:r>
      <w:r>
        <w:rPr>
          <w:rFonts w:ascii="Times New Roman" w:hAnsi="Times New Roman"/>
          <w:sz w:val="28"/>
          <w:szCs w:val="28"/>
        </w:rPr>
        <w:t xml:space="preserve">-100</w:t>
      </w:r>
      <w:r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до перехрестя вулиць Героїв АТО – Шевченка по вулиці Чернігівський шлях</w:t>
      </w:r>
      <w:r>
        <w:rPr>
          <w:rFonts w:ascii="Times New Roman" w:hAnsi="Times New Roman"/>
          <w:sz w:val="28"/>
          <w:szCs w:val="28"/>
        </w:rPr>
        <w:t xml:space="preserve"> та від вул. Вокзаль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 50</w:t>
      </w:r>
      <w:r>
        <w:rPr>
          <w:rFonts w:ascii="Times New Roman" w:hAnsi="Times New Roman"/>
          <w:sz w:val="28"/>
          <w:szCs w:val="28"/>
        </w:rPr>
        <w:t xml:space="preserve">-100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м. до перехрестя з вулицею Шевченка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06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Погодити з Управлінням патрульної поліції в Чернігівській області</w:t>
      </w:r>
      <w:r>
        <w:rPr>
          <w:rFonts w:ascii="Times New Roman" w:hAnsi="Times New Roman"/>
          <w:bCs/>
          <w:iCs/>
          <w:sz w:val="28"/>
          <w:szCs w:val="28"/>
        </w:rPr>
        <w:t xml:space="preserve"> та з Службою автомобільних доріг у Чернігівській області (щодо розміщення знаків на узбіччі автомобільної дороги державного значення Н-27 </w:t>
      </w:r>
      <w:r>
        <w:rPr>
          <w:rFonts w:ascii="Times New Roman" w:hAnsi="Times New Roman"/>
          <w:bCs/>
          <w:iCs/>
          <w:sz w:val="28"/>
          <w:szCs w:val="28"/>
        </w:rPr>
        <w:t xml:space="preserve">Чернігів-Мена-Сосниця-Грем</w:t>
      </w:r>
      <w:r>
        <w:rPr>
          <w:rFonts w:ascii="Times New Roman" w:hAnsi="Times New Roman"/>
          <w:bCs/>
          <w:iCs/>
          <w:sz w:val="28"/>
          <w:szCs w:val="28"/>
        </w:rPr>
        <w:t xml:space="preserve">’</w:t>
      </w:r>
      <w:r>
        <w:rPr>
          <w:rFonts w:ascii="Times New Roman" w:hAnsi="Times New Roman"/>
          <w:bCs/>
          <w:iCs/>
          <w:sz w:val="28"/>
          <w:szCs w:val="28"/>
        </w:rPr>
        <w:t xml:space="preserve">яч</w:t>
      </w:r>
      <w:r>
        <w:rPr>
          <w:rFonts w:ascii="Times New Roman" w:hAnsi="Times New Roman"/>
          <w:bCs/>
          <w:iCs/>
          <w:sz w:val="28"/>
          <w:szCs w:val="28"/>
        </w:rPr>
        <w:t xml:space="preserve">)</w:t>
      </w:r>
      <w:r>
        <w:rPr>
          <w:rFonts w:ascii="Times New Roman" w:hAnsi="Times New Roman"/>
          <w:bCs/>
          <w:iCs/>
          <w:sz w:val="28"/>
          <w:szCs w:val="28"/>
        </w:rPr>
        <w:t xml:space="preserve"> місця встановлення дорожніх знаків згідно з ДСТУ 4100-2002 «Знаки дорожні. Загальні технічні умови. Правила застосування», які обмежують рух вантажного, великогабаритного та великовагового транспорту вулицею Шевченка міста </w:t>
      </w:r>
      <w:r>
        <w:rPr>
          <w:rFonts w:ascii="Times New Roman" w:hAnsi="Times New Roman"/>
          <w:bCs/>
          <w:iCs/>
          <w:sz w:val="28"/>
          <w:szCs w:val="28"/>
        </w:rPr>
        <w:t xml:space="preserve">Мена</w:t>
      </w:r>
      <w:r>
        <w:rPr>
          <w:rFonts w:ascii="Times New Roman" w:hAnsi="Times New Roman"/>
          <w:bCs/>
          <w:iCs/>
          <w:sz w:val="28"/>
          <w:szCs w:val="28"/>
        </w:rPr>
        <w:t xml:space="preserve">.</w:t>
      </w:r>
      <w:r/>
    </w:p>
    <w:p>
      <w:pPr>
        <w:pStyle w:val="806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Доручити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К</w:t>
      </w:r>
      <w:r>
        <w:rPr>
          <w:rFonts w:ascii="Times New Roman" w:hAnsi="Times New Roman"/>
          <w:bCs/>
          <w:iCs/>
          <w:sz w:val="28"/>
          <w:szCs w:val="28"/>
        </w:rPr>
        <w:t xml:space="preserve">П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bCs/>
          <w:iCs/>
          <w:sz w:val="28"/>
          <w:szCs w:val="28"/>
        </w:rPr>
        <w:t xml:space="preserve">» встановити відповідні дорожні знаки після </w:t>
      </w:r>
      <w:r>
        <w:rPr>
          <w:rFonts w:ascii="Times New Roman" w:hAnsi="Times New Roman"/>
          <w:bCs/>
          <w:iCs/>
          <w:sz w:val="28"/>
          <w:szCs w:val="28"/>
        </w:rPr>
        <w:t xml:space="preserve">погодження з Управлінням патрульної поліції в Чернігівській області</w:t>
      </w:r>
      <w:r>
        <w:rPr>
          <w:rFonts w:ascii="Times New Roman" w:hAnsi="Times New Roman"/>
          <w:bCs/>
          <w:iCs/>
          <w:sz w:val="28"/>
          <w:szCs w:val="28"/>
        </w:rPr>
        <w:t xml:space="preserve">.</w:t>
      </w:r>
      <w:r/>
    </w:p>
    <w:p>
      <w:pPr>
        <w:pStyle w:val="806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</w:t>
      </w:r>
      <w:r>
        <w:rPr>
          <w:rFonts w:ascii="Times New Roman" w:hAnsi="Times New Roman"/>
          <w:sz w:val="28"/>
          <w:szCs w:val="28"/>
        </w:rPr>
        <w:t xml:space="preserve">ти на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</w:rPr>
        <w:t xml:space="preserve">Гнипа</w:t>
      </w:r>
      <w:r>
        <w:rPr>
          <w:rFonts w:ascii="Times New Roman" w:hAnsi="Times New Roman"/>
          <w:sz w:val="28"/>
          <w:szCs w:val="28"/>
        </w:rPr>
        <w:t xml:space="preserve"> В. І.</w:t>
      </w:r>
      <w:r/>
    </w:p>
    <w:p>
      <w:pPr>
        <w:jc w:val="both"/>
        <w:spacing w:before="12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Г.А.  Примаков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10" w:hanging="389"/>
        <w:tabs>
          <w:tab w:val="left" w:pos="171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59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9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9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79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794"/>
    <w:link w:val="785"/>
    <w:uiPriority w:val="9"/>
    <w:rPr>
      <w:rFonts w:ascii="Arial" w:hAnsi="Arial" w:cs="Arial" w:eastAsia="Arial"/>
      <w:sz w:val="40"/>
      <w:szCs w:val="40"/>
    </w:rPr>
  </w:style>
  <w:style w:type="character" w:styleId="658">
    <w:name w:val="Heading 2 Char"/>
    <w:basedOn w:val="794"/>
    <w:link w:val="786"/>
    <w:uiPriority w:val="9"/>
    <w:rPr>
      <w:rFonts w:ascii="Arial" w:hAnsi="Arial" w:cs="Arial" w:eastAsia="Arial"/>
      <w:sz w:val="34"/>
    </w:rPr>
  </w:style>
  <w:style w:type="character" w:styleId="659">
    <w:name w:val="Heading 3 Char"/>
    <w:basedOn w:val="794"/>
    <w:link w:val="787"/>
    <w:uiPriority w:val="9"/>
    <w:rPr>
      <w:rFonts w:ascii="Arial" w:hAnsi="Arial" w:cs="Arial" w:eastAsia="Arial"/>
      <w:sz w:val="30"/>
      <w:szCs w:val="30"/>
    </w:rPr>
  </w:style>
  <w:style w:type="character" w:styleId="660">
    <w:name w:val="Heading 4 Char"/>
    <w:basedOn w:val="794"/>
    <w:link w:val="78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>
    <w:name w:val="Heading 5 Char"/>
    <w:basedOn w:val="794"/>
    <w:link w:val="78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>
    <w:name w:val="Heading 6 Char"/>
    <w:basedOn w:val="794"/>
    <w:link w:val="79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>
    <w:name w:val="Heading 8 Char"/>
    <w:basedOn w:val="794"/>
    <w:link w:val="792"/>
    <w:uiPriority w:val="9"/>
    <w:rPr>
      <w:rFonts w:ascii="Arial" w:hAnsi="Arial" w:cs="Arial" w:eastAsia="Arial"/>
      <w:i/>
      <w:iCs/>
      <w:sz w:val="22"/>
      <w:szCs w:val="22"/>
    </w:rPr>
  </w:style>
  <w:style w:type="character" w:styleId="664">
    <w:name w:val="Heading 9 Char"/>
    <w:basedOn w:val="794"/>
    <w:link w:val="793"/>
    <w:uiPriority w:val="9"/>
    <w:rPr>
      <w:rFonts w:ascii="Arial" w:hAnsi="Arial" w:cs="Arial" w:eastAsia="Arial"/>
      <w:i/>
      <w:iCs/>
      <w:sz w:val="21"/>
      <w:szCs w:val="21"/>
    </w:rPr>
  </w:style>
  <w:style w:type="character" w:styleId="665">
    <w:name w:val="Title Char"/>
    <w:basedOn w:val="794"/>
    <w:link w:val="808"/>
    <w:uiPriority w:val="10"/>
    <w:rPr>
      <w:sz w:val="48"/>
      <w:szCs w:val="48"/>
    </w:rPr>
  </w:style>
  <w:style w:type="character" w:styleId="666">
    <w:name w:val="Subtitle Char"/>
    <w:basedOn w:val="794"/>
    <w:link w:val="810"/>
    <w:uiPriority w:val="11"/>
    <w:rPr>
      <w:sz w:val="24"/>
      <w:szCs w:val="24"/>
    </w:rPr>
  </w:style>
  <w:style w:type="character" w:styleId="667">
    <w:name w:val="Quote Char"/>
    <w:link w:val="812"/>
    <w:uiPriority w:val="29"/>
    <w:rPr>
      <w:i/>
    </w:rPr>
  </w:style>
  <w:style w:type="character" w:styleId="668">
    <w:name w:val="Intense Quote Char"/>
    <w:link w:val="814"/>
    <w:uiPriority w:val="30"/>
    <w:rPr>
      <w:i/>
    </w:rPr>
  </w:style>
  <w:style w:type="character" w:styleId="669">
    <w:name w:val="Header Char"/>
    <w:basedOn w:val="794"/>
    <w:link w:val="816"/>
    <w:uiPriority w:val="99"/>
  </w:style>
  <w:style w:type="character" w:styleId="670">
    <w:name w:val="Footer Char"/>
    <w:basedOn w:val="794"/>
    <w:link w:val="818"/>
    <w:uiPriority w:val="99"/>
  </w:style>
  <w:style w:type="paragraph" w:styleId="671">
    <w:name w:val="Caption"/>
    <w:basedOn w:val="784"/>
    <w:next w:val="7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818"/>
    <w:uiPriority w:val="99"/>
  </w:style>
  <w:style w:type="table" w:styleId="673">
    <w:name w:val="Table Grid Light"/>
    <w:basedOn w:val="7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7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7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7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7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7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7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7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7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7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Bordered &amp; Lined - Accent"/>
    <w:basedOn w:val="7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779">
    <w:name w:val="Footnote Text Char"/>
    <w:link w:val="843"/>
    <w:uiPriority w:val="99"/>
    <w:rPr>
      <w:sz w:val="18"/>
    </w:rPr>
  </w:style>
  <w:style w:type="paragraph" w:styleId="780">
    <w:name w:val="endnote text"/>
    <w:basedOn w:val="784"/>
    <w:link w:val="781"/>
    <w:uiPriority w:val="99"/>
    <w:semiHidden/>
    <w:unhideWhenUsed/>
    <w:rPr>
      <w:sz w:val="20"/>
    </w:rPr>
    <w:pPr>
      <w:spacing w:lineRule="auto" w:line="240" w:after="0"/>
    </w:pPr>
  </w:style>
  <w:style w:type="character" w:styleId="781">
    <w:name w:val="Endnote Text Char"/>
    <w:link w:val="780"/>
    <w:uiPriority w:val="99"/>
    <w:rPr>
      <w:sz w:val="20"/>
    </w:rPr>
  </w:style>
  <w:style w:type="character" w:styleId="782">
    <w:name w:val="endnote reference"/>
    <w:basedOn w:val="794"/>
    <w:uiPriority w:val="99"/>
    <w:semiHidden/>
    <w:unhideWhenUsed/>
    <w:rPr>
      <w:vertAlign w:val="superscript"/>
    </w:rPr>
  </w:style>
  <w:style w:type="paragraph" w:styleId="783">
    <w:name w:val="table of figures"/>
    <w:basedOn w:val="784"/>
    <w:next w:val="784"/>
    <w:uiPriority w:val="99"/>
    <w:unhideWhenUsed/>
    <w:pPr>
      <w:spacing w:after="0" w:afterAutospacing="0"/>
    </w:pPr>
  </w:style>
  <w:style w:type="paragraph" w:styleId="784" w:default="1">
    <w:name w:val="Normal"/>
    <w:qFormat/>
  </w:style>
  <w:style w:type="paragraph" w:styleId="785">
    <w:name w:val="Heading 1"/>
    <w:link w:val="7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6">
    <w:name w:val="Heading 2"/>
    <w:link w:val="7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7">
    <w:name w:val="Heading 3"/>
    <w:link w:val="7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8">
    <w:name w:val="Heading 4"/>
    <w:link w:val="8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9">
    <w:name w:val="Heading 5"/>
    <w:link w:val="8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0">
    <w:name w:val="Heading 6"/>
    <w:link w:val="80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91">
    <w:name w:val="Heading 7"/>
    <w:basedOn w:val="784"/>
    <w:next w:val="784"/>
    <w:link w:val="858"/>
    <w:semiHidden/>
    <w:rPr>
      <w:rFonts w:eastAsia="Times New Roman"/>
      <w:sz w:val="24"/>
      <w:szCs w:val="24"/>
      <w:lang w:val="en-US"/>
    </w:rPr>
    <w:pPr>
      <w:spacing w:lineRule="auto" w:line="259" w:after="60" w:before="240"/>
      <w:outlineLvl w:val="6"/>
    </w:pPr>
  </w:style>
  <w:style w:type="paragraph" w:styleId="792">
    <w:name w:val="Heading 8"/>
    <w:link w:val="80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93">
    <w:name w:val="Heading 9"/>
    <w:link w:val="8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4" w:default="1">
    <w:name w:val="Default Paragraph Font"/>
    <w:uiPriority w:val="1"/>
    <w:semiHidden/>
    <w:unhideWhenUsed/>
  </w:style>
  <w:style w:type="table" w:styleId="7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6" w:default="1">
    <w:name w:val="No List"/>
    <w:uiPriority w:val="99"/>
    <w:semiHidden/>
    <w:unhideWhenUsed/>
  </w:style>
  <w:style w:type="character" w:styleId="797" w:customStyle="1">
    <w:name w:val="Заголовок 1 Знак"/>
    <w:link w:val="785"/>
    <w:uiPriority w:val="9"/>
    <w:rPr>
      <w:rFonts w:ascii="Arial" w:hAnsi="Arial" w:cs="Arial" w:eastAsia="Arial"/>
      <w:sz w:val="40"/>
      <w:szCs w:val="40"/>
    </w:rPr>
  </w:style>
  <w:style w:type="character" w:styleId="798" w:customStyle="1">
    <w:name w:val="Заголовок 2 Знак"/>
    <w:link w:val="786"/>
    <w:uiPriority w:val="9"/>
    <w:rPr>
      <w:rFonts w:ascii="Arial" w:hAnsi="Arial" w:cs="Arial" w:eastAsia="Arial"/>
      <w:sz w:val="34"/>
    </w:rPr>
  </w:style>
  <w:style w:type="character" w:styleId="799" w:customStyle="1">
    <w:name w:val="Заголовок 3 Знак"/>
    <w:link w:val="787"/>
    <w:uiPriority w:val="9"/>
    <w:rPr>
      <w:rFonts w:ascii="Arial" w:hAnsi="Arial" w:cs="Arial" w:eastAsia="Arial"/>
      <w:sz w:val="30"/>
      <w:szCs w:val="30"/>
    </w:rPr>
  </w:style>
  <w:style w:type="character" w:styleId="800" w:customStyle="1">
    <w:name w:val="Заголовок 4 Знак"/>
    <w:link w:val="788"/>
    <w:uiPriority w:val="9"/>
    <w:rPr>
      <w:rFonts w:ascii="Arial" w:hAnsi="Arial" w:cs="Arial" w:eastAsia="Arial"/>
      <w:b/>
      <w:bCs/>
      <w:sz w:val="26"/>
      <w:szCs w:val="26"/>
    </w:rPr>
  </w:style>
  <w:style w:type="character" w:styleId="801" w:customStyle="1">
    <w:name w:val="Заголовок 5 Знак"/>
    <w:link w:val="789"/>
    <w:uiPriority w:val="9"/>
    <w:rPr>
      <w:rFonts w:ascii="Arial" w:hAnsi="Arial" w:cs="Arial" w:eastAsia="Arial"/>
      <w:b/>
      <w:bCs/>
      <w:sz w:val="24"/>
      <w:szCs w:val="24"/>
    </w:rPr>
  </w:style>
  <w:style w:type="character" w:styleId="802" w:customStyle="1">
    <w:name w:val="Заголовок 6 Знак"/>
    <w:link w:val="790"/>
    <w:uiPriority w:val="9"/>
    <w:rPr>
      <w:rFonts w:ascii="Arial" w:hAnsi="Arial" w:cs="Arial" w:eastAsia="Arial"/>
      <w:b/>
      <w:bCs/>
      <w:sz w:val="22"/>
      <w:szCs w:val="22"/>
    </w:rPr>
  </w:style>
  <w:style w:type="character" w:styleId="803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4" w:customStyle="1">
    <w:name w:val="Заголовок 8 Знак"/>
    <w:link w:val="792"/>
    <w:uiPriority w:val="9"/>
    <w:rPr>
      <w:rFonts w:ascii="Arial" w:hAnsi="Arial" w:cs="Arial" w:eastAsia="Arial"/>
      <w:i/>
      <w:iCs/>
      <w:sz w:val="22"/>
      <w:szCs w:val="22"/>
    </w:rPr>
  </w:style>
  <w:style w:type="character" w:styleId="805" w:customStyle="1">
    <w:name w:val="Заголовок 9 Знак"/>
    <w:link w:val="793"/>
    <w:uiPriority w:val="9"/>
    <w:rPr>
      <w:rFonts w:ascii="Arial" w:hAnsi="Arial" w:cs="Arial" w:eastAsia="Arial"/>
      <w:i/>
      <w:iCs/>
      <w:sz w:val="21"/>
      <w:szCs w:val="21"/>
    </w:rPr>
  </w:style>
  <w:style w:type="paragraph" w:styleId="806">
    <w:name w:val="List Paragraph"/>
    <w:basedOn w:val="784"/>
    <w:pPr>
      <w:contextualSpacing w:val="true"/>
      <w:ind w:left="720"/>
    </w:pPr>
  </w:style>
  <w:style w:type="paragraph" w:styleId="807">
    <w:name w:val="No Spacing"/>
    <w:qFormat/>
    <w:uiPriority w:val="1"/>
  </w:style>
  <w:style w:type="paragraph" w:styleId="808">
    <w:name w:val="Title"/>
    <w:link w:val="8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9" w:customStyle="1">
    <w:name w:val="Название Знак"/>
    <w:link w:val="808"/>
    <w:uiPriority w:val="10"/>
    <w:rPr>
      <w:sz w:val="48"/>
      <w:szCs w:val="48"/>
    </w:rPr>
  </w:style>
  <w:style w:type="paragraph" w:styleId="810">
    <w:name w:val="Subtitle"/>
    <w:link w:val="811"/>
    <w:qFormat/>
    <w:uiPriority w:val="11"/>
    <w:rPr>
      <w:sz w:val="24"/>
      <w:szCs w:val="24"/>
    </w:rPr>
    <w:pPr>
      <w:spacing w:after="200" w:before="200"/>
    </w:pPr>
  </w:style>
  <w:style w:type="character" w:styleId="811" w:customStyle="1">
    <w:name w:val="Подзаголовок Знак"/>
    <w:link w:val="810"/>
    <w:uiPriority w:val="11"/>
    <w:rPr>
      <w:sz w:val="24"/>
      <w:szCs w:val="24"/>
    </w:rPr>
  </w:style>
  <w:style w:type="paragraph" w:styleId="812">
    <w:name w:val="Quote"/>
    <w:link w:val="813"/>
    <w:qFormat/>
    <w:uiPriority w:val="29"/>
    <w:rPr>
      <w:i/>
    </w:rPr>
    <w:pPr>
      <w:ind w:left="720" w:right="720"/>
    </w:pPr>
  </w:style>
  <w:style w:type="character" w:styleId="813" w:customStyle="1">
    <w:name w:val="Цитата 2 Знак"/>
    <w:link w:val="812"/>
    <w:uiPriority w:val="29"/>
    <w:rPr>
      <w:i/>
    </w:rPr>
  </w:style>
  <w:style w:type="paragraph" w:styleId="814">
    <w:name w:val="Intense Quote"/>
    <w:link w:val="8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5" w:customStyle="1">
    <w:name w:val="Выделенная цитата Знак"/>
    <w:link w:val="814"/>
    <w:uiPriority w:val="30"/>
    <w:rPr>
      <w:i/>
    </w:rPr>
  </w:style>
  <w:style w:type="paragraph" w:styleId="816">
    <w:name w:val="Header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Верхний колонтитул Знак"/>
    <w:link w:val="816"/>
    <w:uiPriority w:val="99"/>
  </w:style>
  <w:style w:type="paragraph" w:styleId="818">
    <w:name w:val="Footer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Нижний колонтитул Знак"/>
    <w:link w:val="818"/>
    <w:uiPriority w:val="99"/>
  </w:style>
  <w:style w:type="table" w:styleId="820">
    <w:name w:val="Table Grid"/>
    <w:basedOn w:val="7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3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4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5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6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7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5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7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8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9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0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toc 1"/>
    <w:uiPriority w:val="39"/>
    <w:unhideWhenUsed/>
    <w:pPr>
      <w:spacing w:after="57"/>
    </w:pPr>
  </w:style>
  <w:style w:type="paragraph" w:styleId="847">
    <w:name w:val="toc 2"/>
    <w:uiPriority w:val="39"/>
    <w:unhideWhenUsed/>
    <w:pPr>
      <w:ind w:left="283"/>
      <w:spacing w:after="57"/>
    </w:pPr>
  </w:style>
  <w:style w:type="paragraph" w:styleId="848">
    <w:name w:val="toc 3"/>
    <w:uiPriority w:val="39"/>
    <w:unhideWhenUsed/>
    <w:pPr>
      <w:ind w:left="567"/>
      <w:spacing w:after="57"/>
    </w:pPr>
  </w:style>
  <w:style w:type="paragraph" w:styleId="849">
    <w:name w:val="toc 4"/>
    <w:uiPriority w:val="39"/>
    <w:unhideWhenUsed/>
    <w:pPr>
      <w:ind w:left="850"/>
      <w:spacing w:after="57"/>
    </w:pPr>
  </w:style>
  <w:style w:type="paragraph" w:styleId="850">
    <w:name w:val="toc 5"/>
    <w:uiPriority w:val="39"/>
    <w:unhideWhenUsed/>
    <w:pPr>
      <w:ind w:left="1134"/>
      <w:spacing w:after="57"/>
    </w:pPr>
  </w:style>
  <w:style w:type="paragraph" w:styleId="851">
    <w:name w:val="toc 6"/>
    <w:uiPriority w:val="39"/>
    <w:unhideWhenUsed/>
    <w:pPr>
      <w:ind w:left="1417"/>
      <w:spacing w:after="57"/>
    </w:pPr>
  </w:style>
  <w:style w:type="paragraph" w:styleId="852">
    <w:name w:val="toc 7"/>
    <w:uiPriority w:val="39"/>
    <w:unhideWhenUsed/>
    <w:pPr>
      <w:ind w:left="1701"/>
      <w:spacing w:after="57"/>
    </w:pPr>
  </w:style>
  <w:style w:type="paragraph" w:styleId="853">
    <w:name w:val="toc 8"/>
    <w:uiPriority w:val="39"/>
    <w:unhideWhenUsed/>
    <w:pPr>
      <w:ind w:left="1984"/>
      <w:spacing w:after="57"/>
    </w:pPr>
  </w:style>
  <w:style w:type="paragraph" w:styleId="854">
    <w:name w:val="toc 9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Balloon Text"/>
    <w:basedOn w:val="784"/>
    <w:link w:val="857"/>
    <w:semiHidden/>
    <w:rPr>
      <w:rFonts w:ascii="Tahoma" w:hAnsi="Tahoma"/>
      <w:sz w:val="16"/>
      <w:szCs w:val="16"/>
    </w:rPr>
  </w:style>
  <w:style w:type="character" w:styleId="857" w:customStyle="1">
    <w:name w:val="Текст выноски Знак"/>
    <w:link w:val="856"/>
    <w:semiHidden/>
    <w:rPr>
      <w:rFonts w:ascii="Tahoma" w:hAnsi="Tahoma"/>
      <w:sz w:val="16"/>
      <w:szCs w:val="16"/>
    </w:rPr>
  </w:style>
  <w:style w:type="character" w:styleId="858" w:customStyle="1">
    <w:name w:val="Заголовок 7 Знак"/>
    <w:link w:val="791"/>
    <w:semiHidden/>
    <w:rPr>
      <w:rFonts w:ascii="Calibri" w:hAnsi="Calibri" w:eastAsia="Times New Roman"/>
      <w:sz w:val="24"/>
      <w:szCs w:val="24"/>
      <w:lang w:val="en-US"/>
    </w:rPr>
  </w:style>
  <w:style w:type="character" w:styleId="859">
    <w:name w:val="Strong"/>
    <w:rPr>
      <w:b/>
    </w:rPr>
  </w:style>
  <w:style w:type="paragraph" w:styleId="860">
    <w:name w:val="Normal (Web)"/>
    <w:basedOn w:val="784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61">
    <w:name w:val="Body Text"/>
    <w:basedOn w:val="784"/>
    <w:link w:val="862"/>
    <w:rPr>
      <w:rFonts w:ascii="Times New Roman" w:hAnsi="Times New Roman" w:eastAsia="Times New Roman"/>
      <w:sz w:val="28"/>
      <w:szCs w:val="24"/>
      <w:lang w:val="ru-RU" w:bidi="ar-SA" w:eastAsia="ar-SA"/>
    </w:rPr>
    <w:pPr>
      <w:ind w:firstLine="709"/>
      <w:jc w:val="both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Основной текст Знак"/>
    <w:basedOn w:val="794"/>
    <w:link w:val="861"/>
    <w:rPr>
      <w:rFonts w:ascii="Times New Roman" w:hAnsi="Times New Roman" w:eastAsia="Times New Roman"/>
      <w:sz w:val="28"/>
      <w:szCs w:val="24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Лихотинська Лілія Анатоліївна</cp:lastModifiedBy>
  <cp:revision>7</cp:revision>
  <dcterms:created xsi:type="dcterms:W3CDTF">2021-08-20T08:12:00Z</dcterms:created>
  <dcterms:modified xsi:type="dcterms:W3CDTF">2021-08-31T07:39:19Z</dcterms:modified>
</cp:coreProperties>
</file>