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815"/>
      </w:tblGrid>
      <w:tr>
        <w:trPr/>
        <w:tc>
          <w:tcPr>
            <w:tcW w:w="981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638175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7.5pt;height:50.2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00000A"/>
                <w:sz w:val="28"/>
                <w:highlight w:val="white"/>
              </w:rPr>
              <w:t xml:space="preserve">Україна</w:t>
            </w:r>
            <w:r/>
          </w:p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00000A"/>
                <w:sz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00000A"/>
                <w:sz w:val="28"/>
                <w:highlight w:val="white"/>
              </w:rPr>
              <w:t xml:space="preserve">Чернігівська</w:t>
            </w:r>
            <w:r>
              <w:rPr>
                <w:b/>
                <w:color w:val="00000A"/>
                <w:sz w:val="28"/>
                <w:highlight w:val="white"/>
              </w:rPr>
              <w:t xml:space="preserve"> область</w:t>
            </w:r>
            <w:r/>
          </w:p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00000A"/>
                <w:sz w:val="28"/>
                <w:highlight w:val="white"/>
              </w:rPr>
              <w:t xml:space="preserve">(</w:t>
            </w:r>
            <w:r>
              <w:rPr>
                <w:b/>
                <w:color w:val="00000A"/>
                <w:sz w:val="28"/>
                <w:highlight w:val="white"/>
                <w:lang w:val="uk-UA"/>
              </w:rPr>
              <w:t xml:space="preserve">дев’ята</w:t>
            </w:r>
            <w:r>
              <w:rPr>
                <w:b/>
                <w:color w:val="00000A"/>
                <w:sz w:val="28"/>
                <w:highlight w:val="white"/>
              </w:rPr>
              <w:t xml:space="preserve"> </w:t>
            </w:r>
            <w:r>
              <w:rPr>
                <w:b/>
                <w:color w:val="00000A"/>
                <w:sz w:val="28"/>
                <w:highlight w:val="white"/>
              </w:rPr>
              <w:t xml:space="preserve">сесія</w:t>
            </w:r>
            <w:r>
              <w:rPr>
                <w:b/>
                <w:color w:val="00000A"/>
                <w:sz w:val="28"/>
                <w:highlight w:val="white"/>
              </w:rPr>
              <w:t xml:space="preserve"> восьмого </w:t>
            </w:r>
            <w:r>
              <w:rPr>
                <w:b/>
                <w:color w:val="00000A"/>
                <w:sz w:val="28"/>
                <w:highlight w:val="white"/>
              </w:rPr>
              <w:t xml:space="preserve">скликання</w:t>
            </w:r>
            <w:r>
              <w:rPr>
                <w:b/>
                <w:color w:val="00000A"/>
                <w:sz w:val="28"/>
                <w:highlight w:val="white"/>
              </w:rPr>
              <w:t xml:space="preserve">)</w:t>
            </w:r>
            <w:r/>
          </w:p>
          <w:p>
            <w:pPr>
              <w:ind w:left="40" w:hanging="23"/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00000A"/>
                <w:sz w:val="28"/>
                <w:highlight w:val="white"/>
              </w:rPr>
              <w:t xml:space="preserve">ПРОЄКТ  РІШЕННЯ</w:t>
            </w:r>
            <w:r/>
          </w:p>
          <w:p>
            <w:pPr>
              <w:tabs>
                <w:tab w:val="left" w:pos="4535" w:leader="none"/>
              </w:tabs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A"/>
                <w:sz w:val="28"/>
                <w:lang w:val="uk-UA"/>
              </w:rPr>
              <w:t xml:space="preserve">31 серпня</w:t>
            </w:r>
            <w:r>
              <w:rPr>
                <w:color w:val="00000A"/>
                <w:sz w:val="28"/>
              </w:rPr>
              <w:t xml:space="preserve"> 2021</w:t>
            </w:r>
            <w:r>
              <w:rPr>
                <w:color w:val="00000A"/>
                <w:sz w:val="28"/>
                <w:highlight w:val="white"/>
              </w:rPr>
              <w:t xml:space="preserve"> року </w:t>
            </w:r>
            <w:r>
              <w:rPr>
                <w:color w:val="00000A"/>
                <w:sz w:val="28"/>
                <w:highlight w:val="white"/>
              </w:rPr>
              <w:tab/>
              <w:t xml:space="preserve">№</w:t>
            </w:r>
            <w:r>
              <w:rPr>
                <w:color w:val="00000A"/>
                <w:sz w:val="28"/>
              </w:rPr>
              <w:t xml:space="preserve">___</w:t>
            </w:r>
            <w:r/>
          </w:p>
          <w:p>
            <w:pPr>
              <w:jc w:val="both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0"/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9815" w:type="dxa"/>
            <w:textDirection w:val="lrTb"/>
            <w:noWrap w:val="false"/>
          </w:tcPr>
          <w:p>
            <w:pPr>
              <w:ind w:right="5556"/>
              <w:jc w:val="both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lang w:val="uk-UA"/>
              </w:rPr>
              <w:t xml:space="preserve">Про затвердження Положення про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порядок </w:t>
            </w:r>
            <w:bookmarkStart w:id="0" w:name="_Hlk79411221"/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відчуження майна комунальної власності Менської міської територіальної громади </w:t>
            </w:r>
            <w:bookmarkEnd w:id="0"/>
            <w:r/>
            <w:r/>
          </w:p>
        </w:tc>
      </w:tr>
    </w:tbl>
    <w:p>
      <w:pPr>
        <w:pStyle w:val="874"/>
        <w:ind w:right="4535"/>
        <w:jc w:val="both"/>
        <w:tabs>
          <w:tab w:val="left" w:pos="142" w:leader="none"/>
          <w:tab w:val="center" w:pos="2977" w:leader="none"/>
          <w:tab w:val="clear" w:pos="4153" w:leader="none"/>
          <w:tab w:val="left" w:pos="482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right="-1" w:firstLine="708"/>
        <w:jc w:val="both"/>
        <w:rPr>
          <w:color w:val="00000A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sz w:val="28"/>
          <w:szCs w:val="28"/>
          <w:lang w:val="uk-UA"/>
        </w:rPr>
        <w:t xml:space="preserve">З метою ефективного використання майна, що є комунальною власністю Менської міської територіальної громади, збільшення потенційних джерел надходжень фінансових ресурсів до дохідної частини бюджету громади,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lang w:val="uk-UA"/>
        </w:rPr>
        <w:t xml:space="preserve">відповідно до Закону України </w:t>
      </w:r>
      <w:r>
        <w:rPr>
          <w:spacing w:val="-1"/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приватизацію державного</w:t>
      </w:r>
      <w:r>
        <w:rPr>
          <w:sz w:val="28"/>
          <w:szCs w:val="28"/>
          <w:lang w:val="uk-UA"/>
        </w:rPr>
        <w:t xml:space="preserve"> та комунального</w:t>
      </w:r>
      <w:r>
        <w:rPr>
          <w:sz w:val="28"/>
          <w:szCs w:val="28"/>
          <w:lang w:val="uk-UA"/>
        </w:rPr>
        <w:t xml:space="preserve"> майна»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lang w:val="uk-UA"/>
        </w:rPr>
        <w:t xml:space="preserve"> керуючись статтями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uk-UA"/>
        </w:rPr>
        <w:t xml:space="preserve">ВИРІШИЛА:</w:t>
      </w:r>
      <w:r/>
    </w:p>
    <w:p>
      <w:pPr>
        <w:pStyle w:val="871"/>
        <w:numPr>
          <w:ilvl w:val="0"/>
          <w:numId w:val="9"/>
        </w:numPr>
        <w:ind w:left="0" w:firstLine="709"/>
        <w:jc w:val="both"/>
        <w:tabs>
          <w:tab w:val="right" w:pos="709" w:leader="none"/>
          <w:tab w:val="left" w:pos="993" w:leader="none"/>
          <w:tab w:val="clear" w:pos="4153" w:leader="none"/>
          <w:tab w:val="clear" w:pos="8306" w:leader="none"/>
        </w:tabs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Затвердити Положення про порядок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відчуження майна комунальної власності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(додається).</w:t>
      </w:r>
      <w:r/>
    </w:p>
    <w:p>
      <w:pPr>
        <w:pStyle w:val="883"/>
        <w:numPr>
          <w:ilvl w:val="0"/>
          <w:numId w:val="12"/>
        </w:numPr>
        <w:ind w:left="0" w:firstLine="709"/>
        <w:jc w:val="both"/>
        <w:spacing w:lineRule="auto" w:line="240" w:after="0"/>
        <w:shd w:val="clear" w:fill="FFFFFF" w:color="auto"/>
        <w:tabs>
          <w:tab w:val="right" w:pos="709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виконавчий комітет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органом приватизації об’єктів комунальної власності Менської міської територіальної громади.      </w:t>
      </w:r>
      <w:r/>
    </w:p>
    <w:p>
      <w:pPr>
        <w:pStyle w:val="883"/>
        <w:numPr>
          <w:ilvl w:val="0"/>
          <w:numId w:val="12"/>
        </w:numPr>
        <w:ind w:left="0" w:firstLine="709"/>
        <w:jc w:val="both"/>
        <w:spacing w:lineRule="auto" w:line="240" w:after="0"/>
        <w:tabs>
          <w:tab w:val="left" w:pos="426" w:leader="none"/>
          <w:tab w:val="right" w:pos="709" w:leader="none"/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</w:t>
      </w:r>
      <w:r>
        <w:rPr>
          <w:rStyle w:val="887"/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житлово-комунального господарства, планування, фінансів, бюджету, соціально-економічного розвитку та комунального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та на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          Гнипа В.І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71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/>
    </w:p>
    <w:p>
      <w:pPr>
        <w:pStyle w:val="871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r/>
    </w:p>
    <w:p>
      <w:pPr>
        <w:pStyle w:val="871"/>
        <w:jc w:val="both"/>
        <w:tabs>
          <w:tab w:val="clear" w:pos="4153" w:leader="none"/>
          <w:tab w:val="clear" w:pos="8306" w:leader="none"/>
        </w:tabs>
        <w:rPr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 Примаков</w:t>
      </w:r>
      <w:r>
        <w:rPr>
          <w:b/>
        </w:rPr>
      </w:r>
    </w:p>
    <w:p>
      <w:pPr>
        <w:pStyle w:val="871"/>
        <w:jc w:val="both"/>
        <w:tabs>
          <w:tab w:val="clear" w:pos="4153" w:leader="none"/>
          <w:tab w:val="center" w:pos="4680" w:leader="none"/>
          <w:tab w:val="right" w:pos="6840" w:leader="none"/>
          <w:tab w:val="clear" w:pos="8306" w:leader="none"/>
        </w:tabs>
        <w:rPr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4"/>
          <w:szCs w:val="24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" w:name="_GoBack"/>
      <w:r/>
      <w:bookmarkEnd w:id="1"/>
      <w:r/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ind w:left="5669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  <w:t xml:space="preserve">Додаток </w:t>
      </w:r>
      <w:r/>
    </w:p>
    <w:p>
      <w:pPr>
        <w:ind w:left="5669"/>
        <w:jc w:val="both"/>
        <w:rPr>
          <w:sz w:val="22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lang w:val="uk-UA"/>
        </w:rPr>
        <w:t xml:space="preserve">до рішення 9 сесії Менської міської ради 8 скликання від 31 серпня 2021 року № ____ </w:t>
      </w:r>
      <w:r>
        <w:rPr>
          <w:sz w:val="28"/>
          <w:szCs w:val="22"/>
          <w:lang w:val="uk-UA"/>
        </w:rPr>
        <w:t xml:space="preserve">Про затвердження </w:t>
      </w:r>
      <w:r>
        <w:rPr>
          <w:bCs/>
          <w:iCs/>
          <w:sz w:val="28"/>
          <w:szCs w:val="22"/>
          <w:lang w:val="uk-UA"/>
        </w:rPr>
      </w:r>
      <w:r>
        <w:rPr>
          <w:spacing w:val="-1"/>
          <w:sz w:val="28"/>
          <w:szCs w:val="28"/>
          <w:lang w:val="uk-UA"/>
        </w:rPr>
        <w:t xml:space="preserve">«</w:t>
      </w:r>
      <w:r/>
      <w:r>
        <w:rPr>
          <w:bCs/>
          <w:iCs/>
          <w:sz w:val="28"/>
          <w:szCs w:val="22"/>
          <w:lang w:val="uk-UA"/>
        </w:rPr>
        <w:t xml:space="preserve">Положення про порядок </w:t>
      </w:r>
      <w:r>
        <w:rPr>
          <w:bCs/>
          <w:iCs/>
          <w:sz w:val="28"/>
          <w:szCs w:val="22"/>
          <w:lang w:val="uk-UA"/>
        </w:rPr>
        <w:t xml:space="preserve">відчуження майна комунальної власності Менської міської територіальної громади</w:t>
      </w:r>
      <w:r>
        <w:rPr>
          <w:bCs/>
          <w:iCs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»</w:t>
      </w:r>
      <w:r/>
      <w:r>
        <w:rPr>
          <w:bCs/>
          <w:iCs/>
          <w:sz w:val="28"/>
          <w:szCs w:val="28"/>
          <w:lang w:val="uk-UA"/>
        </w:rPr>
      </w:r>
      <w:r>
        <w:rPr>
          <w:sz w:val="22"/>
          <w:szCs w:val="28"/>
          <w:lang w:val="uk-UA"/>
        </w:rPr>
        <w:t xml:space="preserve"> </w:t>
      </w:r>
      <w:r/>
    </w:p>
    <w:p>
      <w:pPr>
        <w:pStyle w:val="871"/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pStyle w:val="871"/>
        <w:ind w:right="-1"/>
        <w:jc w:val="center"/>
        <w:tabs>
          <w:tab w:val="clear" w:pos="8306" w:leader="none"/>
          <w:tab w:val="right" w:pos="9781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r/>
    </w:p>
    <w:p>
      <w:pPr>
        <w:pStyle w:val="871"/>
        <w:ind w:right="-1"/>
        <w:jc w:val="center"/>
        <w:tabs>
          <w:tab w:val="clear" w:pos="8306" w:leader="none"/>
          <w:tab w:val="right" w:pos="9781" w:leader="none"/>
        </w:tabs>
        <w:rPr>
          <w:b/>
          <w:bCs/>
          <w:i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sz w:val="28"/>
          <w:lang w:val="uk-UA"/>
        </w:rPr>
        <w:t xml:space="preserve">П</w:t>
      </w:r>
      <w:r>
        <w:rPr>
          <w:b/>
          <w:bCs/>
          <w:iCs/>
          <w:sz w:val="28"/>
          <w:szCs w:val="28"/>
          <w:lang w:val="uk-UA"/>
        </w:rPr>
        <w:t xml:space="preserve">О</w:t>
      </w:r>
      <w:r>
        <w:rPr>
          <w:b/>
          <w:bCs/>
          <w:iCs/>
          <w:sz w:val="28"/>
          <w:szCs w:val="28"/>
          <w:lang w:val="uk-UA"/>
        </w:rPr>
        <w:t xml:space="preserve">ЛОЖЕННЯ</w:t>
      </w:r>
      <w:r/>
    </w:p>
    <w:p>
      <w:pPr>
        <w:pStyle w:val="871"/>
        <w:ind w:right="-1"/>
        <w:jc w:val="center"/>
        <w:tabs>
          <w:tab w:val="clear" w:pos="8306" w:leader="none"/>
          <w:tab w:val="right" w:pos="9781" w:leader="none"/>
        </w:tabs>
        <w:rPr>
          <w:b/>
          <w:i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iCs/>
          <w:sz w:val="28"/>
          <w:szCs w:val="28"/>
          <w:lang w:val="uk-UA"/>
        </w:rPr>
        <w:t xml:space="preserve">про порядок </w:t>
      </w:r>
      <w:r>
        <w:rPr>
          <w:b/>
          <w:iCs/>
          <w:sz w:val="28"/>
          <w:szCs w:val="28"/>
          <w:lang w:val="uk-UA"/>
        </w:rPr>
        <w:t xml:space="preserve">відчуження майна комунальної власності </w:t>
      </w:r>
      <w:r/>
    </w:p>
    <w:p>
      <w:pPr>
        <w:pStyle w:val="871"/>
        <w:ind w:right="-1"/>
        <w:jc w:val="center"/>
        <w:tabs>
          <w:tab w:val="clear" w:pos="8306" w:leader="none"/>
          <w:tab w:val="right" w:pos="9781" w:leader="none"/>
        </w:tabs>
        <w:rPr>
          <w:b/>
          <w:i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iCs/>
          <w:sz w:val="28"/>
          <w:szCs w:val="28"/>
          <w:lang w:val="uk-UA"/>
        </w:rPr>
        <w:t xml:space="preserve">Менської міської територіальної громади</w:t>
      </w:r>
      <w:r/>
    </w:p>
    <w:p>
      <w:pPr>
        <w:pStyle w:val="871"/>
        <w:ind w:right="-1"/>
        <w:jc w:val="center"/>
        <w:tabs>
          <w:tab w:val="clear" w:pos="8306" w:leader="none"/>
          <w:tab w:val="right" w:pos="9781" w:leader="none"/>
        </w:tabs>
        <w:rPr>
          <w:b/>
          <w:i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iCs/>
          <w:sz w:val="28"/>
          <w:szCs w:val="28"/>
          <w:lang w:val="uk-UA"/>
        </w:rPr>
      </w:r>
      <w:r/>
    </w:p>
    <w:p>
      <w:pPr>
        <w:jc w:val="center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spacing w:val="-7"/>
          <w:sz w:val="28"/>
          <w:szCs w:val="28"/>
          <w:lang w:val="uk-UA"/>
        </w:rPr>
        <w:t xml:space="preserve">Загальні положення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pacing w:val="-18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2"/>
          <w:sz w:val="28"/>
          <w:szCs w:val="28"/>
          <w:lang w:val="uk-UA"/>
        </w:rPr>
        <w:t xml:space="preserve">1. Положення про порядок відчуження (приватизації) майна комунальної власності Менської міської територіальної громади</w:t>
      </w:r>
      <w:r>
        <w:rPr>
          <w:spacing w:val="-4"/>
          <w:sz w:val="28"/>
          <w:szCs w:val="28"/>
          <w:lang w:val="uk-UA"/>
        </w:rPr>
        <w:t xml:space="preserve"> (надалі - Положення) розроблене відповідно до </w:t>
      </w:r>
      <w:r>
        <w:rPr>
          <w:sz w:val="28"/>
          <w:szCs w:val="28"/>
          <w:lang w:val="uk-UA"/>
        </w:rPr>
        <w:t xml:space="preserve">Законів України «Про місцеве самоврядування в </w:t>
      </w:r>
      <w:r>
        <w:rPr>
          <w:spacing w:val="-1"/>
          <w:sz w:val="28"/>
          <w:szCs w:val="28"/>
          <w:lang w:val="uk-UA"/>
        </w:rPr>
        <w:t xml:space="preserve">Україні», </w:t>
      </w:r>
      <w:bookmarkStart w:id="2" w:name="_Hlk80808052"/>
      <w:r>
        <w:rPr>
          <w:spacing w:val="-1"/>
          <w:sz w:val="28"/>
          <w:szCs w:val="28"/>
          <w:lang w:val="uk-UA"/>
        </w:rPr>
        <w:t xml:space="preserve">«Про </w:t>
      </w:r>
      <w:bookmarkStart w:id="3" w:name="_Hlk80779432"/>
      <w:r>
        <w:rPr>
          <w:sz w:val="28"/>
          <w:szCs w:val="28"/>
          <w:lang w:val="uk-UA"/>
        </w:rPr>
        <w:t xml:space="preserve">приватизацію державного та комунального майна», </w:t>
      </w:r>
      <w:bookmarkEnd w:id="2"/>
      <w:r/>
      <w:bookmarkEnd w:id="3"/>
      <w:r>
        <w:rPr>
          <w:sz w:val="28"/>
          <w:szCs w:val="28"/>
          <w:lang w:val="uk-UA"/>
        </w:rPr>
        <w:t xml:space="preserve">з урахуванням </w:t>
      </w:r>
      <w:r>
        <w:rPr>
          <w:spacing w:val="-5"/>
          <w:sz w:val="28"/>
          <w:szCs w:val="28"/>
          <w:lang w:val="uk-UA"/>
        </w:rPr>
        <w:t xml:space="preserve">законодавства про оцінку майна та інших законодавчих та нормативно-</w:t>
      </w:r>
      <w:r>
        <w:rPr>
          <w:spacing w:val="-6"/>
          <w:sz w:val="28"/>
          <w:szCs w:val="28"/>
          <w:lang w:val="uk-UA"/>
        </w:rPr>
        <w:t xml:space="preserve">правових актів з питань управління та відчуження майна.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i/>
          <w:spacing w:val="-6"/>
          <w:sz w:val="28"/>
          <w:szCs w:val="28"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2. Положення визначає порядок відчуження усіх об’єктів права комунальної власності </w:t>
      </w:r>
      <w:r>
        <w:rPr>
          <w:spacing w:val="-2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pacing w:val="-6"/>
          <w:sz w:val="28"/>
          <w:szCs w:val="28"/>
          <w:lang w:val="uk-UA"/>
        </w:rPr>
        <w:t xml:space="preserve">, крім тих, приватизація яких заборонена Законом України «Про приватизацію державного і  комунального майна» та іншими законами України.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3. Дане Положення також визначає порядок відчуження майна переданого в оренду та майна, яке не ввійшло до статутних фондів господарських товариств у процесі приватизації, але перебуває на їх балансі. </w:t>
      </w:r>
      <w:r/>
    </w:p>
    <w:p>
      <w:pPr>
        <w:ind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4. Терміни, які використовуються в цьому Положенні, вживаються у значенні, наведеному Законі України «Про </w:t>
      </w:r>
      <w:r>
        <w:rPr>
          <w:sz w:val="28"/>
          <w:szCs w:val="28"/>
          <w:lang w:val="uk-UA"/>
        </w:rPr>
        <w:t xml:space="preserve">приватизацію державного та комунального майна», </w:t>
      </w:r>
      <w:r>
        <w:rPr>
          <w:spacing w:val="-6"/>
          <w:sz w:val="28"/>
          <w:szCs w:val="28"/>
          <w:lang w:val="uk-UA"/>
        </w:rPr>
        <w:t xml:space="preserve">в законодавчих актах, що регулюють питання правового режиму власності відповідного майна та питання управління майном, його оцінки та бухгалтерського обліку.</w:t>
      </w:r>
      <w:r/>
    </w:p>
    <w:p>
      <w:pPr>
        <w:ind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</w:r>
      <w:r/>
    </w:p>
    <w:p>
      <w:pPr>
        <w:jc w:val="center"/>
        <w:shd w:val="clear" w:fill="FFFFFF" w:color="auto"/>
        <w:rPr>
          <w:b/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pacing w:val="-6"/>
          <w:sz w:val="28"/>
          <w:szCs w:val="28"/>
          <w:lang w:val="uk-UA"/>
        </w:rPr>
        <w:t xml:space="preserve">Порядок приватизації комунального майна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5. Порядок приватизації комунального майна передбачає: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" w:name="n190"/>
      <w:r/>
      <w:bookmarkEnd w:id="4"/>
      <w:r>
        <w:rPr>
          <w:sz w:val="28"/>
          <w:szCs w:val="28"/>
          <w:lang w:val="uk-UA"/>
        </w:rPr>
        <w:t xml:space="preserve">формування та затвердження переліків об’єктів, що підлягають приватизації;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" w:name="n191"/>
      <w:r/>
      <w:bookmarkEnd w:id="5"/>
      <w:r>
        <w:rPr>
          <w:sz w:val="28"/>
          <w:szCs w:val="28"/>
          <w:lang w:val="uk-UA"/>
        </w:rPr>
        <w:t xml:space="preserve">опублікування переліку об’єктів, що підлягають приватизації, в друкованих виданнях, на офіційному веб-сайті міської ради та в електронній торговій системі;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" w:name="n192"/>
      <w:r/>
      <w:bookmarkStart w:id="7" w:name="n193"/>
      <w:r/>
      <w:bookmarkEnd w:id="6"/>
      <w:r/>
      <w:bookmarkEnd w:id="7"/>
      <w:r>
        <w:rPr>
          <w:sz w:val="28"/>
          <w:szCs w:val="28"/>
          <w:lang w:val="uk-UA"/>
        </w:rPr>
        <w:t xml:space="preserve">прийняття міською радою рішення про приватизацію об’єкта комунальної власності;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8" w:name="n194"/>
      <w:r/>
      <w:bookmarkEnd w:id="8"/>
      <w:r>
        <w:rPr>
          <w:sz w:val="28"/>
          <w:szCs w:val="28"/>
          <w:lang w:val="uk-UA"/>
        </w:rPr>
        <w:t xml:space="preserve">опублікування інформації про прийняття рішення про приватизацію об’єкта та у випадках, передбачених цим Законом, інформації про вивчення попиту для визначення стартової ціни;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9" w:name="n195"/>
      <w:r/>
      <w:bookmarkEnd w:id="9"/>
      <w:r>
        <w:rPr>
          <w:sz w:val="28"/>
          <w:szCs w:val="28"/>
          <w:lang w:val="uk-UA"/>
        </w:rPr>
        <w:t xml:space="preserve">проведення інвентаризації та оцінки відповідно до законодавства;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0" w:name="n196"/>
      <w:r/>
      <w:bookmarkStart w:id="11" w:name="n197"/>
      <w:r/>
      <w:bookmarkStart w:id="12" w:name="n198"/>
      <w:r/>
      <w:bookmarkStart w:id="13" w:name="n199"/>
      <w:r/>
      <w:bookmarkEnd w:id="10"/>
      <w:r/>
      <w:bookmarkEnd w:id="11"/>
      <w:r/>
      <w:bookmarkEnd w:id="12"/>
      <w:r/>
      <w:bookmarkEnd w:id="13"/>
      <w:r>
        <w:rPr>
          <w:sz w:val="28"/>
          <w:szCs w:val="28"/>
          <w:lang w:val="uk-UA"/>
        </w:rPr>
        <w:t xml:space="preserve">затвердження у випадках, передбачених законодавством, умов продажу об’єктів приватизації, розроблених аукціонною комісією;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4" w:name="n200"/>
      <w:r/>
      <w:bookmarkEnd w:id="14"/>
      <w:r>
        <w:rPr>
          <w:sz w:val="28"/>
          <w:szCs w:val="28"/>
          <w:lang w:val="uk-UA"/>
        </w:rPr>
        <w:t xml:space="preserve">опублікування інформації про умови продажу, в тому числі стартову ціну об’єкта приватизації;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5" w:name="n201"/>
      <w:r/>
      <w:bookmarkEnd w:id="15"/>
      <w:r>
        <w:rPr>
          <w:sz w:val="28"/>
          <w:szCs w:val="28"/>
          <w:lang w:val="uk-UA"/>
        </w:rPr>
        <w:t xml:space="preserve">проведення аукціону, укладення договору купівлі-продажу;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6" w:name="n202"/>
      <w:r/>
      <w:bookmarkEnd w:id="16"/>
      <w:r>
        <w:rPr>
          <w:sz w:val="28"/>
          <w:szCs w:val="28"/>
          <w:lang w:val="uk-UA"/>
        </w:rPr>
        <w:t xml:space="preserve">укладення договору купівлі-продажу в разі приватизації об’єкта шляхом викупу;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7" w:name="n203"/>
      <w:r/>
      <w:bookmarkEnd w:id="17"/>
      <w:r>
        <w:rPr>
          <w:sz w:val="28"/>
          <w:szCs w:val="28"/>
          <w:lang w:val="uk-UA"/>
        </w:rPr>
        <w:t xml:space="preserve">опублікування інформації про результати приватизації;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8" w:name="n204"/>
      <w:r/>
      <w:bookmarkEnd w:id="18"/>
      <w:r>
        <w:rPr>
          <w:sz w:val="28"/>
          <w:szCs w:val="28"/>
          <w:lang w:val="uk-UA"/>
        </w:rPr>
        <w:t xml:space="preserve">прийняття рішення про завершення приватизації.</w:t>
      </w:r>
      <w:r/>
    </w:p>
    <w:p>
      <w:pPr>
        <w:ind w:firstLine="851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9" w:name="n205"/>
      <w:r/>
      <w:bookmarkEnd w:id="19"/>
      <w:r>
        <w:rPr>
          <w:sz w:val="28"/>
          <w:szCs w:val="28"/>
          <w:lang w:val="uk-UA"/>
        </w:rPr>
        <w:t xml:space="preserve">Приватизація об’єкта вважається завершеною з моменту його продажу та переходу до покупця права власності і оформлюється рішенням органу приватизації.</w:t>
      </w:r>
      <w:r/>
    </w:p>
    <w:p>
      <w:pPr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ab/>
        <w:t xml:space="preserve">6. Відчуження майна проводиться органом приватизації  на підставі рішення Менської міської ради. Організаційні заходи по підготовці рішень щодо відчуження комунального майна проводяться </w:t>
      </w:r>
      <w:r>
        <w:rPr>
          <w:sz w:val="28"/>
          <w:szCs w:val="28"/>
          <w:shd w:val="clear" w:fill="FFFFFF" w:color="auto"/>
          <w:lang w:val="uk-UA"/>
        </w:rPr>
        <w:t xml:space="preserve">відділом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</w:t>
      </w:r>
      <w:r>
        <w:rPr>
          <w:iCs/>
          <w:sz w:val="28"/>
          <w:szCs w:val="28"/>
        </w:rPr>
        <w:t xml:space="preserve"> майна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міської ради.</w:t>
      </w:r>
      <w:r/>
    </w:p>
    <w:p>
      <w:pPr>
        <w:jc w:val="both"/>
        <w:shd w:val="clear" w:fill="FFFFFF" w:color="auto"/>
        <w:tabs>
          <w:tab w:val="left" w:pos="792" w:leader="none"/>
        </w:tabs>
        <w:rPr>
          <w:bCs/>
          <w:sz w:val="28"/>
          <w:szCs w:val="28"/>
          <w:shd w:val="clear" w:fill="FFFFFF" w:color="auto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ab/>
      </w:r>
      <w:r>
        <w:rPr>
          <w:bCs/>
          <w:sz w:val="28"/>
          <w:szCs w:val="28"/>
          <w:shd w:val="clear" w:fill="FFFFFF" w:color="auto"/>
          <w:lang w:val="uk-UA"/>
        </w:rPr>
        <w:t xml:space="preserve">7. Перелік об'єктів комун</w:t>
      </w:r>
      <w:r>
        <w:rPr>
          <w:bCs/>
          <w:sz w:val="28"/>
          <w:szCs w:val="28"/>
          <w:shd w:val="clear" w:fill="FFFFFF" w:color="auto"/>
          <w:lang w:val="uk-UA"/>
        </w:rPr>
        <w:t xml:space="preserve">альної власності Менської міської територіальної громади, що підлягають приватизації, ухвалюється Менською міською радою. Включення нових об'єктів до цього переліку здійснюється шляхом ухвалення окремого рішення щодо кожного об'єкта комунальної власності. </w:t>
      </w:r>
      <w:r/>
    </w:p>
    <w:p>
      <w:pPr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Cs/>
          <w:sz w:val="28"/>
          <w:szCs w:val="28"/>
          <w:shd w:val="clear" w:fill="FFFFFF" w:color="auto"/>
          <w:lang w:val="uk-UA"/>
        </w:rPr>
        <w:tab/>
        <w:t xml:space="preserve">8. Ініціювати приватизацію об'єктів комунальної власності можуть: орган приватизації Менської міської ради,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відділ </w:t>
      </w:r>
      <w:r>
        <w:rPr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,</w:t>
      </w:r>
      <w:r>
        <w:rPr>
          <w:bCs/>
          <w:sz w:val="28"/>
          <w:szCs w:val="28"/>
          <w:shd w:val="clear" w:fill="FFFFFF" w:color="auto"/>
          <w:lang w:val="uk-UA"/>
        </w:rPr>
        <w:t xml:space="preserve"> суб'єкти управління об'єктами комунальної власності або покупці.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Ініціатор приватизації подає заяву до органу приватизації міської ради, яка протягом трьох днів передається до відділу </w:t>
      </w:r>
      <w:r>
        <w:rPr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для проведення  організаційних  заходів  щодо  надання  дозволу  на  включення об'єкта до переліку об'єктів комунальної власності, що підлягають приватизації.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Міська рада надає згоду на включення даного об’єкта до переліку  об'єктів </w:t>
      </w:r>
      <w:r>
        <w:rPr>
          <w:sz w:val="28"/>
          <w:szCs w:val="28"/>
          <w:shd w:val="clear" w:fill="FFFFFF" w:color="auto"/>
          <w:lang w:val="uk-UA"/>
        </w:rPr>
        <w:t xml:space="preserve">комунальної</w:t>
      </w:r>
      <w:r>
        <w:rPr>
          <w:sz w:val="28"/>
          <w:szCs w:val="28"/>
          <w:lang w:val="uk-UA"/>
        </w:rPr>
        <w:t xml:space="preserve"> власності, що підлягають приватизації шляхом прийняття рішення сесії, </w:t>
      </w:r>
      <w:r>
        <w:rPr>
          <w:sz w:val="28"/>
          <w:szCs w:val="28"/>
          <w:shd w:val="clear" w:fill="FFFFFF" w:color="auto"/>
          <w:lang w:val="uk-UA"/>
        </w:rPr>
        <w:t xml:space="preserve">крім випадків, коли міська рада самостійно ініціювала включення такого об'єкта до переліку об'єктів комунальної власності, що підлягають приватизації</w:t>
      </w:r>
      <w:r>
        <w:rPr>
          <w:sz w:val="28"/>
          <w:szCs w:val="28"/>
          <w:lang w:val="uk-UA"/>
        </w:rPr>
        <w:t xml:space="preserve"> або надає вмотивовану відмову протягом 30 днів з моменту надходження звернення   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Відмова у включенні до переліку об'єктів, що підлягають приватизації, можлива у разі: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коли підприємство, що пропонується приватизувати, перебуває у процесі ліквідації;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коли законодавством установлено обмеження щодо приватизації об'єкта;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вмотивованої відмови органу, уповноваженого управляти комунальним майном, у погодженні щодо включення до переліку об'єктів, що підлягають приватизації; 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якщо орган приватизації не одержав у встановлений строк дозвіл чи відмову, згода на приватизацію вважається наданою.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lang w:val="uk-UA"/>
        </w:rPr>
        <w:t xml:space="preserve">11. Відділ </w:t>
      </w:r>
      <w:r>
        <w:rPr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sz w:val="28"/>
          <w:szCs w:val="28"/>
          <w:shd w:val="clear" w:fill="FFFFFF" w:color="auto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ради забезпечує о</w:t>
      </w:r>
      <w:r>
        <w:rPr>
          <w:sz w:val="28"/>
          <w:szCs w:val="28"/>
          <w:shd w:val="clear" w:fill="FFFFFF" w:color="auto"/>
          <w:lang w:val="uk-UA"/>
        </w:rPr>
        <w:t xml:space="preserve">публікування переліку об'єктів, що підлягають приватизації в друкованих засобах масової інформації, на офіційному сайті Менської міської ради та в електронній торговій системі.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12. Для розгляду питання про надання дозволу на відчуження майна відділ </w:t>
      </w:r>
      <w:r>
        <w:rPr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міської ради  спільно з відділом бухгалтерського обліку та звітності міської ради готують такі документи: </w:t>
      </w:r>
      <w:r/>
    </w:p>
    <w:p>
      <w:pPr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ab/>
        <w:t xml:space="preserve"> -  техніко-економічне обґрунтуванням доцільності відчуження майна та напрямів використання коштів; </w:t>
      </w:r>
      <w:r/>
    </w:p>
    <w:p>
      <w:pPr>
        <w:ind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-  відомість про вартість майна, яке пропонується до відчуження, згідно з даними бухгалтерського обліку; </w:t>
      </w:r>
      <w:r/>
    </w:p>
    <w:p>
      <w:pPr>
        <w:ind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-  акт технічного стану майна (довільної форми); </w:t>
      </w:r>
      <w:r/>
    </w:p>
    <w:p>
      <w:pPr>
        <w:ind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-  звіт про оцінку майна, яке пропонується до відчуження.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13. Незалежна оцінка майна, яке про</w:t>
      </w:r>
      <w:r>
        <w:rPr>
          <w:spacing w:val="-6"/>
          <w:sz w:val="28"/>
          <w:szCs w:val="28"/>
          <w:lang w:val="uk-UA"/>
        </w:rPr>
        <w:t xml:space="preserve">понується до відчуження, проводиться суб’єктами оціночної діяльності суб’єктами господарювання, які мають сертифікат суб’єкта оціночної діяльності, відповідно до Закону України </w:t>
      </w:r>
      <w:r>
        <w:rPr>
          <w:sz w:val="28"/>
          <w:szCs w:val="28"/>
          <w:lang w:val="uk-UA"/>
        </w:rPr>
        <w:t xml:space="preserve">«</w:t>
      </w:r>
      <w:r/>
      <w:r>
        <w:rPr>
          <w:spacing w:val="-6"/>
          <w:sz w:val="28"/>
          <w:szCs w:val="28"/>
          <w:lang w:val="uk-UA"/>
        </w:rPr>
        <w:t xml:space="preserve">Про оцінку майна, майнових прав та професійну оціночну діяльність в Україні</w:t>
      </w:r>
      <w:r>
        <w:rPr>
          <w:sz w:val="28"/>
          <w:szCs w:val="28"/>
          <w:lang w:val="uk-UA"/>
        </w:rPr>
        <w:t xml:space="preserve">»</w:t>
      </w:r>
      <w:r/>
      <w:r>
        <w:rPr>
          <w:spacing w:val="-6"/>
          <w:sz w:val="28"/>
          <w:szCs w:val="28"/>
          <w:lang w:val="uk-UA"/>
        </w:rPr>
        <w:t xml:space="preserve">. 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Замовником оцінки майна, що проп</w:t>
      </w:r>
      <w:r>
        <w:rPr>
          <w:spacing w:val="-6"/>
          <w:sz w:val="28"/>
          <w:szCs w:val="28"/>
          <w:lang w:val="uk-UA"/>
        </w:rPr>
        <w:t xml:space="preserve">онується для відчуження, є суб’єкт управління цим майном. При цьому, у разі відчуження будівель та споруд, витрати по проведенню оцінки можуть відшкодовуватися покупцем, що передбачається в умовах продажу об’єкта та у відповідному договорі купівлі-продажу.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Звіт про оцінку майна оформляється відповідно до в</w:t>
      </w:r>
      <w:r>
        <w:rPr>
          <w:spacing w:val="-6"/>
          <w:sz w:val="28"/>
          <w:szCs w:val="28"/>
          <w:lang w:val="uk-UA"/>
        </w:rPr>
        <w:t xml:space="preserve">имог стандарту №1 </w:t>
      </w:r>
      <w:r>
        <w:rPr>
          <w:sz w:val="28"/>
          <w:szCs w:val="28"/>
          <w:lang w:val="uk-UA"/>
        </w:rPr>
        <w:t xml:space="preserve">«</w:t>
      </w:r>
      <w:r/>
      <w:r>
        <w:rPr>
          <w:spacing w:val="-6"/>
          <w:sz w:val="28"/>
          <w:szCs w:val="28"/>
          <w:lang w:val="uk-UA"/>
        </w:rPr>
        <w:t xml:space="preserve">Загальні засади оцінки майна і майнових прав</w:t>
      </w:r>
      <w:r>
        <w:rPr>
          <w:sz w:val="28"/>
          <w:szCs w:val="28"/>
          <w:lang w:val="uk-UA"/>
        </w:rPr>
        <w:t xml:space="preserve">»</w:t>
      </w:r>
      <w:r/>
      <w:r>
        <w:rPr>
          <w:spacing w:val="-6"/>
          <w:sz w:val="28"/>
          <w:szCs w:val="28"/>
          <w:lang w:val="uk-UA"/>
        </w:rPr>
        <w:t xml:space="preserve">, затвердженого постановою Кабінету Міністрів України від 10.09.2003 №1440 та стандарту №2 </w:t>
      </w:r>
      <w:r>
        <w:rPr>
          <w:sz w:val="28"/>
          <w:szCs w:val="28"/>
          <w:lang w:val="uk-UA"/>
        </w:rPr>
        <w:t xml:space="preserve">«</w:t>
      </w:r>
      <w:r/>
      <w:r>
        <w:rPr>
          <w:spacing w:val="-6"/>
          <w:sz w:val="28"/>
          <w:szCs w:val="28"/>
          <w:lang w:val="uk-UA"/>
        </w:rPr>
        <w:t xml:space="preserve">Оцінка нерухомого майна</w:t>
      </w:r>
      <w:r>
        <w:rPr>
          <w:sz w:val="28"/>
          <w:szCs w:val="28"/>
          <w:lang w:val="uk-UA"/>
        </w:rPr>
        <w:t xml:space="preserve">»</w:t>
      </w:r>
      <w:r/>
      <w:r>
        <w:rPr>
          <w:spacing w:val="-6"/>
          <w:sz w:val="28"/>
          <w:szCs w:val="28"/>
          <w:lang w:val="uk-UA"/>
        </w:rPr>
        <w:t xml:space="preserve">, затвердженого постановою Кабінету Міністрів України від 28.10.2004 №1442. </w:t>
      </w:r>
      <w:r/>
    </w:p>
    <w:p>
      <w:pPr>
        <w:ind w:firstLine="708"/>
        <w:jc w:val="both"/>
        <w:shd w:val="clear" w:fill="FFFFFF" w:color="auto"/>
        <w:rPr>
          <w:color w:val="000000"/>
          <w:spacing w:val="1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14. Початкова вартість майна визначається на підставі звіту про оцінку майна.</w:t>
      </w:r>
      <w:r/>
    </w:p>
    <w:p>
      <w:pPr>
        <w:ind w:right="1" w:firstLine="0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ab/>
        <w:t xml:space="preserve">15. Після проведення оцінки майна забороняється здійснювати дії щодо об’єкта відчуження, які можуть привести до зміни його вартості. 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 xml:space="preserve">1</w:t>
      </w:r>
      <w:r>
        <w:rPr>
          <w:spacing w:val="-6"/>
          <w:sz w:val="28"/>
          <w:szCs w:val="28"/>
          <w:lang w:val="uk-UA"/>
        </w:rPr>
        <w:t xml:space="preserve">6</w:t>
      </w:r>
      <w:r>
        <w:rPr>
          <w:spacing w:val="-6"/>
          <w:sz w:val="28"/>
          <w:szCs w:val="28"/>
          <w:lang w:val="uk-UA"/>
        </w:rPr>
        <w:t xml:space="preserve">. Дозвіл на відчуження комунального майна надається рішенням</w:t>
      </w:r>
      <w:r>
        <w:rPr>
          <w:spacing w:val="-6"/>
          <w:sz w:val="28"/>
          <w:szCs w:val="28"/>
          <w:lang w:val="uk-UA"/>
        </w:rPr>
        <w:t xml:space="preserve"> сесії</w:t>
      </w:r>
      <w:r>
        <w:rPr>
          <w:spacing w:val="-6"/>
          <w:sz w:val="28"/>
          <w:szCs w:val="28"/>
          <w:lang w:val="uk-UA"/>
        </w:rPr>
        <w:t xml:space="preserve"> міської  ради. 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Рішення про приватизацію об'єкта, який включено до переліку об'єктів власності, що підлягають  приватизації  приймається  Менською  міською радою не пізніше 30 днів з дня включення до переліку об'єктів, що підлягають приватизації</w:t>
      </w:r>
      <w:r>
        <w:rPr>
          <w:spacing w:val="-6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Опублікування інформації про прийняття рішення про приватизацію об'єкта комунальної власності здійснюється на офіційному сайті  міської ради та в електронній торговій системі протягом п'яти робочих днів з дня ухвалення міською радою рішення.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color w:val="2A29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 Відділ</w:t>
      </w:r>
      <w:r>
        <w:rPr>
          <w:iCs/>
          <w:sz w:val="28"/>
          <w:szCs w:val="28"/>
          <w:lang w:val="uk-UA"/>
        </w:rPr>
        <w:t xml:space="preserve"> житлово-комунального господарства, енергоефективності та комунального майна</w:t>
      </w:r>
      <w:r>
        <w:rPr>
          <w:sz w:val="28"/>
          <w:szCs w:val="28"/>
          <w:shd w:val="clear" w:fill="FFFFFF" w:color="auto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ради  в п'ятиденний строк після отримання дозволу на відчуження об’єкту письмово повідомляє про це заявника, підприємство, що приватизується (суб’єкт господарювання), а також орган управління</w:t>
      </w:r>
      <w:r>
        <w:rPr>
          <w:color w:val="2A2928"/>
          <w:sz w:val="28"/>
          <w:szCs w:val="28"/>
          <w:lang w:val="uk-UA"/>
        </w:rPr>
        <w:t xml:space="preserve">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19</w:t>
      </w:r>
      <w:r>
        <w:rPr>
          <w:spacing w:val="-6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Відчуження комунального майна здійснюється шляхом: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0" w:name="n270"/>
      <w:r/>
      <w:bookmarkEnd w:id="20"/>
      <w:r>
        <w:rPr>
          <w:sz w:val="28"/>
          <w:szCs w:val="28"/>
          <w:lang w:val="uk-UA"/>
        </w:rPr>
        <w:t xml:space="preserve">1) продажу об’єктів права комунальної власності на аукціоні, у тому числі: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1" w:name="n271"/>
      <w:r/>
      <w:bookmarkEnd w:id="21"/>
      <w:r>
        <w:rPr>
          <w:sz w:val="28"/>
          <w:szCs w:val="28"/>
          <w:lang w:val="uk-UA"/>
        </w:rPr>
        <w:t xml:space="preserve">аукціоні з умовами;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2" w:name="n272"/>
      <w:r/>
      <w:bookmarkEnd w:id="22"/>
      <w:r>
        <w:rPr>
          <w:sz w:val="28"/>
          <w:szCs w:val="28"/>
          <w:lang w:val="uk-UA"/>
        </w:rPr>
        <w:t xml:space="preserve">аукціоні без умов;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3" w:name="n273"/>
      <w:r/>
      <w:bookmarkEnd w:id="23"/>
      <w:r>
        <w:rPr>
          <w:sz w:val="28"/>
          <w:szCs w:val="28"/>
          <w:lang w:val="uk-UA"/>
        </w:rPr>
        <w:t xml:space="preserve">аукціоні за методом покрокового зниження стартової ціни та подальшого подання цінових пропозицій;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4" w:name="n274"/>
      <w:r/>
      <w:bookmarkEnd w:id="24"/>
      <w:r>
        <w:rPr>
          <w:sz w:val="28"/>
          <w:szCs w:val="28"/>
          <w:lang w:val="uk-UA"/>
        </w:rPr>
        <w:t xml:space="preserve">аукціоні із зниженням стартової ціни;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5" w:name="n275"/>
      <w:r/>
      <w:bookmarkEnd w:id="25"/>
      <w:r>
        <w:rPr>
          <w:sz w:val="28"/>
          <w:szCs w:val="28"/>
          <w:lang w:val="uk-UA"/>
        </w:rPr>
        <w:t xml:space="preserve">аукціоні за методом вивчення цінових пропозицій;</w:t>
      </w:r>
      <w:r/>
    </w:p>
    <w:p>
      <w:pPr>
        <w:ind w:left="0" w:right="0" w:firstLine="709"/>
        <w:jc w:val="both"/>
        <w:shd w:val="clear" w:fill="FFFFFF" w:color="auto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6" w:name="n276"/>
      <w:r/>
      <w:bookmarkEnd w:id="26"/>
      <w:r>
        <w:rPr>
          <w:sz w:val="28"/>
          <w:szCs w:val="28"/>
          <w:lang w:val="uk-UA"/>
        </w:rPr>
        <w:t xml:space="preserve">2) викупу об’єктів приватизації.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2</w:t>
      </w:r>
      <w:r>
        <w:rPr>
          <w:sz w:val="28"/>
          <w:szCs w:val="28"/>
          <w:shd w:val="clear" w:fill="FFFFFF" w:color="auto"/>
          <w:lang w:val="uk-UA"/>
        </w:rPr>
        <w:t xml:space="preserve">0</w:t>
      </w:r>
      <w:r>
        <w:rPr>
          <w:sz w:val="28"/>
          <w:szCs w:val="28"/>
          <w:shd w:val="clear" w:fill="FFFFFF" w:color="auto"/>
          <w:lang w:val="uk-UA"/>
        </w:rPr>
        <w:t xml:space="preserve">. Об'єкти малої приватизації продаються виключно на електронних аукціонах</w:t>
      </w:r>
      <w:r>
        <w:rPr>
          <w:color w:val="2A2928"/>
          <w:sz w:val="28"/>
          <w:szCs w:val="28"/>
          <w:shd w:val="clear" w:fill="FFFFFF" w:color="auto"/>
          <w:lang w:val="uk-UA"/>
        </w:rPr>
        <w:t xml:space="preserve">. При проведенні аукціону застосовуються </w:t>
      </w:r>
      <w:r>
        <w:rPr>
          <w:sz w:val="28"/>
          <w:szCs w:val="28"/>
          <w:shd w:val="clear" w:fill="FFFFFF" w:color="auto"/>
          <w:lang w:val="uk-UA"/>
        </w:rPr>
        <w:t xml:space="preserve">Порядок проведення електронних аукціонів для продажу об'єктів малої приватизації, затверджений постановою Кабінету Міністрів України від 10 травня 2018 р. № 432 та</w:t>
      </w:r>
      <w:r>
        <w:rPr>
          <w:sz w:val="28"/>
          <w:szCs w:val="28"/>
          <w:shd w:val="clear" w:fill="FFFFFF" w:color="auto"/>
          <w:lang w:val="uk-UA"/>
        </w:rPr>
        <w:t xml:space="preserve"> Порядок відбору операторів електронних майданчиків для організації проведення електронних аукціонів з продажу об'єктів малої приватизації, авторизації електронних майданчиків, затверджений постановою Кабінету Міністрів України від 10 травня 2018 р. № 433.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shd w:val="clear" w:fill="FFFFFF" w:color="auto"/>
          <w:lang w:val="uk-UA"/>
        </w:rPr>
      </w:pPr>
      <w:r/>
      <w:bookmarkStart w:id="27" w:name="n333"/>
      <w:r/>
      <w:bookmarkEnd w:id="27"/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Для продажу об’єктів малої приватизації міським головою протягом 10 робочих днів з дня прийняття рішення про приватизацію об’єкта утворюється аукціонна комісія, діяльність якої регулюється положенням, що затверджується рішенням міської рад.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pStyle w:val="88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Аукціонна комісія розробляє умови продажу, що затверджуються органом приватизації.</w:t>
      </w:r>
      <w:r/>
    </w:p>
    <w:p>
      <w:pPr>
        <w:ind w:right="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shd w:val="clear" w:fill="FFFFFF" w:color="auto"/>
          <w:lang w:val="uk-UA"/>
        </w:rPr>
        <w:tab/>
        <w:t xml:space="preserve">2</w:t>
      </w:r>
      <w:r>
        <w:rPr>
          <w:sz w:val="28"/>
          <w:szCs w:val="28"/>
          <w:shd w:val="clear" w:fill="FFFFFF" w:color="auto"/>
          <w:lang w:val="uk-UA"/>
        </w:rPr>
        <w:t xml:space="preserve">2</w:t>
      </w:r>
      <w:r>
        <w:rPr>
          <w:sz w:val="28"/>
          <w:szCs w:val="28"/>
          <w:shd w:val="clear" w:fill="FFFFFF" w:color="auto"/>
          <w:lang w:val="uk-UA"/>
        </w:rPr>
        <w:t xml:space="preserve">. Після затверд</w:t>
      </w:r>
      <w:r>
        <w:rPr>
          <w:sz w:val="28"/>
          <w:szCs w:val="28"/>
          <w:shd w:val="clear" w:fill="FFFFFF" w:color="auto"/>
          <w:lang w:val="uk-UA"/>
        </w:rPr>
        <w:t xml:space="preserve">ження умов продажу орган приватизації не пізніш як через 10 робочих днів публікує інформаційне повідомлення про приватизацію об’єкта малої приватизації в газеті «Наше слово», на офіційному веб-сайті Менської міської ради та в електронній торговій системі.</w:t>
      </w:r>
      <w:r>
        <w:rPr>
          <w:spacing w:val="-6"/>
          <w:sz w:val="28"/>
          <w:szCs w:val="28"/>
          <w:lang w:val="uk-UA"/>
        </w:rPr>
        <w:t xml:space="preserve"> 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  <w:lang w:val="uk-UA"/>
        </w:rPr>
      </w:pPr>
      <w:r>
        <w:rPr>
          <w:spacing w:val="-6"/>
          <w:sz w:val="28"/>
          <w:szCs w:val="28"/>
          <w:lang w:val="uk-UA"/>
        </w:rPr>
        <w:t xml:space="preserve">Інформація про майно, що підлягає продажу на аукціоні, повинна містити такі відомості: назву майна, його місцезнаходження, відомості про майно, початкову вартість продажу, фіксовані умови продажу (зокрема відшкодування витрат, пов'язаних з </w:t>
      </w:r>
      <w:r>
        <w:rPr>
          <w:spacing w:val="-6"/>
          <w:sz w:val="28"/>
          <w:szCs w:val="28"/>
          <w:lang w:val="uk-UA"/>
        </w:rPr>
        <w:t xml:space="preserve">продажем</w:t>
      </w:r>
      <w:r>
        <w:rPr>
          <w:spacing w:val="-6"/>
          <w:sz w:val="28"/>
          <w:szCs w:val="28"/>
          <w:lang w:val="uk-UA"/>
        </w:rPr>
        <w:t xml:space="preserve"> майна), кінцевий термін прийняття заяв про участь в аукціоні, час та місце ознайомлення з майном, час та місце проведення аукціону, адресу, номер телефону, час роботи служби з організації аукціону.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Аукціони з продажу об’єктів малої приватизації проводяться не раніше ніж через 20 днів, але не пізніше 35 днів після опублікування інформаційного повідомлення про приватизацію об’єктів малої приватизації.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8" w:name="n341"/>
      <w:r/>
      <w:bookmarkEnd w:id="28"/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Протокол про результати електронного аукціону формується та оприлюднюється електронною  торговою  системою  автоматично  в  день завершення аукціону в електронній формі.</w:t>
      </w:r>
      <w:r/>
    </w:p>
    <w:p>
      <w:pPr>
        <w:ind w:right="1" w:firstLine="851"/>
        <w:jc w:val="both"/>
        <w:shd w:val="clear" w:fill="FFFFFF" w:color="auto"/>
        <w:tabs>
          <w:tab w:val="left" w:pos="792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Покупець, який підписав договір купівлі-продажу, сплачує на відповідний поточний рахунок органів приватизації ціну продажу об’єкта приватизації не пізніше ніж протягом 30 днів з дня підписання договору купівлі-продажу.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9" w:name="n503"/>
      <w:r/>
      <w:bookmarkEnd w:id="29"/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 За несплату коштів за об’єкт приватизації згідно з договором купівлі-продажу протягом 30 днів з дня укладення договору купівлі-продажу нараховується неустойка.</w:t>
      </w:r>
      <w:bookmarkStart w:id="30" w:name="n504"/>
      <w:r/>
      <w:bookmarkEnd w:id="30"/>
      <w:r>
        <w:rPr>
          <w:sz w:val="28"/>
          <w:szCs w:val="28"/>
          <w:lang w:val="uk-UA"/>
        </w:rPr>
        <w:t xml:space="preserve"> Несплата коштів за об’єкт приватизації згідно з </w:t>
      </w:r>
      <w:r>
        <w:rPr>
          <w:sz w:val="28"/>
          <w:szCs w:val="28"/>
          <w:lang w:val="uk-UA"/>
        </w:rPr>
        <w:t xml:space="preserve">договором купівлі-продажу протягом 60 днів з дня укладення договору купівлі-продажу є підставою для розірвання такого договору.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Під час приватизації об’єкта комунальної власності шляхом його продажу на аукціоні, викупу між продавцем і покупцем укладається відповідний договір купівлі-продажу.</w:t>
      </w:r>
      <w:r/>
    </w:p>
    <w:p>
      <w:pPr>
        <w:pStyle w:val="886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1" w:name="n529"/>
      <w:r/>
      <w:bookmarkEnd w:id="31"/>
      <w:r>
        <w:rPr>
          <w:sz w:val="28"/>
          <w:szCs w:val="28"/>
          <w:lang w:val="uk-UA"/>
        </w:rPr>
        <w:t xml:space="preserve">Укладення та внесення змін до договорів купівлі-продажу здійснюються відповідно до вимог законодавства.</w:t>
      </w:r>
      <w:r/>
    </w:p>
    <w:p>
      <w:pPr>
        <w:ind w:right="1"/>
        <w:jc w:val="both"/>
        <w:shd w:val="clear" w:fill="FFFFFF" w:color="auto"/>
        <w:tabs>
          <w:tab w:val="left" w:pos="792" w:leader="none"/>
        </w:tabs>
        <w:rPr>
          <w:sz w:val="28"/>
          <w:szCs w:val="28"/>
          <w:shd w:val="clear" w:fill="FFFFFF" w:color="auto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shd w:val="clear" w:fill="FFFFFF" w:color="auto"/>
          <w:lang w:val="uk-UA"/>
        </w:rPr>
        <w:tab/>
        <w:t xml:space="preserve">28. Право власності на об’єкт приватизації переходить до покупця після сплати в повному обсязі ціни продажу об’єкта разом з неустойкою (у разі її нарахування).</w:t>
      </w:r>
      <w:r/>
    </w:p>
    <w:p>
      <w:pPr>
        <w:ind w:right="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  <w:tab/>
        <w:t xml:space="preserve">29. Кошти, отримані від відчуження комунального майна,</w:t>
      </w:r>
      <w:r>
        <w:rPr>
          <w:color w:val="333333"/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інші надходження, безпосередньо пов’язані з процесом приватизації (суми штрафних санкцій за несвоєчасні розрахунки за придбані об’єкти приватизації тощо), зараховуються до місцевого бюджету у повному обсязі, крім плати за участь.</w:t>
      </w:r>
      <w:r/>
    </w:p>
    <w:p>
      <w:pPr>
        <w:ind w:right="1"/>
        <w:jc w:val="both"/>
        <w:shd w:val="clear" w:fill="FFFFFF" w:color="auto"/>
        <w:tabs>
          <w:tab w:val="left" w:pos="792" w:leader="none"/>
        </w:tabs>
        <w:rPr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pacing w:val="-6"/>
          <w:sz w:val="28"/>
          <w:szCs w:val="28"/>
          <w:lang w:val="uk-UA"/>
        </w:rPr>
      </w:r>
      <w:r/>
    </w:p>
    <w:p>
      <w:pPr>
        <w:ind w:right="1"/>
        <w:jc w:val="center"/>
        <w:shd w:val="clear" w:fill="FFFFFF" w:color="auto"/>
        <w:rPr>
          <w:b/>
          <w:color w:val="000000"/>
          <w:spacing w:val="-6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pacing w:val="-6"/>
          <w:sz w:val="28"/>
          <w:szCs w:val="28"/>
          <w:lang w:val="uk-UA"/>
        </w:rPr>
        <w:t xml:space="preserve">Відчуження майна, переданого в оренду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</w:t>
      </w:r>
      <w:r>
        <w:rPr>
          <w:spacing w:val="-6"/>
          <w:sz w:val="28"/>
          <w:szCs w:val="28"/>
          <w:lang w:val="uk-UA"/>
        </w:rPr>
        <w:t xml:space="preserve">0</w:t>
      </w:r>
      <w:r>
        <w:rPr>
          <w:spacing w:val="-6"/>
          <w:sz w:val="28"/>
          <w:szCs w:val="28"/>
          <w:lang w:val="uk-UA"/>
        </w:rPr>
        <w:t xml:space="preserve">. Відчуження майна, переданого в оренду, здійснюється </w:t>
      </w:r>
      <w:r>
        <w:rPr>
          <w:sz w:val="28"/>
          <w:szCs w:val="28"/>
          <w:lang w:val="uk-UA"/>
        </w:rPr>
        <w:t xml:space="preserve">шляхом продажу на аукціоні або шляхом викупу.                    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Орендар одержує право на викуп орендованого майна (будівлі, споруди, нежитлового приміщення) за ціною, визначеною за результатами його незалежної оцінки, якщо виконується кожна з таких умов: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-орендарем здійснено поліпшення орендованого майна, які неможливо відокремити від відповідного об'єкта без заподіяння йому шкоди, в розмірі не менш як 25 відсотків ринкової вартості майна, визначеної суб'єктом оціночної діяльності для цілей оренди майна;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-орендар отримав письмову згоду орендодавця на здійснення невід'ємних поліпшень, які надають йому право на приватизацію майна шляхом викупу;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-невід'ємні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-з</w:t>
      </w:r>
      <w:r>
        <w:rPr>
          <w:sz w:val="28"/>
          <w:szCs w:val="28"/>
          <w:lang w:val="uk-UA"/>
        </w:rPr>
        <w:t xml:space="preserve">дійснення і склад невід'ємних поліпшень, у тому числі невід'ємний характер поліпшень, підтверджені висновком будівельної експертизи, а вартість невід'ємних поліпшень, підтверджених висновком будівельної експертизи, визначена суб'єктом оціночної діяльності;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-орендар належно виконує умови договору оренди, відсутня заборгованість з орендної плати;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-договір оренди є чинним на момент відчуження.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Орендар, який виконав умови, передбачені в п. 33 Положення, має право на відчуження об'єкта шляхом викупу.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якщо органами приватизації прийнято рішення про приватизацію на аукціоні з умовами щодо компенсації орендарю невід'ємних поліпшень, вартість таких поліпшень компенсується покупцем.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Ціна продажу об'єкта відчуження зменшується на суму компенсації невід'ємних поліпшень.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покупцем об'єкта відчуження стає орендар, вартість невід'ємних поліпшень зараховується йому під час остаточного розрахунку за об'єкт відчуження</w:t>
      </w:r>
      <w:r/>
    </w:p>
    <w:p>
      <w:pPr>
        <w:pStyle w:val="885"/>
        <w:ind w:firstLine="708"/>
        <w:jc w:val="both"/>
        <w:spacing w:after="0" w:afterAutospacing="0" w:before="0" w:beforeAutospacing="0"/>
        <w:shd w:val="clear" w:fill="FFFFFF" w:color="auto"/>
        <w:rPr>
          <w:color w:val="2A2928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</w:t>
      </w:r>
      <w:r>
        <w:rPr>
          <w:spacing w:val="-6"/>
          <w:sz w:val="28"/>
          <w:szCs w:val="28"/>
          <w:lang w:val="uk-UA"/>
        </w:rPr>
        <w:t xml:space="preserve">3</w:t>
      </w:r>
      <w:r>
        <w:rPr>
          <w:spacing w:val="-6"/>
          <w:sz w:val="28"/>
          <w:szCs w:val="28"/>
          <w:lang w:val="uk-UA"/>
        </w:rPr>
        <w:t xml:space="preserve">. Відчуження орендованого майна здійснюється </w:t>
      </w:r>
      <w:r>
        <w:rPr>
          <w:spacing w:val="-6"/>
          <w:sz w:val="28"/>
          <w:szCs w:val="28"/>
          <w:lang w:val="uk-UA"/>
        </w:rPr>
        <w:t xml:space="preserve">в порядку, встановленому даним</w:t>
      </w:r>
      <w:r>
        <w:rPr>
          <w:spacing w:val="-6"/>
          <w:sz w:val="28"/>
          <w:szCs w:val="28"/>
          <w:lang w:val="uk-UA"/>
        </w:rPr>
        <w:t xml:space="preserve">  Положення</w:t>
      </w:r>
      <w:r>
        <w:rPr>
          <w:spacing w:val="-6"/>
          <w:sz w:val="28"/>
          <w:szCs w:val="28"/>
          <w:lang w:val="uk-UA"/>
        </w:rPr>
        <w:t xml:space="preserve">м</w:t>
      </w:r>
      <w:r>
        <w:rPr>
          <w:spacing w:val="-6"/>
          <w:sz w:val="28"/>
          <w:szCs w:val="28"/>
          <w:lang w:val="uk-UA"/>
        </w:rPr>
        <w:t xml:space="preserve">.</w:t>
      </w:r>
      <w:r/>
    </w:p>
    <w:p>
      <w:pPr>
        <w:pStyle w:val="885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12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34</w:t>
      </w:r>
      <w:r>
        <w:rPr>
          <w:sz w:val="28"/>
          <w:szCs w:val="28"/>
          <w:lang w:val="uk-UA"/>
        </w:rPr>
        <w:t xml:space="preserve">. Договір оренди зберігає чинність для нового власника приватизованого майна, а в разі якщо покупцем переданого в оренду об'єкта комунального майна є орендар, дія відповідного договору припиняється з дня, за яким об'єкт оренди переходить у його власність.</w:t>
      </w:r>
      <w:r/>
    </w:p>
    <w:p>
      <w:pPr>
        <w:pStyle w:val="885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35</w:t>
      </w:r>
      <w:r>
        <w:rPr>
          <w:sz w:val="28"/>
          <w:szCs w:val="28"/>
          <w:lang w:val="uk-UA"/>
        </w:rPr>
        <w:t xml:space="preserve">. Питання відчуження майна комунальної власності Менської міської територіальної громади, не врегульовані даним Положенням, вирішуються відповідно до Закону України «Про </w:t>
      </w:r>
      <w:r>
        <w:rPr>
          <w:b/>
          <w:bCs/>
          <w:color w:val="333333"/>
          <w:sz w:val="28"/>
          <w:szCs w:val="28"/>
          <w:shd w:val="clear" w:fill="FFFFFF" w:color="auto"/>
        </w:rPr>
        <w:t xml:space="preserve"> </w:t>
      </w:r>
      <w:r>
        <w:rPr>
          <w:sz w:val="28"/>
          <w:szCs w:val="28"/>
          <w:shd w:val="clear" w:fill="FFFFFF" w:color="auto"/>
          <w:lang w:val="uk-UA"/>
        </w:rPr>
        <w:t xml:space="preserve">приватизацію державного і комунального майна» та інших законодавчих актів.</w:t>
      </w:r>
      <w:r/>
    </w:p>
    <w:sectPr>
      <w:footnotePr/>
      <w:endnotePr/>
      <w:type w:val="nextPage"/>
      <w:pgSz w:w="11907" w:h="16840" w:orient="portrait"/>
      <w:pgMar w:top="1134" w:right="567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708"/>
    <w:link w:val="700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708"/>
    <w:link w:val="721"/>
    <w:uiPriority w:val="10"/>
    <w:rPr>
      <w:sz w:val="48"/>
      <w:szCs w:val="48"/>
    </w:rPr>
  </w:style>
  <w:style w:type="character" w:styleId="668">
    <w:name w:val="Subtitle Char"/>
    <w:basedOn w:val="708"/>
    <w:link w:val="723"/>
    <w:uiPriority w:val="11"/>
    <w:rPr>
      <w:sz w:val="24"/>
      <w:szCs w:val="24"/>
    </w:rPr>
  </w:style>
  <w:style w:type="character" w:styleId="669">
    <w:name w:val="Quote Char"/>
    <w:link w:val="725"/>
    <w:uiPriority w:val="29"/>
    <w:rPr>
      <w:i/>
    </w:rPr>
  </w:style>
  <w:style w:type="character" w:styleId="670">
    <w:name w:val="Intense Quote Char"/>
    <w:link w:val="727"/>
    <w:uiPriority w:val="30"/>
    <w:rPr>
      <w:i/>
    </w:rPr>
  </w:style>
  <w:style w:type="character" w:styleId="671">
    <w:name w:val="Footer Char"/>
    <w:basedOn w:val="708"/>
    <w:link w:val="730"/>
    <w:uiPriority w:val="99"/>
  </w:style>
  <w:style w:type="paragraph" w:styleId="672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730"/>
    <w:uiPriority w:val="99"/>
  </w:style>
  <w:style w:type="table" w:styleId="674">
    <w:name w:val="Plain Table 1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3">
    <w:name w:val="Footnote Text Char"/>
    <w:link w:val="858"/>
    <w:uiPriority w:val="99"/>
    <w:rPr>
      <w:sz w:val="18"/>
    </w:rPr>
  </w:style>
  <w:style w:type="paragraph" w:styleId="694">
    <w:name w:val="endnote text"/>
    <w:basedOn w:val="698"/>
    <w:link w:val="695"/>
    <w:uiPriority w:val="99"/>
    <w:semiHidden/>
    <w:unhideWhenUsed/>
    <w:rPr>
      <w:sz w:val="20"/>
    </w:rPr>
    <w:pPr>
      <w:spacing w:lineRule="auto" w:line="240" w:after="0"/>
    </w:pPr>
  </w:style>
  <w:style w:type="character" w:styleId="695">
    <w:name w:val="Endnote Text Char"/>
    <w:link w:val="694"/>
    <w:uiPriority w:val="99"/>
    <w:rPr>
      <w:sz w:val="20"/>
    </w:rPr>
  </w:style>
  <w:style w:type="character" w:styleId="696">
    <w:name w:val="endnote reference"/>
    <w:basedOn w:val="708"/>
    <w:uiPriority w:val="99"/>
    <w:semiHidden/>
    <w:unhideWhenUsed/>
    <w:rPr>
      <w:vertAlign w:val="superscript"/>
    </w:rPr>
  </w:style>
  <w:style w:type="paragraph" w:styleId="697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  <w:rPr>
      <w:rFonts w:ascii="Times New Roman" w:hAnsi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>
    <w:name w:val="Heading 1"/>
    <w:basedOn w:val="698"/>
    <w:next w:val="698"/>
    <w:link w:val="711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link w:val="712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link w:val="713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link w:val="714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15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16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17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18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19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link w:val="699"/>
    <w:uiPriority w:val="99"/>
    <w:rPr>
      <w:rFonts w:ascii="Arial" w:hAnsi="Arial" w:cs="Arial" w:eastAsia="Times New Roman"/>
      <w:sz w:val="40"/>
      <w:szCs w:val="40"/>
    </w:rPr>
  </w:style>
  <w:style w:type="character" w:styleId="712" w:customStyle="1">
    <w:name w:val="Заголовок 2 Знак"/>
    <w:link w:val="700"/>
    <w:uiPriority w:val="99"/>
    <w:rPr>
      <w:rFonts w:ascii="Arial" w:hAnsi="Arial" w:cs="Arial" w:eastAsia="Times New Roman"/>
      <w:sz w:val="34"/>
    </w:rPr>
  </w:style>
  <w:style w:type="character" w:styleId="713" w:customStyle="1">
    <w:name w:val="Заголовок 3 Знак"/>
    <w:link w:val="701"/>
    <w:uiPriority w:val="99"/>
    <w:rPr>
      <w:rFonts w:ascii="Arial" w:hAnsi="Arial" w:cs="Arial" w:eastAsia="Times New Roman"/>
      <w:sz w:val="30"/>
      <w:szCs w:val="30"/>
    </w:rPr>
  </w:style>
  <w:style w:type="character" w:styleId="714" w:customStyle="1">
    <w:name w:val="Заголовок 4 Знак"/>
    <w:link w:val="70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15" w:customStyle="1">
    <w:name w:val="Заголовок 5 Знак"/>
    <w:link w:val="70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16" w:customStyle="1">
    <w:name w:val="Заголовок 6 Знак"/>
    <w:link w:val="70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17" w:customStyle="1">
    <w:name w:val="Заголовок 7 Знак"/>
    <w:link w:val="70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18" w:customStyle="1">
    <w:name w:val="Заголовок 8 Знак"/>
    <w:link w:val="70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19" w:customStyle="1">
    <w:name w:val="Заголовок 9 Знак"/>
    <w:link w:val="707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20">
    <w:name w:val="No Spacing"/>
    <w:qFormat/>
    <w:uiPriority w:val="99"/>
    <w:rPr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1">
    <w:name w:val="Title"/>
    <w:basedOn w:val="698"/>
    <w:next w:val="698"/>
    <w:link w:val="722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2" w:customStyle="1">
    <w:name w:val="Назва Знак"/>
    <w:link w:val="721"/>
    <w:uiPriority w:val="99"/>
    <w:rPr>
      <w:rFonts w:cs="Times New Roman"/>
      <w:sz w:val="48"/>
      <w:szCs w:val="48"/>
    </w:rPr>
  </w:style>
  <w:style w:type="paragraph" w:styleId="723">
    <w:name w:val="Subtitle"/>
    <w:basedOn w:val="698"/>
    <w:next w:val="698"/>
    <w:link w:val="724"/>
    <w:qFormat/>
    <w:uiPriority w:val="99"/>
    <w:pPr>
      <w:spacing w:after="200" w:before="200"/>
    </w:pPr>
  </w:style>
  <w:style w:type="character" w:styleId="724" w:customStyle="1">
    <w:name w:val="Підзаголовок Знак"/>
    <w:link w:val="723"/>
    <w:uiPriority w:val="99"/>
    <w:rPr>
      <w:rFonts w:cs="Times New Roman"/>
      <w:sz w:val="24"/>
      <w:szCs w:val="24"/>
    </w:rPr>
  </w:style>
  <w:style w:type="paragraph" w:styleId="725">
    <w:name w:val="Quote"/>
    <w:basedOn w:val="698"/>
    <w:next w:val="698"/>
    <w:link w:val="726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26" w:customStyle="1">
    <w:name w:val="Цитата Знак"/>
    <w:link w:val="725"/>
    <w:uiPriority w:val="99"/>
    <w:rPr>
      <w:i/>
    </w:rPr>
  </w:style>
  <w:style w:type="paragraph" w:styleId="727">
    <w:name w:val="Intense Quote"/>
    <w:basedOn w:val="698"/>
    <w:next w:val="698"/>
    <w:link w:val="728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Насичена цитата Знак"/>
    <w:link w:val="727"/>
    <w:uiPriority w:val="99"/>
    <w:rPr>
      <w:i/>
    </w:rPr>
  </w:style>
  <w:style w:type="character" w:styleId="729" w:customStyle="1">
    <w:name w:val="Header Char"/>
    <w:uiPriority w:val="99"/>
    <w:rPr>
      <w:rFonts w:cs="Times New Roman"/>
    </w:rPr>
  </w:style>
  <w:style w:type="paragraph" w:styleId="730">
    <w:name w:val="Footer"/>
    <w:basedOn w:val="698"/>
    <w:link w:val="731"/>
    <w:uiPriority w:val="99"/>
    <w:pPr>
      <w:tabs>
        <w:tab w:val="center" w:pos="7143" w:leader="none"/>
        <w:tab w:val="right" w:pos="14287" w:leader="none"/>
      </w:tabs>
    </w:pPr>
  </w:style>
  <w:style w:type="character" w:styleId="731" w:customStyle="1">
    <w:name w:val="Нижній колонтитул Знак"/>
    <w:link w:val="730"/>
    <w:uiPriority w:val="99"/>
    <w:rPr>
      <w:rFonts w:cs="Times New Roman"/>
    </w:rPr>
  </w:style>
  <w:style w:type="table" w:styleId="732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>
    <w:name w:val="Hyperlink"/>
    <w:uiPriority w:val="99"/>
    <w:rPr>
      <w:rFonts w:cs="Times New Roman"/>
      <w:color w:val="0000FF"/>
      <w:u w:val="single"/>
    </w:rPr>
  </w:style>
  <w:style w:type="paragraph" w:styleId="858">
    <w:name w:val="footnote text"/>
    <w:basedOn w:val="698"/>
    <w:link w:val="859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59" w:customStyle="1">
    <w:name w:val="Текст виноски Знак"/>
    <w:link w:val="858"/>
    <w:uiPriority w:val="99"/>
    <w:rPr>
      <w:sz w:val="18"/>
    </w:rPr>
  </w:style>
  <w:style w:type="character" w:styleId="860">
    <w:name w:val="footnote reference"/>
    <w:uiPriority w:val="99"/>
    <w:rPr>
      <w:rFonts w:cs="Times New Roman"/>
      <w:vertAlign w:val="superscript"/>
    </w:rPr>
  </w:style>
  <w:style w:type="paragraph" w:styleId="861">
    <w:name w:val="toc 1"/>
    <w:basedOn w:val="698"/>
    <w:next w:val="698"/>
    <w:uiPriority w:val="99"/>
    <w:pPr>
      <w:spacing w:after="57"/>
    </w:pPr>
  </w:style>
  <w:style w:type="paragraph" w:styleId="862">
    <w:name w:val="toc 2"/>
    <w:basedOn w:val="698"/>
    <w:next w:val="698"/>
    <w:uiPriority w:val="99"/>
    <w:pPr>
      <w:ind w:left="283"/>
      <w:spacing w:after="57"/>
    </w:pPr>
  </w:style>
  <w:style w:type="paragraph" w:styleId="863">
    <w:name w:val="toc 3"/>
    <w:basedOn w:val="698"/>
    <w:next w:val="698"/>
    <w:uiPriority w:val="99"/>
    <w:pPr>
      <w:ind w:left="567"/>
      <w:spacing w:after="57"/>
    </w:pPr>
  </w:style>
  <w:style w:type="paragraph" w:styleId="864">
    <w:name w:val="toc 4"/>
    <w:basedOn w:val="698"/>
    <w:next w:val="698"/>
    <w:uiPriority w:val="99"/>
    <w:pPr>
      <w:ind w:left="850"/>
      <w:spacing w:after="57"/>
    </w:pPr>
  </w:style>
  <w:style w:type="paragraph" w:styleId="865">
    <w:name w:val="toc 5"/>
    <w:basedOn w:val="698"/>
    <w:next w:val="698"/>
    <w:uiPriority w:val="99"/>
    <w:pPr>
      <w:ind w:left="1134"/>
      <w:spacing w:after="57"/>
    </w:pPr>
  </w:style>
  <w:style w:type="paragraph" w:styleId="866">
    <w:name w:val="toc 6"/>
    <w:basedOn w:val="698"/>
    <w:next w:val="698"/>
    <w:uiPriority w:val="99"/>
    <w:pPr>
      <w:ind w:left="1417"/>
      <w:spacing w:after="57"/>
    </w:pPr>
  </w:style>
  <w:style w:type="paragraph" w:styleId="867">
    <w:name w:val="toc 7"/>
    <w:basedOn w:val="698"/>
    <w:next w:val="698"/>
    <w:uiPriority w:val="99"/>
    <w:pPr>
      <w:ind w:left="1701"/>
      <w:spacing w:after="57"/>
    </w:pPr>
  </w:style>
  <w:style w:type="paragraph" w:styleId="868">
    <w:name w:val="toc 8"/>
    <w:basedOn w:val="698"/>
    <w:next w:val="698"/>
    <w:uiPriority w:val="99"/>
    <w:pPr>
      <w:ind w:left="1984"/>
      <w:spacing w:after="57"/>
    </w:pPr>
  </w:style>
  <w:style w:type="paragraph" w:styleId="869">
    <w:name w:val="toc 9"/>
    <w:basedOn w:val="698"/>
    <w:next w:val="698"/>
    <w:uiPriority w:val="99"/>
    <w:pPr>
      <w:ind w:left="2268"/>
      <w:spacing w:after="57"/>
    </w:pPr>
  </w:style>
  <w:style w:type="paragraph" w:styleId="870">
    <w:name w:val="TOC Heading"/>
    <w:basedOn w:val="699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1">
    <w:name w:val="Header"/>
    <w:basedOn w:val="698"/>
    <w:link w:val="872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2" w:customStyle="1">
    <w:name w:val="Верхній колонтитул Знак"/>
    <w:link w:val="871"/>
    <w:uiPriority w:val="99"/>
    <w:rPr>
      <w:rFonts w:ascii="Times New Roman" w:hAnsi="Times New Roman" w:cs="Times New Roman"/>
      <w:sz w:val="20"/>
      <w:lang w:eastAsia="ru-RU"/>
    </w:rPr>
  </w:style>
  <w:style w:type="character" w:styleId="873" w:customStyle="1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74" w:customStyle="1">
    <w:name w:val="Верхний колонтитул2"/>
    <w:basedOn w:val="698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75">
    <w:name w:val="Balloon Text"/>
    <w:basedOn w:val="698"/>
    <w:link w:val="876"/>
    <w:uiPriority w:val="99"/>
    <w:semiHidden/>
    <w:rPr>
      <w:rFonts w:ascii="Tahoma" w:hAnsi="Tahoma" w:cs="Tahoma"/>
      <w:sz w:val="16"/>
      <w:szCs w:val="16"/>
    </w:rPr>
  </w:style>
  <w:style w:type="character" w:styleId="876" w:customStyle="1">
    <w:name w:val="Текст у виносці Знак"/>
    <w:link w:val="875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77">
    <w:name w:val="Table Grid"/>
    <w:basedOn w:val="709"/>
    <w:uiPriority w:val="99"/>
    <w:rPr>
      <w:rFonts w:ascii="Times New Roman" w:hAnsi="Times New Roman"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8">
    <w:name w:val="Body Text 3"/>
    <w:basedOn w:val="698"/>
    <w:link w:val="879"/>
    <w:uiPriority w:val="99"/>
    <w:rPr>
      <w:sz w:val="16"/>
      <w:szCs w:val="16"/>
      <w:lang w:val="uk-UA"/>
    </w:rPr>
    <w:pPr>
      <w:spacing w:after="120"/>
    </w:pPr>
  </w:style>
  <w:style w:type="character" w:styleId="879" w:customStyle="1">
    <w:name w:val="Основний текст 3 Знак"/>
    <w:link w:val="878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0">
    <w:name w:val="Body Text Indent"/>
    <w:basedOn w:val="698"/>
    <w:link w:val="881"/>
    <w:uiPriority w:val="99"/>
    <w:rPr>
      <w:lang w:val="uk-UA"/>
    </w:rPr>
    <w:pPr>
      <w:ind w:left="283"/>
      <w:spacing w:after="120"/>
    </w:pPr>
  </w:style>
  <w:style w:type="character" w:styleId="881" w:customStyle="1">
    <w:name w:val="Основний текст з відступом Знак"/>
    <w:link w:val="880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2">
    <w:name w:val="Block Text"/>
    <w:basedOn w:val="698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83">
    <w:name w:val="List Paragraph"/>
    <w:basedOn w:val="698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4" w:customStyle="1">
    <w:name w:val="List Paragraph Char"/>
    <w:uiPriority w:val="99"/>
    <w:rPr>
      <w:rFonts w:ascii="Times New Roman" w:hAnsi="Times New Roman" w:eastAsia="Times New Roman"/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85" w:customStyle="1">
    <w:name w:val="tj bmf"/>
    <w:basedOn w:val="698"/>
    <w:uiPriority w:val="99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6" w:customStyle="1">
    <w:name w:val="rvps2"/>
    <w:basedOn w:val="698"/>
    <w:uiPriority w:val="99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7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Жураковська Альона Володимирівна</cp:lastModifiedBy>
  <cp:revision>13</cp:revision>
  <dcterms:created xsi:type="dcterms:W3CDTF">2021-08-09T11:18:00Z</dcterms:created>
  <dcterms:modified xsi:type="dcterms:W3CDTF">2021-08-26T12:57:22Z</dcterms:modified>
</cp:coreProperties>
</file>