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jc w:val="center"/>
        <w:rPr>
          <w:rFonts w:ascii="Times New Roman" w:hAnsi="Times New Roman" w:eastAsia="Times New Roman"/>
          <w:sz w:val="28"/>
          <w:szCs w:val="28"/>
        </w:rPr>
      </w:pPr>
      <w:r/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66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666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666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Чернігівської області</w:t>
      </w:r>
      <w:r/>
    </w:p>
    <w:p>
      <w:pPr>
        <w:pStyle w:val="666"/>
        <w:jc w:val="center"/>
        <w:rPr>
          <w:rFonts w:ascii="Times New Roman" w:hAnsi="Times New Roman" w:eastAsia="Times New Roman"/>
          <w:sz w:val="28"/>
          <w:szCs w:val="16"/>
        </w:rPr>
      </w:pPr>
      <w:r>
        <w:rPr>
          <w:rFonts w:ascii="Times New Roman" w:hAnsi="Times New Roman" w:eastAsia="Times New Roman"/>
          <w:sz w:val="28"/>
          <w:szCs w:val="16"/>
        </w:rPr>
      </w:r>
      <w:r/>
    </w:p>
    <w:p>
      <w:pPr>
        <w:pStyle w:val="643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17</w:t>
      </w:r>
      <w:r>
        <w:rPr>
          <w:rFonts w:ascii="Times New Roman" w:hAnsi="Times New Roman"/>
          <w:sz w:val="28"/>
          <w:szCs w:val="28"/>
        </w:rPr>
        <w:t xml:space="preserve"> серп</w:t>
      </w:r>
      <w:r>
        <w:rPr>
          <w:rFonts w:ascii="Times New Roman" w:hAnsi="Times New Roman"/>
          <w:sz w:val="28"/>
          <w:szCs w:val="28"/>
        </w:rPr>
        <w:t xml:space="preserve">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287</w:t>
      </w:r>
      <w:r/>
    </w:p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</w:rPr>
      </w:pPr>
      <w:r/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створення комісії з </w:t>
      </w:r>
      <w:r/>
      <w:r>
        <w:rPr>
          <w:rFonts w:ascii="Times New Roman" w:hAnsi="Times New Roman"/>
          <w:b/>
          <w:sz w:val="28"/>
          <w:szCs w:val="28"/>
        </w:rPr>
        <w:t xml:space="preserve">оцінки корупційних ризиків </w:t>
      </w:r>
      <w:r/>
      <w:r>
        <w:rPr>
          <w:rFonts w:ascii="Times New Roman" w:hAnsi="Times New Roman"/>
          <w:b/>
          <w:sz w:val="28"/>
          <w:szCs w:val="28"/>
        </w:rPr>
        <w:t xml:space="preserve">у Менській міській раді</w:t>
      </w:r>
      <w:bookmarkEnd w:id="0"/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</w:rPr>
        <w:t xml:space="preserve">ідповідно до 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 19 Закону України «Про запобігання корупції»,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42 сесії Менської міської ради 7 скликання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від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26 серпня 2020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№ 370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color w:val="000000" w:themeColor="text1"/>
          <w:sz w:val="28"/>
          <w:szCs w:val="26"/>
        </w:rPr>
        <w:t xml:space="preserve">Про затвердження Антикорупційної програми Менської міської ради на 2020-2023 роки та Порядку запобігання та врегулювання конфлікту інтересів у Менській міській раді та її виконавчих органах</w:t>
      </w:r>
      <w:r>
        <w:rPr>
          <w:rFonts w:ascii="Times New Roman" w:hAnsi="Times New Roman" w:eastAsia="Times New Roman"/>
          <w:color w:val="000000" w:themeColor="text1"/>
          <w:sz w:val="28"/>
          <w:szCs w:val="26"/>
        </w:rPr>
        <w:t xml:space="preserve">»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п. 20 ч. 4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851"/>
        <w:jc w:val="both"/>
        <w:tabs>
          <w:tab w:val="left" w:pos="709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Створити Комісію з оцінки корупційних ризиків у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Менській міській раді</w:t>
      </w:r>
      <w:r>
        <w:rPr>
          <w:rFonts w:ascii="Times New Roman" w:hAnsi="Times New Roman"/>
          <w:bCs/>
          <w:sz w:val="28"/>
          <w:szCs w:val="28"/>
        </w:rPr>
        <w:t xml:space="preserve"> у складі згідно з додатком.</w:t>
      </w:r>
      <w:r/>
    </w:p>
    <w:p>
      <w:pPr>
        <w:ind w:firstLine="851"/>
        <w:jc w:val="both"/>
        <w:tabs>
          <w:tab w:val="left" w:pos="709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Затвердити Положення про комісію з оцінки корупційних ризиків у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Менській міській раді</w:t>
      </w:r>
      <w:r>
        <w:rPr>
          <w:rFonts w:ascii="Times New Roman" w:hAnsi="Times New Roman"/>
          <w:color w:val="000000"/>
          <w:sz w:val="28"/>
          <w:szCs w:val="28"/>
        </w:rPr>
        <w:t xml:space="preserve"> (додається).</w:t>
      </w:r>
      <w:r/>
    </w:p>
    <w:p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Комісії до </w:t>
      </w:r>
      <w:r>
        <w:rPr>
          <w:rFonts w:ascii="Times New Roman" w:hAnsi="Times New Roman"/>
          <w:color w:val="000000"/>
          <w:sz w:val="28"/>
          <w:szCs w:val="28"/>
        </w:rPr>
        <w:t xml:space="preserve">20 вересня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 року провести оцінку корупційних ризиків в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Менській міській раді та підготувати звіт за результатами оцінки корупційних ризиків.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</w:rPr>
        <w:t xml:space="preserve">Неберу</w:t>
      </w:r>
      <w:r>
        <w:rPr>
          <w:rFonts w:ascii="Times New Roman" w:hAnsi="Times New Roman"/>
          <w:sz w:val="28"/>
          <w:szCs w:val="28"/>
        </w:rPr>
        <w:t xml:space="preserve"> О.Л.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Додаток 1</w:t>
      </w:r>
      <w:r>
        <w:rPr>
          <w:sz w:val="28"/>
        </w:rPr>
      </w:r>
    </w:p>
    <w:p>
      <w:pPr>
        <w:ind w:left="5386"/>
        <w:jc w:val="both"/>
        <w:tabs>
          <w:tab w:val="left" w:pos="6946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 розпорядження міського голови від 17 </w:t>
      </w:r>
      <w:r>
        <w:rPr>
          <w:rFonts w:ascii="Times New Roman" w:hAnsi="Times New Roman"/>
          <w:sz w:val="28"/>
          <w:szCs w:val="24"/>
        </w:rPr>
        <w:t xml:space="preserve">сер</w:t>
      </w:r>
      <w:r>
        <w:rPr>
          <w:rFonts w:ascii="Times New Roman" w:hAnsi="Times New Roman"/>
          <w:sz w:val="28"/>
          <w:szCs w:val="24"/>
        </w:rPr>
        <w:t xml:space="preserve">пня</w:t>
      </w:r>
      <w:r>
        <w:rPr>
          <w:rFonts w:ascii="Times New Roman" w:hAnsi="Times New Roman"/>
          <w:sz w:val="28"/>
          <w:szCs w:val="24"/>
        </w:rPr>
        <w:t xml:space="preserve"> 2021 року № 287 «Про </w:t>
      </w:r>
      <w:r>
        <w:rPr>
          <w:rFonts w:ascii="Times New Roman" w:hAnsi="Times New Roman"/>
          <w:sz w:val="28"/>
          <w:szCs w:val="24"/>
          <w:shd w:val="clear" w:fill="FFFFFF" w:color="auto"/>
        </w:rPr>
        <w:t xml:space="preserve">створення комісії з оцінки корупційних ризиків у Менській міській раді</w:t>
      </w:r>
      <w:r>
        <w:rPr>
          <w:rFonts w:ascii="Times New Roman" w:hAnsi="Times New Roman"/>
          <w:sz w:val="28"/>
          <w:szCs w:val="24"/>
        </w:rPr>
        <w:t xml:space="preserve">»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комісії з оцінки корупційних ризиків 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Менській міській раді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601"/>
      </w:tblGrid>
      <w:tr>
        <w:trPr/>
        <w:tc>
          <w:tcPr>
            <w:shd w:val="clear" w:fill="auto" w:color="auto"/>
            <w:tcW w:w="379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Небера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Леонідович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W w:w="5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міського голови,             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голова комісії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7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Марцева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Іванівна</w:t>
            </w:r>
            <w:r/>
          </w:p>
        </w:tc>
        <w:tc>
          <w:tcPr>
            <w:shd w:val="clear" w:fill="auto" w:color="auto"/>
            <w:tcW w:w="5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начальника юридичного відділу, уповноважена особа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питань запобігання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виявлення корупції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секретар комісії;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W w:w="37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Нерослик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Алла Петрівна</w:t>
            </w:r>
            <w:r/>
          </w:p>
        </w:tc>
        <w:tc>
          <w:tcPr>
            <w:shd w:val="clear" w:fill="auto" w:color="auto"/>
            <w:tcW w:w="5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фінансового управління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W w:w="37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Прищепа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Вікторія Василівна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W w:w="5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заступник міського голови з питань діяльності виконавчих органів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136"/>
        </w:trPr>
        <w:tc>
          <w:tcPr>
            <w:shd w:val="clear" w:fill="auto" w:color="auto"/>
            <w:tcW w:w="37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Осєдач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Раїса Миколаївна</w:t>
            </w:r>
            <w:r/>
          </w:p>
        </w:tc>
        <w:tc>
          <w:tcPr>
            <w:shd w:val="clear" w:fill="auto" w:color="auto"/>
            <w:tcW w:w="5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сектору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кадрової роботи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Додаток 2</w:t>
      </w:r>
      <w:r>
        <w:rPr>
          <w:sz w:val="28"/>
        </w:rPr>
      </w:r>
    </w:p>
    <w:p>
      <w:pPr>
        <w:ind w:left="5386"/>
        <w:jc w:val="both"/>
        <w:tabs>
          <w:tab w:val="left" w:pos="694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 розпорядження міського голови від 17 </w:t>
      </w:r>
      <w:r>
        <w:rPr>
          <w:rFonts w:ascii="Times New Roman" w:hAnsi="Times New Roman"/>
          <w:sz w:val="28"/>
          <w:szCs w:val="24"/>
        </w:rPr>
        <w:t xml:space="preserve">сер</w:t>
      </w:r>
      <w:r>
        <w:rPr>
          <w:rFonts w:ascii="Times New Roman" w:hAnsi="Times New Roman"/>
          <w:sz w:val="28"/>
          <w:szCs w:val="24"/>
        </w:rPr>
        <w:t xml:space="preserve">пня 2021 року № 287 «Про </w:t>
      </w:r>
      <w:r>
        <w:rPr>
          <w:rFonts w:ascii="Times New Roman" w:hAnsi="Times New Roman"/>
          <w:sz w:val="28"/>
          <w:szCs w:val="24"/>
          <w:shd w:val="clear" w:fill="FFFFFF" w:color="auto"/>
        </w:rPr>
        <w:t xml:space="preserve">створення комісії з оцінки корупційних ризиків у Менській міській раді</w:t>
      </w:r>
      <w:r>
        <w:rPr>
          <w:rFonts w:ascii="Times New Roman" w:hAnsi="Times New Roman"/>
          <w:sz w:val="28"/>
          <w:szCs w:val="24"/>
        </w:rPr>
        <w:t xml:space="preserve">»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ПОЛОЖЕННЯ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комісію з оцінки корупційних ризиків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Менській міській раді</w:t>
      </w:r>
      <w:r/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numPr>
          <w:ilvl w:val="0"/>
          <w:numId w:val="3"/>
        </w:numPr>
        <w:contextualSpacing w:val="true"/>
        <w:ind w:left="0" w:firstLine="0"/>
        <w:jc w:val="center"/>
        <w:rPr>
          <w:rFonts w:ascii="Times New Roman" w:hAnsi="Times New Roman"/>
          <w:b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</w:rPr>
        <w:t xml:space="preserve">Загальні положення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Положення про комісію з оцінки корупційних ризиків у                </w:t>
      </w:r>
      <w:r>
        <w:rPr>
          <w:rFonts w:ascii="Times New Roman" w:hAnsi="Times New Roman"/>
          <w:sz w:val="28"/>
        </w:rPr>
        <w:t xml:space="preserve">Менській міській раді</w:t>
      </w:r>
      <w:r>
        <w:rPr>
          <w:rFonts w:ascii="Times New Roman" w:hAnsi="Times New Roman"/>
          <w:sz w:val="28"/>
        </w:rPr>
        <w:t xml:space="preserve"> (далі – Положення) розроблено відповідно до ст. 19 Закону України «Про запобігання корупції»,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42 сесії Менської міської ради 7 скликання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від 26 серпня 2020 року № 370 «</w:t>
      </w:r>
      <w:r>
        <w:rPr>
          <w:rFonts w:ascii="Times New Roman" w:hAnsi="Times New Roman" w:eastAsia="Times New Roman"/>
          <w:color w:val="000000" w:themeColor="text1"/>
          <w:sz w:val="28"/>
          <w:szCs w:val="26"/>
        </w:rPr>
        <w:t xml:space="preserve">Про затвердження Антикорупційної програми Менської міської ради на 2020-2023 роки та Порядку запобігання та врегулювання конфлікту інтересів у Менській міській раді та її виконавчих органах» </w:t>
      </w:r>
      <w:r>
        <w:rPr>
          <w:rFonts w:ascii="Times New Roman" w:hAnsi="Times New Roman" w:eastAsia="Times New Roman"/>
          <w:color w:val="000000" w:themeColor="text1"/>
          <w:sz w:val="28"/>
          <w:szCs w:val="26"/>
        </w:rPr>
        <w:t xml:space="preserve">та з урахуванням</w:t>
      </w:r>
      <w:r>
        <w:rPr>
          <w:rFonts w:ascii="Times New Roman" w:hAnsi="Times New Roman"/>
          <w:sz w:val="28"/>
        </w:rPr>
        <w:t xml:space="preserve"> рішення Національного агентства з питань запобігання корупції від 01 грудня 2016 року № 126 «Про затвердження Методології оцінювання корупційних ризиків у діяльності органів влади».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 Оцінку корупційних ризиків проводить комісія з оцінки корупційних ризиків </w:t>
      </w:r>
      <w:r>
        <w:rPr>
          <w:rFonts w:ascii="Times New Roman" w:hAnsi="Times New Roman"/>
          <w:sz w:val="28"/>
        </w:rPr>
        <w:t xml:space="preserve">у Менській міській раді</w:t>
      </w:r>
      <w:r>
        <w:rPr>
          <w:rFonts w:ascii="Times New Roman" w:hAnsi="Times New Roman"/>
          <w:sz w:val="28"/>
        </w:rPr>
        <w:t xml:space="preserve"> (далі – </w:t>
      </w:r>
      <w:r>
        <w:rPr>
          <w:rFonts w:ascii="Times New Roman" w:hAnsi="Times New Roman"/>
          <w:sz w:val="28"/>
        </w:rPr>
        <w:t xml:space="preserve">К</w:t>
      </w:r>
      <w:r>
        <w:rPr>
          <w:rFonts w:ascii="Times New Roman" w:hAnsi="Times New Roman"/>
          <w:sz w:val="28"/>
        </w:rPr>
        <w:t xml:space="preserve">омісія).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Процес оцінки корупційних ризиків у </w:t>
      </w:r>
      <w:r>
        <w:rPr>
          <w:rFonts w:ascii="Times New Roman" w:hAnsi="Times New Roman"/>
          <w:sz w:val="28"/>
        </w:rPr>
        <w:t xml:space="preserve">Менській міській раді </w:t>
      </w:r>
      <w:r>
        <w:rPr>
          <w:rFonts w:ascii="Times New Roman" w:hAnsi="Times New Roman"/>
          <w:sz w:val="28"/>
        </w:rPr>
        <w:t xml:space="preserve">складається з таких основних етапів: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організаційно-підготовчі заходи;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ідентифікація (виявлення) корупційних ризиків;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оцінка корупційних ризиків;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складання звіту за результатами оцінки корупційних ризиків.</w:t>
      </w:r>
      <w:r/>
    </w:p>
    <w:p>
      <w:pPr>
        <w:contextualSpacing w:val="true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3"/>
        </w:numPr>
        <w:contextualSpacing w:val="true"/>
        <w:ind w:left="0" w:firstLine="0"/>
        <w:jc w:val="center"/>
        <w:rPr>
          <w:rFonts w:ascii="Times New Roman" w:hAnsi="Times New Roman"/>
          <w:b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</w:rPr>
        <w:t xml:space="preserve">Порядок визначення складу комісії</w:t>
      </w:r>
      <w:r/>
    </w:p>
    <w:p>
      <w:pPr>
        <w:numPr>
          <w:ilvl w:val="1"/>
          <w:numId w:val="3"/>
        </w:numPr>
        <w:contextualSpacing w:val="true"/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</w:rPr>
        <w:t xml:space="preserve">Міський голова</w:t>
      </w:r>
      <w:r>
        <w:rPr>
          <w:rFonts w:ascii="Times New Roman" w:hAnsi="Times New Roman"/>
          <w:sz w:val="28"/>
        </w:rPr>
        <w:t xml:space="preserve"> визначає голову комісії та її персональний склад, строк проведення оцінки корупційних ризиків, а також затверджує дане положення.</w:t>
      </w:r>
      <w:r/>
    </w:p>
    <w:p>
      <w:pPr>
        <w:numPr>
          <w:ilvl w:val="1"/>
          <w:numId w:val="3"/>
        </w:numPr>
        <w:contextualSpacing w:val="true"/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</w:rPr>
        <w:t xml:space="preserve">До складу комісії включаються представники служби </w:t>
      </w:r>
      <w:r>
        <w:rPr>
          <w:rFonts w:ascii="Times New Roman" w:hAnsi="Times New Roman"/>
          <w:sz w:val="28"/>
        </w:rPr>
        <w:t xml:space="preserve">сектору кадрової роботи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фінансового управління та юридичного відділу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уповноважена особа </w:t>
      </w:r>
      <w:r>
        <w:rPr>
          <w:rFonts w:ascii="Times New Roman" w:hAnsi="Times New Roman"/>
          <w:sz w:val="28"/>
        </w:rPr>
        <w:t xml:space="preserve">з питань запобігання </w:t>
      </w:r>
      <w:r>
        <w:rPr>
          <w:rFonts w:ascii="Times New Roman" w:hAnsi="Times New Roman"/>
          <w:sz w:val="28"/>
        </w:rPr>
        <w:t xml:space="preserve">та виявлення </w:t>
      </w:r>
      <w:r>
        <w:rPr>
          <w:rFonts w:ascii="Times New Roman" w:hAnsi="Times New Roman"/>
          <w:sz w:val="28"/>
        </w:rPr>
        <w:t xml:space="preserve">корупції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contextualSpacing w:val="true"/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різних етапах проведення оцінки корупційних ризиків до роботи комісії можуть в установленому законодавством порядку залучатись інші </w:t>
      </w:r>
      <w:r>
        <w:rPr>
          <w:rFonts w:ascii="Times New Roman" w:hAnsi="Times New Roman"/>
          <w:sz w:val="28"/>
        </w:rPr>
        <w:t xml:space="preserve">посадові особи Менської міської ради</w:t>
      </w:r>
      <w:r>
        <w:rPr>
          <w:rFonts w:ascii="Times New Roman" w:hAnsi="Times New Roman"/>
          <w:sz w:val="28"/>
        </w:rPr>
        <w:t xml:space="preserve">, які не входять до складу комісії, але можуть надати інформацію для здійснення об’єктивної та якісної оцінки корупційних ризиків.</w:t>
      </w:r>
      <w:r/>
    </w:p>
    <w:p>
      <w:pPr>
        <w:contextualSpacing w:val="true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contextualSpacing w:val="true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3"/>
        </w:numPr>
        <w:contextualSpacing w:val="true"/>
        <w:ind w:left="0" w:firstLine="0"/>
        <w:jc w:val="center"/>
        <w:rPr>
          <w:rFonts w:ascii="Times New Roman" w:hAnsi="Times New Roman"/>
          <w:b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</w:rPr>
        <w:t xml:space="preserve">Порядок діяльності комісії</w:t>
      </w:r>
      <w:r/>
    </w:p>
    <w:p>
      <w:pPr>
        <w:numPr>
          <w:ilvl w:val="1"/>
          <w:numId w:val="3"/>
        </w:numPr>
        <w:contextualSpacing w:val="true"/>
        <w:ind w:left="0" w:firstLine="567"/>
        <w:jc w:val="both"/>
        <w:rPr>
          <w:rFonts w:ascii="Times New Roman" w:hAnsi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</w:rPr>
        <w:t xml:space="preserve">Комісія відповідно до об’єктів оцінки корупційних ризиків складає робочий план, який затверджує голова комісії.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робочому плані відображається інформація про: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об’єкти оцінки корупційних ризиків;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джерела інформації для проведення оцінки корупційних ризиків;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 та способи оцінки корупційних ризиків;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осіб, відповідальних за проведення оцінки корупційних ризиків, по кожному об’єкту;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строк проведення оцінки корупційних ризиків по кожному об’єкту.</w:t>
      </w:r>
      <w:r/>
    </w:p>
    <w:p>
      <w:pPr>
        <w:contextualSpacing w:val="tru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Робочий план за необхідності може корегуватись комісією на різних етапах здійснення оцінки корупційних ризиків.</w:t>
      </w:r>
      <w:r/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3"/>
        </w:numPr>
        <w:contextualSpacing w:val="true"/>
        <w:ind w:left="0" w:firstLine="0"/>
        <w:jc w:val="center"/>
        <w:rPr>
          <w:rFonts w:ascii="Times New Roman" w:hAnsi="Times New Roman"/>
          <w:b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</w:rPr>
        <w:t xml:space="preserve">Звіт за результатами оцінки корупційних ризиків</w:t>
      </w:r>
      <w:r/>
    </w:p>
    <w:p>
      <w:pPr>
        <w:numPr>
          <w:ilvl w:val="1"/>
          <w:numId w:val="3"/>
        </w:numPr>
        <w:contextualSpacing w:val="true"/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За результатами оцінки корупційних ризиків у </w:t>
      </w:r>
      <w:r>
        <w:rPr>
          <w:rFonts w:ascii="Times New Roman" w:hAnsi="Times New Roman"/>
          <w:sz w:val="28"/>
          <w:szCs w:val="28"/>
        </w:rPr>
        <w:t xml:space="preserve">Менській міській раді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комісія готує звіт, що має м</w:t>
      </w:r>
      <w:r>
        <w:rPr>
          <w:rFonts w:ascii="Times New Roman" w:hAnsi="Times New Roman"/>
          <w:sz w:val="28"/>
          <w:szCs w:val="28"/>
        </w:rPr>
        <w:t xml:space="preserve">істити опис ідентифікованих корупційних ризиків, чинників корупційних ризиків та можливих наслідків корупційного правопорушення чи правопорушення, пов’язаного з корупцією, пропозиції щодо заходів із усунення (зменшення) рівня виявлених корупційних ризиків.</w:t>
      </w:r>
      <w:r/>
    </w:p>
    <w:p>
      <w:pPr>
        <w:numPr>
          <w:ilvl w:val="1"/>
          <w:numId w:val="3"/>
        </w:numPr>
        <w:contextualSpacing w:val="true"/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Заходи щодо усунення виявлених корупційних ризиків полягають у визначенні можливих механізмів протидії та запобігання корупційним ризикам, ліквідацію або мінімізацію умов (причин) виникнення корупційних ризиків.</w:t>
      </w:r>
      <w:r/>
    </w:p>
    <w:p>
      <w:pPr>
        <w:pStyle w:val="827"/>
        <w:ind w:left="709"/>
        <w:jc w:val="both"/>
        <w:rPr>
          <w:b w:val="false"/>
        </w:rPr>
      </w:pPr>
      <w:r>
        <w:rPr>
          <w:b w:val="false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91" w:hanging="360"/>
      </w:pPr>
      <w:rPr>
        <w:rFonts w:cs="Times New Roman"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0076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3251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611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611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71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31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31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691" w:hanging="2160"/>
      </w:pPr>
      <w:rPr>
        <w:rFonts w:cs="Times New Roman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">
    <w:name w:val="Heading 4"/>
    <w:basedOn w:val="640"/>
    <w:next w:val="640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0"/>
    <w:next w:val="640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0"/>
    <w:next w:val="640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0"/>
    <w:next w:val="640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0"/>
    <w:next w:val="640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0"/>
    <w:next w:val="640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644"/>
    <w:link w:val="667"/>
    <w:uiPriority w:val="10"/>
    <w:rPr>
      <w:sz w:val="48"/>
      <w:szCs w:val="48"/>
    </w:rPr>
  </w:style>
  <w:style w:type="character" w:styleId="35">
    <w:name w:val="Subtitle Char"/>
    <w:basedOn w:val="644"/>
    <w:link w:val="669"/>
    <w:uiPriority w:val="11"/>
    <w:rPr>
      <w:sz w:val="24"/>
      <w:szCs w:val="24"/>
    </w:rPr>
  </w:style>
  <w:style w:type="character" w:styleId="37">
    <w:name w:val="Quote Char"/>
    <w:link w:val="671"/>
    <w:uiPriority w:val="29"/>
    <w:rPr>
      <w:i/>
    </w:rPr>
  </w:style>
  <w:style w:type="character" w:styleId="39">
    <w:name w:val="Intense Quote Char"/>
    <w:link w:val="673"/>
    <w:uiPriority w:val="30"/>
    <w:rPr>
      <w:i/>
    </w:rPr>
  </w:style>
  <w:style w:type="paragraph" w:styleId="40">
    <w:name w:val="Header"/>
    <w:basedOn w:val="640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8">
    <w:name w:val="Plain Table 1"/>
    <w:basedOn w:val="6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6"/>
    <w:uiPriority w:val="99"/>
    <w:rPr>
      <w:sz w:val="18"/>
    </w:rPr>
  </w:style>
  <w:style w:type="paragraph" w:styleId="176">
    <w:name w:val="endnote text"/>
    <w:basedOn w:val="64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4"/>
    <w:uiPriority w:val="99"/>
    <w:semiHidden/>
    <w:unhideWhenUsed/>
    <w:rPr>
      <w:vertAlign w:val="superscript"/>
    </w:rPr>
  </w:style>
  <w:style w:type="paragraph" w:styleId="189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qFormat/>
  </w:style>
  <w:style w:type="paragraph" w:styleId="641">
    <w:name w:val="Heading 1"/>
    <w:basedOn w:val="640"/>
    <w:next w:val="640"/>
    <w:link w:val="819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642">
    <w:name w:val="Heading 2"/>
    <w:basedOn w:val="640"/>
    <w:next w:val="640"/>
    <w:link w:val="820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643">
    <w:name w:val="Heading 3"/>
    <w:basedOn w:val="640"/>
    <w:next w:val="640"/>
    <w:link w:val="821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paragraph" w:styleId="647" w:customStyle="1">
    <w:name w:val="Заголовок 11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8" w:customStyle="1">
    <w:name w:val="Heading 1 Char"/>
    <w:link w:val="647"/>
    <w:uiPriority w:val="9"/>
    <w:rPr>
      <w:rFonts w:ascii="Arial" w:hAnsi="Arial" w:cs="Arial" w:eastAsia="Arial"/>
      <w:sz w:val="40"/>
      <w:szCs w:val="40"/>
    </w:rPr>
  </w:style>
  <w:style w:type="paragraph" w:styleId="649" w:customStyle="1">
    <w:name w:val="Заголовок 21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 w:customStyle="1">
    <w:name w:val="Heading 2 Char"/>
    <w:link w:val="649"/>
    <w:uiPriority w:val="9"/>
    <w:rPr>
      <w:rFonts w:ascii="Arial" w:hAnsi="Arial" w:cs="Arial" w:eastAsia="Arial"/>
      <w:sz w:val="34"/>
    </w:rPr>
  </w:style>
  <w:style w:type="paragraph" w:styleId="651" w:customStyle="1">
    <w:name w:val="Заголовок 31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 w:customStyle="1">
    <w:name w:val="Heading 3 Char"/>
    <w:link w:val="651"/>
    <w:uiPriority w:val="9"/>
    <w:rPr>
      <w:rFonts w:ascii="Arial" w:hAnsi="Arial" w:cs="Arial" w:eastAsia="Arial"/>
      <w:sz w:val="30"/>
      <w:szCs w:val="30"/>
    </w:rPr>
  </w:style>
  <w:style w:type="paragraph" w:styleId="653" w:customStyle="1">
    <w:name w:val="Заголовок 41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 w:customStyle="1">
    <w:name w:val="Heading 4 Char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 w:customStyle="1">
    <w:name w:val="Заголовок 51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 w:customStyle="1">
    <w:name w:val="Heading 5 Char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 w:customStyle="1">
    <w:name w:val="Заголовок 61"/>
    <w:link w:val="65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58" w:customStyle="1">
    <w:name w:val="Heading 6 Char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 w:customStyle="1">
    <w:name w:val="Заголовок 71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60" w:customStyle="1">
    <w:name w:val="Heading 7 Char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 w:customStyle="1">
    <w:name w:val="Заголовок 81"/>
    <w:link w:val="66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62" w:customStyle="1">
    <w:name w:val="Heading 8 Char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 w:customStyle="1">
    <w:name w:val="Заголовок 91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customStyle="1">
    <w:name w:val="Heading 9 Char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List Paragraph"/>
    <w:qFormat/>
    <w:uiPriority w:val="34"/>
    <w:pPr>
      <w:contextualSpacing w:val="true"/>
      <w:ind w:left="720"/>
    </w:pPr>
  </w:style>
  <w:style w:type="paragraph" w:styleId="666">
    <w:name w:val="No Spacing"/>
    <w:qFormat/>
    <w:uiPriority w:val="1"/>
  </w:style>
  <w:style w:type="paragraph" w:styleId="667">
    <w:name w:val="Title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 w:customStyle="1">
    <w:name w:val="Назва Знак"/>
    <w:link w:val="667"/>
    <w:uiPriority w:val="10"/>
    <w:rPr>
      <w:sz w:val="48"/>
      <w:szCs w:val="48"/>
    </w:rPr>
  </w:style>
  <w:style w:type="paragraph" w:styleId="669">
    <w:name w:val="Subtitle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 w:customStyle="1">
    <w:name w:val="Підзаголовок Знак"/>
    <w:link w:val="669"/>
    <w:uiPriority w:val="11"/>
    <w:rPr>
      <w:sz w:val="24"/>
      <w:szCs w:val="24"/>
    </w:rPr>
  </w:style>
  <w:style w:type="paragraph" w:styleId="671">
    <w:name w:val="Quote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Знак"/>
    <w:link w:val="671"/>
    <w:uiPriority w:val="29"/>
    <w:rPr>
      <w:i/>
    </w:rPr>
  </w:style>
  <w:style w:type="paragraph" w:styleId="673">
    <w:name w:val="Intense Quote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Насичена цитата Знак"/>
    <w:link w:val="673"/>
    <w:uiPriority w:val="30"/>
    <w:rPr>
      <w:i/>
    </w:rPr>
  </w:style>
  <w:style w:type="paragraph" w:styleId="675" w:customStyle="1">
    <w:name w:val="Верхній колонтитул1"/>
    <w:link w:val="6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link w:val="675"/>
    <w:uiPriority w:val="99"/>
  </w:style>
  <w:style w:type="paragraph" w:styleId="677" w:customStyle="1">
    <w:name w:val="Нижній колонтитул1"/>
    <w:link w:val="6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link w:val="677"/>
    <w:uiPriority w:val="99"/>
  </w:style>
  <w:style w:type="table" w:styleId="67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4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9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7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5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86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87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88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89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0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1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2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3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94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95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96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7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link w:val="807"/>
    <w:uiPriority w:val="99"/>
    <w:semiHidden/>
    <w:unhideWhenUsed/>
    <w:rPr>
      <w:sz w:val="18"/>
    </w:rPr>
    <w:pPr>
      <w:spacing w:after="40"/>
    </w:pPr>
  </w:style>
  <w:style w:type="character" w:styleId="807" w:customStyle="1">
    <w:name w:val="Текст виноски Знак"/>
    <w:link w:val="806"/>
    <w:uiPriority w:val="99"/>
    <w:rPr>
      <w:sz w:val="18"/>
    </w:rPr>
  </w:style>
  <w:style w:type="character" w:styleId="808">
    <w:name w:val="footnote reference"/>
    <w:uiPriority w:val="99"/>
    <w:unhideWhenUsed/>
    <w:rPr>
      <w:vertAlign w:val="superscript"/>
    </w:rPr>
  </w:style>
  <w:style w:type="paragraph" w:styleId="809">
    <w:name w:val="toc 1"/>
    <w:uiPriority w:val="39"/>
    <w:unhideWhenUsed/>
    <w:pPr>
      <w:spacing w:after="57"/>
    </w:pPr>
  </w:style>
  <w:style w:type="paragraph" w:styleId="810">
    <w:name w:val="toc 2"/>
    <w:uiPriority w:val="39"/>
    <w:unhideWhenUsed/>
    <w:pPr>
      <w:ind w:left="283"/>
      <w:spacing w:after="57"/>
    </w:pPr>
  </w:style>
  <w:style w:type="paragraph" w:styleId="811">
    <w:name w:val="toc 3"/>
    <w:uiPriority w:val="39"/>
    <w:unhideWhenUsed/>
    <w:pPr>
      <w:ind w:left="567"/>
      <w:spacing w:after="57"/>
    </w:pPr>
  </w:style>
  <w:style w:type="paragraph" w:styleId="812">
    <w:name w:val="toc 4"/>
    <w:uiPriority w:val="39"/>
    <w:unhideWhenUsed/>
    <w:pPr>
      <w:ind w:left="850"/>
      <w:spacing w:after="57"/>
    </w:pPr>
  </w:style>
  <w:style w:type="paragraph" w:styleId="813">
    <w:name w:val="toc 5"/>
    <w:uiPriority w:val="39"/>
    <w:unhideWhenUsed/>
    <w:pPr>
      <w:ind w:left="1134"/>
      <w:spacing w:after="57"/>
    </w:pPr>
  </w:style>
  <w:style w:type="paragraph" w:styleId="814">
    <w:name w:val="toc 6"/>
    <w:uiPriority w:val="39"/>
    <w:unhideWhenUsed/>
    <w:pPr>
      <w:ind w:left="1417"/>
      <w:spacing w:after="57"/>
    </w:pPr>
  </w:style>
  <w:style w:type="paragraph" w:styleId="815">
    <w:name w:val="toc 7"/>
    <w:uiPriority w:val="39"/>
    <w:unhideWhenUsed/>
    <w:pPr>
      <w:ind w:left="1701"/>
      <w:spacing w:after="57"/>
    </w:pPr>
  </w:style>
  <w:style w:type="paragraph" w:styleId="816">
    <w:name w:val="toc 8"/>
    <w:uiPriority w:val="39"/>
    <w:unhideWhenUsed/>
    <w:pPr>
      <w:ind w:left="1984"/>
      <w:spacing w:after="57"/>
    </w:pPr>
  </w:style>
  <w:style w:type="paragraph" w:styleId="817">
    <w:name w:val="toc 9"/>
    <w:uiPriority w:val="39"/>
    <w:unhideWhenUsed/>
    <w:pPr>
      <w:ind w:left="2268"/>
      <w:spacing w:after="57"/>
    </w:pPr>
  </w:style>
  <w:style w:type="paragraph" w:styleId="818">
    <w:name w:val="TOC Heading"/>
    <w:uiPriority w:val="39"/>
    <w:unhideWhenUsed/>
  </w:style>
  <w:style w:type="character" w:styleId="819" w:customStyle="1">
    <w:name w:val="Заголовок 1 Знак"/>
    <w:basedOn w:val="644"/>
    <w:link w:val="641"/>
    <w:rPr>
      <w:rFonts w:ascii="Times New Roman" w:hAnsi="Times New Roman" w:eastAsia="Calibri"/>
      <w:sz w:val="24"/>
      <w:szCs w:val="24"/>
      <w:lang w:eastAsia="ru-RU"/>
    </w:rPr>
  </w:style>
  <w:style w:type="character" w:styleId="820" w:customStyle="1">
    <w:name w:val="Заголовок 2 Знак"/>
    <w:basedOn w:val="644"/>
    <w:link w:val="642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821" w:customStyle="1">
    <w:name w:val="Заголовок 3 Знак"/>
    <w:basedOn w:val="644"/>
    <w:link w:val="643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822">
    <w:name w:val="Normal (Web)"/>
    <w:basedOn w:val="64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3">
    <w:name w:val="Balloon Text"/>
    <w:basedOn w:val="640"/>
    <w:link w:val="824"/>
    <w:uiPriority w:val="99"/>
    <w:semiHidden/>
    <w:unhideWhenUsed/>
    <w:rPr>
      <w:rFonts w:ascii="Tahoma" w:hAnsi="Tahoma" w:cs="Tahoma"/>
      <w:sz w:val="16"/>
      <w:szCs w:val="16"/>
    </w:rPr>
  </w:style>
  <w:style w:type="character" w:styleId="824" w:customStyle="1">
    <w:name w:val="Текст у виносці Знак"/>
    <w:basedOn w:val="644"/>
    <w:link w:val="823"/>
    <w:uiPriority w:val="99"/>
    <w:semiHidden/>
    <w:rPr>
      <w:rFonts w:ascii="Tahoma" w:hAnsi="Tahoma" w:cs="Tahoma"/>
      <w:sz w:val="16"/>
      <w:szCs w:val="16"/>
    </w:rPr>
  </w:style>
  <w:style w:type="character" w:styleId="825" w:customStyle="1">
    <w:name w:val="rvts9"/>
    <w:basedOn w:val="644"/>
  </w:style>
  <w:style w:type="character" w:styleId="826" w:customStyle="1">
    <w:name w:val="rvts37"/>
    <w:basedOn w:val="644"/>
  </w:style>
  <w:style w:type="paragraph" w:styleId="827" w:customStyle="1">
    <w:name w:val="Абзац списку1"/>
    <w:basedOn w:val="640"/>
    <w:rPr>
      <w:rFonts w:ascii="Times New Roman" w:hAnsi="Times New Roman"/>
      <w:b/>
      <w:sz w:val="28"/>
      <w:szCs w:val="20"/>
      <w:lang w:bidi="ar-SA" w:eastAsia="ru-RU"/>
    </w:rPr>
    <w:pPr>
      <w:contextualSpacing w:val="true"/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</cp:revision>
  <dcterms:created xsi:type="dcterms:W3CDTF">2021-08-17T08:11:00Z</dcterms:created>
  <dcterms:modified xsi:type="dcterms:W3CDTF">2021-08-18T08:21:28Z</dcterms:modified>
</cp:coreProperties>
</file>