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2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19050" t="0" r="9525" b="0"/>
                <wp:docPr id="1" name="Рисунок 1" descr="7DF19FE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7DF19F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(дев’ята сесія восьмого скликання)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5" w:hanging="1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394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17 серпня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№466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spacing w:lineRule="auto" w:line="240" w:after="0" w:afterAutospacing="0"/>
        <w:tabs>
          <w:tab w:val="left" w:pos="0" w:leader="none"/>
          <w:tab w:val="left" w:pos="382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надання згоди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медичного обладнання зі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спільної власності територіальних громад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сіл, селищ, міста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Чернігівської області до 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4"/>
        <w:ind w:firstLine="567"/>
        <w:jc w:val="both"/>
        <w:spacing w:lineRule="auto" w:line="240" w:after="0" w:afterAutospacing="0" w:before="0"/>
        <w:shd w:val="clear" w:fill="FFFFFF" w:color="auto"/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Черні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гівської обласної ради від 12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05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20 №44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-2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/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VII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«Про безоплатну передачу у власність територіальних громад Чернігівської області майна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для амбулаторій загальної практики сімейної медицини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та від 03.08.2021 №48-5/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VIII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«Про внесення змін до Переліку комунальних некомерційних підприємств охорони здоров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я Чернігівської області – отримувачів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комплектів медичного обладнання для амбулаторій загальної практики сімейної медицини»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враховуючи згоду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НП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«Менський центр первинної медико-санітарної допомоги» 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відповідно до Закону України «Про передачу об’єктів права державної та комунальної власності»,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Положення про порядок передачі об’єктів права спільної власності територіальних громад сіл, селищ, міст Чернігівської області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 </w:t>
      </w:r>
      <w:hyperlink r:id="rId12" w:tooltip="https://ukm.chor.gov.ua/normativni-dokumenti/normativno-pravova-informatsiya/item/641-polozhennia-pro-poriadok-peredachi-ob-iektiv-prava-spilnoi-vlasno" w:history="1">
        <w:r>
          <w:rPr>
            <w:rStyle w:val="828"/>
            <w:rFonts w:ascii="Times New Roman" w:hAnsi="Times New Roman" w:cs="Times New Roman" w:eastAsia="Times New Roman"/>
            <w:b w:val="false"/>
            <w:bCs w:val="false"/>
            <w:color w:val="auto"/>
            <w:sz w:val="28"/>
            <w:szCs w:val="28"/>
            <w:u w:val="none"/>
            <w:lang w:val="uk-UA"/>
          </w:rPr>
          <w:t xml:space="preserve"> (із змінами, внесеними згідно з рішенням обласної ради № 58-5/VII від 20.07.2016)</w:t>
        </w:r>
      </w:hyperlink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зі змінам,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рада </w:t>
      </w:r>
      <w:r/>
    </w:p>
    <w:p>
      <w:pPr>
        <w:pStyle w:val="814"/>
        <w:ind w:firstLine="0"/>
        <w:jc w:val="both"/>
        <w:spacing w:lineRule="auto" w:line="240" w:after="0" w:afterAutospacing="0" w:before="0"/>
        <w:shd w:val="clear" w:fill="FFFFFF" w:color="auto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Надати згоду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із спільної власності територі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альних громад сіл, селищ, міст 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ернігівської області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територіальн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комплекту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медичного обладнання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ської сільської лікарської амбулаторії загальної практики – сімейної медицини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Включити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переліку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 територіальн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комплект медичного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обладнання для Стольненської сільської 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карської амбулаторії загальної практики – сімейної медицини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(з комплектацією згідно додатку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Комплект медичного обладнання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ередати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оперативне управління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на баланс Комунального некомерційного підприємства «Менський центр первинної медико-санітарної допомоги» 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керівнику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 (Корнієнко Н.І.) забезпечити та організувати прийняття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вказаного комплекту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медичного обладнання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порядку, передбаченому чинним законодавством та рішенням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виконанням цього рішення покласти на постійну комісію з питань житлово-комунального господарства та комунальної власності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left="5245" w:right="140"/>
        <w:jc w:val="both"/>
        <w:spacing w:lineRule="auto" w:line="240" w:after="0" w:afterAutospacing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shd w:val="nil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ind w:left="5245" w:right="140"/>
        <w:jc w:val="both"/>
        <w:spacing w:lineRule="auto" w:line="240" w:after="0" w:afterAutospacing="0"/>
        <w:tabs>
          <w:tab w:val="left" w:pos="9639" w:leader="none"/>
        </w:tabs>
        <w:rPr>
          <w:rFonts w:ascii="Times New Roman" w:hAnsi="Times New Roman" w:cs="Times New Roman" w:eastAsia="Times New Roman"/>
          <w:sz w:val="24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до рішення 9 сесії Менської міської ради 8 скликання від 17.08.2021 №466 “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Про надання згоди 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прийняття медичного обладнання зі спільної власності територіальних громад сіл, селищ, міста Чернігівської області до комунальної власності Менської територіальної громади</w:t>
      </w: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”</w:t>
      </w:r>
      <w:r>
        <w:rPr>
          <w:rFonts w:ascii="Times New Roman" w:hAnsi="Times New Roman" w:cs="Times New Roman" w:eastAsia="Times New Roman"/>
          <w:sz w:val="24"/>
          <w:szCs w:val="28"/>
          <w:lang w:val="uk-UA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Складові комплекту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медичного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9782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7"/>
        <w:gridCol w:w="850"/>
        <w:gridCol w:w="1136"/>
        <w:gridCol w:w="1559"/>
      </w:tblGrid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6"/>
                <w:lang w:val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2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6"/>
                <w:lang w:val="uk-UA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contextualSpacing w:val="false"/>
              <w:ind w:right="0"/>
              <w:jc w:val="center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2"/>
                <w:lang w:val="uk-UA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2"/>
                <w:lang w:val="uk-UA"/>
              </w:rPr>
              <w:t xml:space="preserve">обладнання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  <w:t xml:space="preserve">Одиниця виміру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619"/>
        </w:trPr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Контейнери для інструментарію та витратних матеріалів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8800,75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Сумка – Термоконтейнер СТП 4 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1380,30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111419 Оглядова кушетка з тримачем для паперу, біле порошкове покриття серії MUL1200II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22844,50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РМКА.942819.001-10 Шафа для інструментарію та медикаментів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9801,20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РМКА.942813.001-09 Стіл для обробки малюків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4954,10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Небулайзер компресорний «MEDICARE»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1102,10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Ширма для кабінетів і палат трьохсекційна ШП - 3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2803,40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Набір хірургічний малий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14498,50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WM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8625 Санітарна сумка для надання першої допомоги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ULM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CASE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Basis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з базовою комплектацією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51467,00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Столик маніпуляційний СМ-3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0"/>
              <w:ind w:right="0"/>
              <w:jc w:val="center"/>
              <w:spacing w:lineRule="auto" w:line="240" w:after="0" w:afterAutospacing="0"/>
              <w:shd w:val="clear" w:fill="auto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2953,20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Столик інструментальний СІ-5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1444,50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Штатив для тривалих вливань ШДВ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652,70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Крісло гінекологічне КГ – 3Є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36957,80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Електродіагностичний спірометричний апарат MIR Spirobank II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14366,89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Ноші S-2108-AF-229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8581,40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Крісло для евакуації S-242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25733,50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Світильник мобільний AURINIO L30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69550,00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Стетоскоп типа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RAPPAPORT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211,86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Термометр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електронний медичний MPTI O1O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90,95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Апарат для вимірювання кро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в’яного тиску (сфігмоманометр)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(три манжети)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799,29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Діагностичний набор (HS-2003-P)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5029,00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Ліхтарик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Romed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тип люкс (з батарейкою)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200,09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Перкусійний молоток 18,5 сm/7 ¼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310,30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Апарат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EasyTouch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 для вимірювання рівня глюкози в крові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1335,36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Набір таблиць для перевірки зору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1859,66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Пікфлоуметр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MEDICARE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278,20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BS20 Ваги для новонароджених, електронні, Romed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2500,59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Медична вимірювальна стрічка «MEDICARE»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310,30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Електрокардіограф моделі ECG-2150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81641,00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Пульсоксиметр Rad 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43549,00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Холодильник HYC-68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21800,00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7" w:type="dxa"/>
            <w:textDirection w:val="lrTb"/>
            <w:noWrap w:val="false"/>
          </w:tcPr>
          <w:p>
            <w:pPr>
              <w:pStyle w:val="832"/>
              <w:ind w:right="0"/>
              <w:spacing w:lineRule="auto" w:line="240" w:after="0" w:afterAutospacing="0" w:before="0"/>
              <w:shd w:val="clear" w:fill="auto" w:color="auto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  <w:lang w:val="uk-UA"/>
              </w:rPr>
              <w:t xml:space="preserve">Сейф СО-105-11Б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136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8990,00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935" w:hanging="36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95" w:hanging="36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255" w:hanging="360"/>
        <w:tabs>
          <w:tab w:val="num" w:pos="7255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2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815"/>
    <w:link w:val="813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815"/>
    <w:link w:val="814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5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5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5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5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5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5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1"/>
    <w:qFormat/>
    <w:uiPriority w:val="34"/>
    <w:pPr>
      <w:contextualSpacing w:val="true"/>
      <w:ind w:left="720"/>
    </w:p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1"/>
    <w:next w:val="811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5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5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paragraph" w:styleId="812">
    <w:name w:val="Heading 1"/>
    <w:basedOn w:val="811"/>
    <w:next w:val="811"/>
    <w:link w:val="818"/>
    <w:qFormat/>
    <w:rPr>
      <w:rFonts w:ascii="Times New Roman" w:hAnsi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13">
    <w:name w:val="Heading 2"/>
    <w:basedOn w:val="811"/>
    <w:next w:val="811"/>
    <w:link w:val="819"/>
    <w:qFormat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14">
    <w:name w:val="Heading 3"/>
    <w:basedOn w:val="811"/>
    <w:next w:val="811"/>
    <w:link w:val="827"/>
    <w:qFormat/>
    <w:uiPriority w:val="9"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1 Знак"/>
    <w:link w:val="81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19" w:customStyle="1">
    <w:name w:val="Заголовок 2 Знак"/>
    <w:link w:val="81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20">
    <w:name w:val="Body Text"/>
    <w:basedOn w:val="811"/>
    <w:link w:val="821"/>
    <w:rPr>
      <w:rFonts w:ascii="Times New Roman" w:hAnsi="Times New Roman" w:eastAsia="Batang"/>
      <w:b/>
      <w:sz w:val="28"/>
      <w:szCs w:val="20"/>
      <w:lang w:eastAsia="ru-RU"/>
    </w:rPr>
    <w:pPr>
      <w:jc w:val="both"/>
      <w:spacing w:lineRule="auto" w:line="240" w:after="0"/>
    </w:pPr>
  </w:style>
  <w:style w:type="character" w:styleId="821" w:customStyle="1">
    <w:name w:val="Основной текст Знак"/>
    <w:link w:val="820"/>
    <w:rPr>
      <w:rFonts w:ascii="Times New Roman" w:hAnsi="Times New Roman" w:cs="Times New Roman" w:eastAsia="Batang"/>
      <w:b/>
      <w:sz w:val="28"/>
      <w:szCs w:val="20"/>
      <w:lang w:eastAsia="ru-RU"/>
    </w:rPr>
  </w:style>
  <w:style w:type="paragraph" w:styleId="822">
    <w:name w:val="Balloon Text"/>
    <w:basedOn w:val="811"/>
    <w:link w:val="8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3" w:customStyle="1">
    <w:name w:val="Текст выноски Знак"/>
    <w:link w:val="822"/>
    <w:uiPriority w:val="99"/>
    <w:semiHidden/>
    <w:rPr>
      <w:rFonts w:ascii="Tahoma" w:hAnsi="Tahoma" w:cs="Tahoma"/>
      <w:sz w:val="16"/>
      <w:szCs w:val="16"/>
    </w:rPr>
  </w:style>
  <w:style w:type="paragraph" w:styleId="824">
    <w:name w:val="Normal (Web)"/>
    <w:basedOn w:val="811"/>
    <w:uiPriority w:val="99"/>
    <w:rPr>
      <w:rFonts w:ascii="Times New Roman" w:hAnsi="Times New Roman"/>
      <w:sz w:val="24"/>
      <w:szCs w:val="24"/>
      <w:lang w:val="ru-RU" w:eastAsia="ru-RU"/>
    </w:rPr>
    <w:pPr>
      <w:spacing w:lineRule="auto" w:line="240" w:after="117" w:before="59"/>
    </w:pPr>
  </w:style>
  <w:style w:type="character" w:styleId="825">
    <w:name w:val="Strong"/>
    <w:qFormat/>
    <w:rPr>
      <w:b/>
      <w:bCs/>
    </w:rPr>
  </w:style>
  <w:style w:type="table" w:styleId="826">
    <w:name w:val="Table Grid"/>
    <w:basedOn w:val="81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7" w:customStyle="1">
    <w:name w:val="Заголовок 3 Знак"/>
    <w:link w:val="814"/>
    <w:uiPriority w:val="9"/>
    <w:rPr>
      <w:rFonts w:ascii="Cambria" w:hAnsi="Cambria" w:cs="Times New Roman" w:eastAsia="Times New Roman"/>
      <w:b/>
      <w:bCs/>
      <w:sz w:val="26"/>
      <w:szCs w:val="26"/>
      <w:lang w:val="uk-UA" w:eastAsia="uk-UA"/>
    </w:rPr>
  </w:style>
  <w:style w:type="character" w:styleId="828">
    <w:name w:val="Hyperlink"/>
    <w:uiPriority w:val="99"/>
    <w:semiHidden/>
    <w:unhideWhenUsed/>
    <w:rPr>
      <w:color w:val="0000FF"/>
      <w:u w:val="single"/>
    </w:rPr>
  </w:style>
  <w:style w:type="character" w:styleId="829" w:customStyle="1">
    <w:name w:val="Основной текст_"/>
    <w:link w:val="830"/>
    <w:rPr>
      <w:rFonts w:ascii="Times New Roman" w:hAnsi="Times New Roman"/>
      <w:sz w:val="26"/>
      <w:szCs w:val="26"/>
      <w:shd w:val="clear" w:fill="FFFFFF" w:color="auto"/>
    </w:rPr>
  </w:style>
  <w:style w:type="paragraph" w:styleId="830" w:customStyle="1">
    <w:name w:val="Основной текст3"/>
    <w:basedOn w:val="811"/>
    <w:link w:val="829"/>
    <w:rPr>
      <w:rFonts w:ascii="Times New Roman" w:hAnsi="Times New Roman"/>
      <w:sz w:val="26"/>
      <w:szCs w:val="26"/>
      <w:lang w:val="ru-RU" w:eastAsia="ru-RU"/>
    </w:rPr>
    <w:pPr>
      <w:jc w:val="both"/>
      <w:spacing w:lineRule="exact" w:line="331" w:after="300"/>
      <w:shd w:val="clear" w:fill="FFFFFF" w:color="auto"/>
      <w:widowControl w:val="off"/>
    </w:pPr>
  </w:style>
  <w:style w:type="character" w:styleId="831" w:customStyle="1">
    <w:name w:val="Основной текст (2)_"/>
    <w:link w:val="832"/>
    <w:rPr>
      <w:rFonts w:ascii="Times New Roman" w:hAnsi="Times New Roman"/>
      <w:b/>
      <w:bCs/>
      <w:i/>
      <w:iCs/>
      <w:sz w:val="26"/>
      <w:szCs w:val="26"/>
      <w:shd w:val="clear" w:fill="FFFFFF" w:color="auto"/>
    </w:rPr>
  </w:style>
  <w:style w:type="paragraph" w:styleId="832" w:customStyle="1">
    <w:name w:val="Основной текст (2)"/>
    <w:basedOn w:val="811"/>
    <w:link w:val="831"/>
    <w:rPr>
      <w:rFonts w:ascii="Times New Roman" w:hAnsi="Times New Roman"/>
      <w:b/>
      <w:bCs/>
      <w:i/>
      <w:iCs/>
      <w:sz w:val="26"/>
      <w:szCs w:val="26"/>
      <w:lang w:val="ru-RU" w:eastAsia="ru-RU"/>
    </w:rPr>
    <w:pPr>
      <w:jc w:val="both"/>
      <w:spacing w:lineRule="exact" w:line="322" w:after="0" w:before="300"/>
      <w:shd w:val="clear" w:fill="FFFFFF" w:color="auto"/>
      <w:widowControl w:val="off"/>
    </w:pPr>
  </w:style>
  <w:style w:type="paragraph" w:styleId="833" w:customStyle="1">
    <w:name w:val="docdata"/>
    <w:basedOn w:val="811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4" w:customStyle="1">
    <w:name w:val="Звичайний"/>
    <w:link w:val="834"/>
    <w:rPr>
      <w:rFonts w:ascii="Times New Roman" w:hAnsi="Times New Roman"/>
      <w:sz w:val="24"/>
      <w:szCs w:val="24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ukm.chor.gov.ua/normativni-dokumenti/normativno-pravova-informatsiya/item/641-polozhennia-pro-poriadok-peredachi-ob-iektiv-prava-spilnoi-vlasn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A37FB4-1C4B-433A-9ECE-E222337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HakerNet</dc:creator>
  <cp:lastModifiedBy>ПРИМАКОВ Геннадій Анатолійович</cp:lastModifiedBy>
  <cp:revision>6</cp:revision>
  <dcterms:created xsi:type="dcterms:W3CDTF">2021-08-16T09:13:00Z</dcterms:created>
  <dcterms:modified xsi:type="dcterms:W3CDTF">2021-08-17T15:57:56Z</dcterms:modified>
</cp:coreProperties>
</file>