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after="0" w:afterAutospacing="0"/>
        <w:rPr>
          <w:rFonts w:ascii="Times New Roman" w:hAnsi="Times New Roman" w:cs="Times New Roman" w:eastAsia="Calibri"/>
          <w:sz w:val="24"/>
          <w:lang w:val="uk-UA" w:bidi="en-US" w:eastAsia="en-US"/>
        </w:rPr>
      </w:pP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Додаток </w:t>
      </w:r>
      <w:r/>
    </w:p>
    <w:p>
      <w:pPr>
        <w:ind w:left="5669"/>
        <w:jc w:val="both"/>
        <w:spacing w:after="0" w:afterAutospacing="0"/>
        <w:rPr>
          <w:rFonts w:ascii="Times New Roman" w:hAnsi="Times New Roman" w:cs="Times New Roman" w:eastAsia="Calibri"/>
          <w:sz w:val="24"/>
          <w:lang w:val="uk-UA" w:bidi="en-US" w:eastAsia="en-US"/>
        </w:rPr>
      </w:pPr>
      <w:r>
        <w:rPr>
          <w:rFonts w:ascii="Times New Roman" w:hAnsi="Times New Roman" w:cs="Times New Roman" w:eastAsia="Calibri"/>
          <w:sz w:val="24"/>
          <w:lang w:val="uk-UA" w:bidi="en-US" w:eastAsia="en-US"/>
        </w:rPr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до рішення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 виконавчого комітету  М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енської міської ради від  серпня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 2021 року №__ 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«П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ро стан підготовки закладів о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світи до нового навчального року»</w:t>
      </w:r>
      <w:r/>
    </w:p>
    <w:p>
      <w:pPr>
        <w:ind w:left="6373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підготовки закладів освіти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нового навчального року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метою забезпечення повноцінного функціонування закладів освіти, створення належних умов для навчання та виховання дітей, здійснення якісної підготовки  закладів освіт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 організованого початку 2021-2022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навчального року та до роботи в осінньо-зимовий період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22.06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95/1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стабільної роботи в осінньо-зимовий період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років</w:t>
      </w:r>
      <w:r>
        <w:rPr>
          <w:rStyle w:val="835"/>
          <w:rFonts w:eastAsia="Times New Roman"/>
          <w:sz w:val="28"/>
          <w:szCs w:val="28"/>
          <w:lang w:val="uk-UA" w:eastAsia="uk-UA"/>
        </w:rPr>
        <w:t xml:space="preserve">», яким затверджено заходи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підготовки енергетичних господарств закладів освіти Менської міської ради до робо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в осінньо-зимовий період 2021-2022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років. Відділом освіти, керівниками закладів освіти та педагогічними колективами вживаються заходи щодо їх виконання та  створення необхідних санітарно-г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ігієнічних умов для навчання і виховання дітей в закладах дошкільної освіти,  загальної середньої освіти, позашкільної освіти. Вживаються заходи щодо виконання вимог нормативно-технічних документів з охорони праці, техніки безпеки та протипожежної безпеки.</w:t>
      </w:r>
      <w:r/>
    </w:p>
    <w:p>
      <w:pPr>
        <w:pStyle w:val="832"/>
        <w:ind w:firstLine="567"/>
        <w:rPr>
          <w:i w:val="false"/>
        </w:rPr>
      </w:pPr>
      <w:r>
        <w:rPr>
          <w:sz w:val="28"/>
          <w:szCs w:val="28"/>
        </w:rPr>
        <w:tab/>
      </w:r>
      <w:r>
        <w:rPr>
          <w:i w:val="false"/>
        </w:rPr>
        <w:t xml:space="preserve">Станом на </w:t>
      </w:r>
      <w:r>
        <w:rPr>
          <w:i w:val="false"/>
          <w:highlight w:val="none"/>
        </w:rPr>
        <w:t xml:space="preserve">10.08</w:t>
      </w:r>
      <w:r>
        <w:rPr>
          <w:i w:val="false"/>
          <w:highlight w:val="none"/>
        </w:rPr>
        <w:t xml:space="preserve">.2021</w:t>
      </w:r>
      <w:r>
        <w:rPr>
          <w:i w:val="false"/>
        </w:rPr>
        <w:t xml:space="preserve"> року в підпорядкуванні Відділу освіти Менської міської ради перебуває 3</w:t>
      </w:r>
      <w:r>
        <w:rPr>
          <w:i w:val="false"/>
        </w:rPr>
        <w:t xml:space="preserve">8</w:t>
      </w:r>
      <w:r>
        <w:rPr>
          <w:i w:val="false"/>
        </w:rPr>
        <w:t xml:space="preserve"> закладів</w:t>
      </w:r>
      <w:r>
        <w:rPr>
          <w:i w:val="false"/>
        </w:rPr>
        <w:t xml:space="preserve"> освіти</w:t>
      </w:r>
      <w:r>
        <w:rPr>
          <w:i w:val="false"/>
        </w:rPr>
        <w:t xml:space="preserve"> (установ)</w:t>
      </w:r>
      <w:r>
        <w:rPr>
          <w:i w:val="false"/>
        </w:rPr>
        <w:t xml:space="preserve"> комунальної форми власності, з них: </w:t>
      </w:r>
      <w:r>
        <w:rPr>
          <w:i w:val="false"/>
        </w:rPr>
        <w:t xml:space="preserve">16</w:t>
      </w:r>
      <w:r>
        <w:rPr>
          <w:i w:val="false"/>
        </w:rPr>
        <w:t xml:space="preserve"> закладів загальної середньої освіти (</w:t>
      </w:r>
      <w:r>
        <w:rPr>
          <w:i w:val="false"/>
        </w:rPr>
        <w:t xml:space="preserve">в тому числі 10</w:t>
      </w:r>
      <w:r>
        <w:rPr>
          <w:i w:val="false"/>
        </w:rPr>
        <w:t xml:space="preserve"> ЗЗСО І-</w:t>
      </w:r>
      <w:r>
        <w:rPr>
          <w:i w:val="false"/>
        </w:rPr>
        <w:t xml:space="preserve">ІІІ ступенів та 2 філії І-ІІ ступенів,  4</w:t>
      </w:r>
      <w:r>
        <w:rPr>
          <w:i w:val="false"/>
        </w:rPr>
        <w:t xml:space="preserve"> ЗЗСО І-ІІ ступенів), в яких за попередніми даними будуть здобувати освіту </w:t>
      </w:r>
      <w:r>
        <w:rPr>
          <w:i w:val="false"/>
        </w:rPr>
        <w:t xml:space="preserve">2453</w:t>
      </w:r>
      <w:r>
        <w:rPr>
          <w:i w:val="false"/>
        </w:rPr>
        <w:t xml:space="preserve"> учнів (місто-15</w:t>
      </w:r>
      <w:r>
        <w:rPr>
          <w:i w:val="false"/>
        </w:rPr>
        <w:t xml:space="preserve">55</w:t>
      </w:r>
      <w:r>
        <w:rPr>
          <w:i w:val="false"/>
        </w:rPr>
        <w:t xml:space="preserve">, село-</w:t>
      </w:r>
      <w:r>
        <w:rPr>
          <w:i w:val="false"/>
        </w:rPr>
        <w:t xml:space="preserve">898</w:t>
      </w:r>
      <w:r>
        <w:rPr>
          <w:i w:val="false"/>
        </w:rPr>
        <w:t xml:space="preserve">)</w:t>
      </w:r>
      <w:r>
        <w:t xml:space="preserve">,</w:t>
      </w:r>
      <w:r>
        <w:rPr>
          <w:i w:val="false"/>
        </w:rPr>
        <w:t xml:space="preserve"> 16</w:t>
      </w:r>
      <w:r>
        <w:rPr>
          <w:i w:val="false"/>
        </w:rPr>
        <w:t xml:space="preserve"> ЗДО (в яких буде виховуватися </w:t>
      </w:r>
      <w:r>
        <w:rPr>
          <w:i w:val="false"/>
        </w:rPr>
        <w:t xml:space="preserve">591</w:t>
      </w:r>
      <w:r>
        <w:rPr>
          <w:i w:val="false"/>
        </w:rPr>
        <w:t xml:space="preserve"> дитина, з них у місті - </w:t>
      </w:r>
      <w:r>
        <w:rPr>
          <w:i w:val="false"/>
        </w:rPr>
        <w:t xml:space="preserve">360</w:t>
      </w:r>
      <w:r>
        <w:rPr>
          <w:i w:val="false"/>
        </w:rPr>
        <w:t xml:space="preserve">, сільські - </w:t>
      </w:r>
      <w:r>
        <w:rPr>
          <w:i w:val="false"/>
        </w:rPr>
        <w:t xml:space="preserve">231</w:t>
      </w:r>
      <w:r>
        <w:rPr>
          <w:i w:val="false"/>
        </w:rPr>
        <w:t xml:space="preserve">), 4 заклади позашкільної освіти</w:t>
      </w:r>
      <w:r>
        <w:rPr>
          <w:i w:val="false"/>
        </w:rPr>
        <w:t xml:space="preserve">, ІРЦ, СМНВК.</w:t>
      </w:r>
      <w:r/>
    </w:p>
    <w:p>
      <w:pPr>
        <w:pStyle w:val="832"/>
        <w:ind w:firstLine="0"/>
        <w:rPr>
          <w:i w:val="false"/>
          <w:sz w:val="28"/>
          <w:szCs w:val="28"/>
          <w:shd w:val="clear" w:fill="FFFFFF" w:color="auto"/>
        </w:rPr>
      </w:pPr>
      <w:r>
        <w:rPr>
          <w:i w:val="false"/>
        </w:rPr>
        <w:tab/>
      </w:r>
      <w:r>
        <w:rPr>
          <w:i w:val="false"/>
        </w:rPr>
        <w:t xml:space="preserve">Відділом освіти, керівникам закладів освіти, місцевою владою вжито ряд заходів по підготовці закладів освіти до початку навчального року та р</w:t>
      </w:r>
      <w:r>
        <w:rPr>
          <w:i w:val="false"/>
        </w:rPr>
        <w:t xml:space="preserve">оботи в о</w:t>
      </w:r>
      <w:r>
        <w:rPr>
          <w:i w:val="false"/>
        </w:rPr>
        <w:t xml:space="preserve">сінньо-зимовий</w:t>
      </w:r>
      <w:r>
        <w:rPr>
          <w:i w:val="false"/>
        </w:rPr>
        <w:t xml:space="preserve"> період. Проводиться</w:t>
      </w:r>
      <w:r>
        <w:rPr>
          <w:i w:val="false"/>
        </w:rPr>
        <w:t xml:space="preserve"> закупівля</w:t>
      </w:r>
      <w:r>
        <w:rPr>
          <w:i w:val="false"/>
        </w:rPr>
        <w:t xml:space="preserve"> палива</w:t>
      </w:r>
      <w:r>
        <w:rPr>
          <w:i w:val="false"/>
        </w:rPr>
        <w:t xml:space="preserve">: станом на 11 серпня</w:t>
      </w:r>
      <w:r>
        <w:rPr>
          <w:i w:val="false"/>
        </w:rPr>
        <w:t xml:space="preserve"> 2021 р.</w:t>
      </w:r>
      <w:r>
        <w:rPr>
          <w:i w:val="false"/>
        </w:rPr>
        <w:t xml:space="preserve"> завезено </w:t>
      </w:r>
      <w:r>
        <w:rPr>
          <w:i w:val="false"/>
        </w:rPr>
        <w:t xml:space="preserve">вугілля 153 тон  на 80</w:t>
      </w:r>
      <w:r>
        <w:rPr>
          <w:i w:val="false"/>
        </w:rPr>
        <w:t xml:space="preserve">% від потреби, </w:t>
      </w:r>
      <w:r>
        <w:rPr>
          <w:i w:val="false"/>
        </w:rPr>
        <w:t xml:space="preserve">торфобрикет </w:t>
      </w:r>
      <w:r>
        <w:rPr>
          <w:i w:val="false"/>
        </w:rPr>
        <w:t xml:space="preserve">– 54 тони 11,4 % від потреби,  дрова 602,8 м</w:t>
      </w:r>
      <w:r>
        <w:rPr>
          <w:i w:val="false"/>
          <w:vertAlign w:val="superscript"/>
        </w:rPr>
        <w:t xml:space="preserve">3</w:t>
      </w:r>
      <w:r>
        <w:rPr>
          <w:i w:val="false"/>
        </w:rPr>
        <w:t xml:space="preserve"> - 50</w:t>
      </w:r>
      <w:r>
        <w:rPr>
          <w:i w:val="false"/>
        </w:rPr>
        <w:t xml:space="preserve"> % від потреби</w:t>
      </w:r>
      <w:r>
        <w:rPr>
          <w:i w:val="false"/>
        </w:rPr>
        <w:t xml:space="preserve">. П</w:t>
      </w:r>
      <w:r>
        <w:rPr>
          <w:i w:val="false"/>
        </w:rPr>
        <w:t xml:space="preserve">роведе</w:t>
      </w:r>
      <w:r>
        <w:rPr>
          <w:i w:val="false"/>
        </w:rPr>
        <w:t xml:space="preserve">но ремонт котла у</w:t>
      </w:r>
      <w:r>
        <w:rPr>
          <w:i w:val="false"/>
        </w:rPr>
        <w:t xml:space="preserve"> </w:t>
      </w:r>
      <w:r>
        <w:rPr>
          <w:i w:val="false"/>
        </w:rPr>
        <w:t xml:space="preserve">Блистівському ЗЗСО І-І</w:t>
      </w:r>
      <w:r>
        <w:rPr>
          <w:i w:val="false"/>
        </w:rPr>
        <w:t xml:space="preserve">ІІ ст., заміну</w:t>
      </w:r>
      <w:r>
        <w:rPr>
          <w:i w:val="false"/>
        </w:rPr>
        <w:t xml:space="preserve"> котла на</w:t>
      </w:r>
      <w:r>
        <w:rPr>
          <w:i w:val="false"/>
        </w:rPr>
        <w:t xml:space="preserve"> харчоблоці Киселівського ЗЗСО І-ІІІ</w:t>
      </w:r>
      <w:r>
        <w:rPr>
          <w:i w:val="false"/>
        </w:rPr>
        <w:t xml:space="preserve"> </w:t>
      </w:r>
      <w:r>
        <w:rPr>
          <w:i w:val="false"/>
        </w:rPr>
        <w:t xml:space="preserve">ст., </w:t>
      </w:r>
      <w:r>
        <w:rPr>
          <w:i w:val="false"/>
          <w:sz w:val="28"/>
          <w:szCs w:val="28"/>
        </w:rPr>
        <w:t xml:space="preserve"> ремонт системи опалення Макошинського ЗЗСО І-ІІІ </w:t>
      </w:r>
      <w:r>
        <w:rPr>
          <w:i w:val="false"/>
          <w:sz w:val="28"/>
          <w:szCs w:val="28"/>
        </w:rPr>
        <w:t xml:space="preserve">ст., </w:t>
      </w:r>
      <w:r>
        <w:rPr>
          <w:i w:val="false"/>
          <w:sz w:val="28"/>
          <w:szCs w:val="28"/>
        </w:rPr>
        <w:t xml:space="preserve">ремонт системи електрозабезпечення їдальні Киселівського ЗЗСО І-ІІІ ст. (27 тис грн.)</w:t>
      </w:r>
      <w:r>
        <w:rPr>
          <w:i w:val="false"/>
          <w:sz w:val="28"/>
          <w:szCs w:val="28"/>
        </w:rPr>
        <w:t xml:space="preserve">, </w:t>
      </w:r>
      <w:r>
        <w:rPr>
          <w:i w:val="false"/>
          <w:sz w:val="28"/>
          <w:szCs w:val="28"/>
        </w:rPr>
        <w:t xml:space="preserve">замінено сило</w:t>
      </w:r>
      <w:r>
        <w:rPr>
          <w:i w:val="false"/>
          <w:sz w:val="28"/>
          <w:szCs w:val="28"/>
        </w:rPr>
        <w:t xml:space="preserve">вий кабель електрозабезпечення О</w:t>
      </w:r>
      <w:r>
        <w:rPr>
          <w:i w:val="false"/>
          <w:sz w:val="28"/>
          <w:szCs w:val="28"/>
        </w:rPr>
        <w:t xml:space="preserve">порного закладу Менська </w:t>
      </w:r>
      <w:r>
        <w:rPr>
          <w:i w:val="false"/>
          <w:sz w:val="28"/>
          <w:szCs w:val="28"/>
        </w:rPr>
        <w:t xml:space="preserve">гімназія,</w:t>
      </w:r>
      <w:r>
        <w:rPr>
          <w:i w:val="false"/>
          <w:sz w:val="28"/>
          <w:szCs w:val="28"/>
        </w:rPr>
        <w:t xml:space="preserve"> проведено ремонт системи опалення Покровського ЗЗСО І-ІІІ ст., проведено ремонт санвузлів із заміною системи каналізації та водовідведення  в Менському ЗДО «Сонечко», ремонт котельні Менського </w:t>
      </w:r>
      <w:r>
        <w:rPr>
          <w:i w:val="false"/>
          <w:sz w:val="28"/>
          <w:szCs w:val="28"/>
        </w:rPr>
        <w:t xml:space="preserve">ЗДО ім. Гагаріна </w:t>
      </w:r>
      <w:r>
        <w:rPr>
          <w:i w:val="false"/>
          <w:sz w:val="28"/>
          <w:szCs w:val="28"/>
          <w:shd w:val="clear" w:fill="FFFFFF" w:color="auto"/>
        </w:rPr>
        <w:t xml:space="preserve">п</w:t>
      </w:r>
      <w:r>
        <w:rPr>
          <w:i w:val="false"/>
          <w:sz w:val="28"/>
          <w:szCs w:val="28"/>
          <w:shd w:val="clear" w:fill="FFFFFF" w:color="auto"/>
        </w:rPr>
        <w:t xml:space="preserve">роводиться</w:t>
      </w:r>
      <w:r>
        <w:rPr>
          <w:i w:val="false"/>
          <w:sz w:val="28"/>
          <w:szCs w:val="28"/>
          <w:shd w:val="clear" w:fill="FFFFFF" w:color="auto"/>
        </w:rPr>
        <w:t xml:space="preserve">  повірка</w:t>
      </w:r>
      <w:r>
        <w:rPr>
          <w:i w:val="false"/>
          <w:sz w:val="28"/>
          <w:szCs w:val="28"/>
          <w:shd w:val="clear" w:fill="FFFFFF" w:color="auto"/>
        </w:rPr>
        <w:t xml:space="preserve"> сигнал</w:t>
      </w:r>
      <w:r>
        <w:rPr>
          <w:i w:val="false"/>
          <w:sz w:val="28"/>
          <w:szCs w:val="28"/>
          <w:shd w:val="clear" w:fill="FFFFFF" w:color="auto"/>
        </w:rPr>
        <w:t xml:space="preserve">ізаторів газу</w:t>
      </w:r>
      <w:r>
        <w:rPr>
          <w:i w:val="false"/>
          <w:sz w:val="28"/>
          <w:szCs w:val="28"/>
          <w:shd w:val="clear" w:fill="FFFFFF" w:color="auto"/>
        </w:rPr>
        <w:t xml:space="preserve"> та манометрів</w:t>
      </w:r>
      <w:r>
        <w:rPr>
          <w:i w:val="false"/>
          <w:sz w:val="28"/>
          <w:szCs w:val="28"/>
          <w:shd w:val="clear" w:fill="FFFFFF" w:color="auto"/>
        </w:rPr>
        <w:t xml:space="preserve">, б</w:t>
      </w:r>
      <w:r>
        <w:rPr>
          <w:i w:val="false"/>
          <w:sz w:val="28"/>
          <w:szCs w:val="28"/>
          <w:shd w:val="clear" w:fill="FFFFFF" w:color="auto"/>
        </w:rPr>
        <w:t xml:space="preserve">уде проведено замір опору ізоляції </w:t>
      </w:r>
      <w:r>
        <w:rPr>
          <w:i w:val="false"/>
          <w:sz w:val="28"/>
          <w:szCs w:val="28"/>
          <w:shd w:val="clear" w:fill="FFFFFF" w:color="auto"/>
        </w:rPr>
        <w:t xml:space="preserve">в усіх</w:t>
      </w:r>
      <w:r>
        <w:rPr>
          <w:i w:val="false"/>
          <w:sz w:val="28"/>
          <w:szCs w:val="28"/>
          <w:shd w:val="clear" w:fill="FFFFFF" w:color="auto"/>
        </w:rPr>
        <w:t xml:space="preserve"> закладах освіти </w:t>
      </w:r>
      <w:r>
        <w:rPr>
          <w:i w:val="false"/>
          <w:sz w:val="28"/>
          <w:szCs w:val="28"/>
          <w:shd w:val="clear" w:fill="FFFFFF" w:color="auto"/>
        </w:rPr>
        <w:t xml:space="preserve">(</w:t>
      </w:r>
      <w:r>
        <w:rPr>
          <w:i w:val="false"/>
          <w:sz w:val="28"/>
          <w:szCs w:val="28"/>
          <w:shd w:val="clear" w:fill="FFFFFF" w:color="auto"/>
        </w:rPr>
        <w:t xml:space="preserve">проводиться тендер</w:t>
      </w:r>
      <w:r>
        <w:rPr>
          <w:i w:val="false"/>
          <w:sz w:val="28"/>
          <w:szCs w:val="28"/>
          <w:shd w:val="clear" w:fill="FFFFFF" w:color="auto"/>
        </w:rPr>
        <w:t xml:space="preserve">, очікувана вартість 200 тис. </w:t>
      </w:r>
      <w:r>
        <w:rPr>
          <w:i w:val="false"/>
          <w:sz w:val="28"/>
          <w:szCs w:val="28"/>
          <w:shd w:val="clear" w:fill="FFFFFF" w:color="auto"/>
        </w:rPr>
        <w:t xml:space="preserve">грн.</w:t>
      </w:r>
      <w:r>
        <w:rPr>
          <w:i w:val="false"/>
          <w:sz w:val="28"/>
          <w:szCs w:val="28"/>
          <w:shd w:val="clear" w:fill="FFFFFF" w:color="auto"/>
        </w:rPr>
        <w:t xml:space="preserve">)</w:t>
      </w:r>
      <w:r>
        <w:rPr>
          <w:i w:val="false"/>
          <w:sz w:val="28"/>
          <w:szCs w:val="28"/>
          <w:shd w:val="clear" w:fill="FFFFFF" w:color="auto"/>
        </w:rPr>
        <w:t xml:space="preserve">, </w:t>
      </w:r>
      <w:r>
        <w:rPr>
          <w:i w:val="false"/>
          <w:sz w:val="28"/>
          <w:szCs w:val="28"/>
          <w:shd w:val="clear" w:fill="FFFFFF" w:color="auto"/>
        </w:rPr>
        <w:t xml:space="preserve">встановлено автоматичну пожежну сигналізацію, оповіщення про пожежу, управління евакуацією людей, устаткування передавання тривожних сповіщень в приміщеннях Менського ЗДО ім. Гагаріна (75823,41 грн</w:t>
      </w:r>
      <w:r>
        <w:rPr>
          <w:i w:val="false"/>
          <w:sz w:val="28"/>
          <w:szCs w:val="28"/>
          <w:shd w:val="clear" w:fill="FFFFFF" w:color="auto"/>
        </w:rPr>
        <w:t xml:space="preserve">.</w:t>
      </w:r>
      <w:r>
        <w:rPr>
          <w:i w:val="false"/>
          <w:sz w:val="28"/>
          <w:szCs w:val="28"/>
          <w:shd w:val="clear" w:fill="FFFFFF" w:color="auto"/>
        </w:rPr>
        <w:t xml:space="preserve">), встановлено систему </w:t>
      </w:r>
      <w:r>
        <w:rPr>
          <w:i w:val="false"/>
          <w:sz w:val="28"/>
          <w:szCs w:val="28"/>
          <w:shd w:val="clear" w:fill="FFFFFF" w:color="auto"/>
        </w:rPr>
        <w:t xml:space="preserve">блискавко</w:t>
      </w:r>
      <w:r>
        <w:rPr>
          <w:i w:val="false"/>
          <w:sz w:val="28"/>
          <w:szCs w:val="28"/>
          <w:shd w:val="clear" w:fill="FFFFFF" w:color="auto"/>
        </w:rPr>
        <w:t xml:space="preserve">захисту</w:t>
      </w:r>
      <w:r>
        <w:rPr>
          <w:i w:val="false"/>
          <w:sz w:val="28"/>
          <w:szCs w:val="28"/>
          <w:shd w:val="clear" w:fill="FFFFFF" w:color="auto"/>
        </w:rPr>
        <w:t xml:space="preserve"> на будівлі </w:t>
      </w:r>
      <w:r>
        <w:rPr>
          <w:i w:val="false"/>
          <w:sz w:val="28"/>
          <w:szCs w:val="28"/>
          <w:shd w:val="clear" w:fill="FFFFFF" w:color="auto"/>
        </w:rPr>
        <w:t xml:space="preserve">Менського ЗДО ім. Гагаріна</w:t>
      </w:r>
      <w:r>
        <w:rPr>
          <w:i w:val="false"/>
          <w:sz w:val="28"/>
          <w:szCs w:val="28"/>
          <w:shd w:val="clear" w:fill="FFFFFF" w:color="auto"/>
        </w:rPr>
        <w:t xml:space="preserve"> (72102,</w:t>
      </w:r>
      <w:r>
        <w:rPr>
          <w:i w:val="false"/>
          <w:sz w:val="28"/>
          <w:szCs w:val="28"/>
          <w:shd w:val="clear" w:fill="FFFFFF" w:color="auto"/>
        </w:rPr>
        <w:t xml:space="preserve">35</w:t>
      </w:r>
      <w:r>
        <w:rPr>
          <w:i w:val="false"/>
          <w:sz w:val="28"/>
          <w:szCs w:val="28"/>
          <w:shd w:val="clear" w:fill="FFFFFF" w:color="auto"/>
        </w:rPr>
        <w:t xml:space="preserve"> грн.</w:t>
      </w:r>
      <w:r>
        <w:rPr>
          <w:i w:val="false"/>
          <w:sz w:val="28"/>
          <w:szCs w:val="28"/>
          <w:shd w:val="clear" w:fill="FFFFFF" w:color="auto"/>
        </w:rPr>
        <w:t xml:space="preserve">),</w:t>
      </w:r>
      <w:r>
        <w:rPr>
          <w:i w:val="false"/>
          <w:sz w:val="28"/>
          <w:szCs w:val="28"/>
          <w:shd w:val="clear" w:fill="FFFFFF" w:color="auto"/>
        </w:rPr>
        <w:t xml:space="preserve"> виготовлена проектно-кошторисна документація на встановлення автоматичної пожежної сигналізації, оповіщення про пожежу, управління евакуацією людей, устаткування передавання тривожних сповіщень та встановлення системи </w:t>
      </w:r>
      <w:r>
        <w:rPr>
          <w:i w:val="false"/>
          <w:sz w:val="28"/>
          <w:szCs w:val="28"/>
          <w:shd w:val="clear" w:fill="FFFFFF" w:color="auto"/>
        </w:rPr>
        <w:t xml:space="preserve">блискавкозахисту</w:t>
      </w:r>
      <w:r>
        <w:rPr>
          <w:i w:val="false"/>
          <w:sz w:val="28"/>
          <w:szCs w:val="28"/>
          <w:shd w:val="clear" w:fill="FFFFFF" w:color="auto"/>
        </w:rPr>
        <w:t xml:space="preserve">  у наступних закладах освіти</w:t>
      </w:r>
      <w:r>
        <w:rPr>
          <w:i w:val="false"/>
          <w:sz w:val="28"/>
          <w:szCs w:val="28"/>
          <w:shd w:val="clear" w:fill="FFFFFF" w:color="auto"/>
        </w:rPr>
        <w:t xml:space="preserve">: Менський ЗДО «Дитяча академія», Менський ЗДО «Сонечко»,  Менський ОЗЗСО</w:t>
      </w:r>
      <w:r>
        <w:rPr>
          <w:i w:val="false"/>
          <w:sz w:val="28"/>
          <w:szCs w:val="28"/>
          <w:shd w:val="clear" w:fill="FFFFFF" w:color="auto"/>
        </w:rPr>
        <w:t xml:space="preserve"> І-ІІІ ст. ім. Т.Г. Шевченка (</w:t>
      </w:r>
      <w:r>
        <w:rPr>
          <w:i w:val="false"/>
          <w:sz w:val="28"/>
          <w:szCs w:val="28"/>
          <w:shd w:val="clear" w:fill="FFFFFF" w:color="auto"/>
        </w:rPr>
        <w:t xml:space="preserve">80 тис. грн.</w:t>
      </w:r>
      <w:r>
        <w:rPr>
          <w:i w:val="false"/>
          <w:sz w:val="28"/>
          <w:szCs w:val="28"/>
          <w:shd w:val="clear" w:fill="FFFFFF" w:color="auto"/>
        </w:rPr>
        <w:t xml:space="preserve">),</w:t>
      </w:r>
      <w:r>
        <w:rPr>
          <w:i w:val="false"/>
          <w:sz w:val="28"/>
          <w:szCs w:val="28"/>
          <w:shd w:val="clear" w:fill="FFFFFF" w:color="auto"/>
        </w:rPr>
        <w:t xml:space="preserve"> закуплено 116 вогнегасників (49220 грн.),</w:t>
      </w:r>
      <w:r>
        <w:rPr>
          <w:i w:val="false"/>
          <w:sz w:val="28"/>
          <w:szCs w:val="28"/>
          <w:shd w:val="clear" w:fill="FFFFFF" w:color="auto"/>
        </w:rPr>
        <w:t xml:space="preserve"> пров</w:t>
      </w:r>
      <w:r>
        <w:rPr>
          <w:i w:val="false"/>
          <w:sz w:val="28"/>
          <w:szCs w:val="28"/>
          <w:shd w:val="clear" w:fill="FFFFFF" w:color="auto"/>
        </w:rPr>
        <w:t xml:space="preserve">едена</w:t>
      </w:r>
      <w:r>
        <w:rPr>
          <w:i w:val="false"/>
          <w:sz w:val="28"/>
          <w:szCs w:val="28"/>
          <w:shd w:val="clear" w:fill="FFFFFF" w:color="auto"/>
        </w:rPr>
        <w:t xml:space="preserve"> повірка вогнегасників (</w:t>
      </w:r>
      <w:r>
        <w:rPr>
          <w:i w:val="false"/>
          <w:sz w:val="28"/>
          <w:szCs w:val="28"/>
          <w:shd w:val="clear" w:fill="FFFFFF" w:color="auto"/>
        </w:rPr>
        <w:t xml:space="preserve">28178</w:t>
      </w:r>
      <w:r>
        <w:rPr>
          <w:i w:val="false"/>
          <w:sz w:val="28"/>
          <w:szCs w:val="28"/>
          <w:shd w:val="clear" w:fill="FFFFFF" w:color="auto"/>
        </w:rPr>
        <w:t xml:space="preserve"> грн.),</w:t>
      </w:r>
      <w:r>
        <w:rPr>
          <w:i w:val="false"/>
          <w:sz w:val="28"/>
          <w:szCs w:val="28"/>
          <w:shd w:val="clear" w:fill="FFFFFF" w:color="auto"/>
        </w:rPr>
        <w:t xml:space="preserve">  провед</w:t>
      </w:r>
      <w:r>
        <w:rPr>
          <w:i w:val="false"/>
          <w:sz w:val="28"/>
          <w:szCs w:val="28"/>
          <w:shd w:val="clear" w:fill="FFFFFF" w:color="auto"/>
        </w:rPr>
        <w:t xml:space="preserve">ено навчання з пожежної безпеки 36 осіб (7200 грн.)  та охорони праці 66 осіб (30360 грн.)</w:t>
      </w:r>
      <w:r>
        <w:rPr>
          <w:i w:val="false"/>
          <w:sz w:val="28"/>
          <w:szCs w:val="28"/>
          <w:shd w:val="clear" w:fill="FFFFFF" w:color="auto"/>
        </w:rPr>
        <w:t xml:space="preserve">, реконструкція системи газопостачання</w:t>
      </w:r>
      <w:r>
        <w:rPr>
          <w:i w:val="false"/>
          <w:sz w:val="28"/>
          <w:szCs w:val="28"/>
          <w:shd w:val="clear" w:fill="FFFFFF" w:color="auto"/>
        </w:rPr>
        <w:t xml:space="preserve"> (заміна вузлів обліку газу) </w:t>
      </w:r>
      <w:r>
        <w:rPr>
          <w:i w:val="false"/>
          <w:sz w:val="28"/>
          <w:szCs w:val="28"/>
          <w:shd w:val="clear" w:fill="FFFFFF" w:color="auto"/>
        </w:rPr>
        <w:t xml:space="preserve">в: Менське ЗДО ім. Гагаріна (21880 грн.)</w:t>
      </w:r>
      <w:r>
        <w:rPr>
          <w:i w:val="false"/>
          <w:sz w:val="28"/>
          <w:szCs w:val="28"/>
          <w:shd w:val="clear" w:fill="FFFFFF" w:color="auto"/>
        </w:rPr>
        <w:t xml:space="preserve">, Феськівський ЗЗСО І-ІІ ст. (9642 грн.),  Синявський ЗЗСО І-ІІІ ст. ( 27055 грн.), Величківський ЗЗСО І-ІІ ст. </w:t>
      </w:r>
      <w:r>
        <w:rPr>
          <w:i w:val="false"/>
          <w:sz w:val="28"/>
          <w:szCs w:val="28"/>
          <w:shd w:val="clear" w:fill="FFFFFF" w:color="auto"/>
        </w:rPr>
        <w:t xml:space="preserve">(177672 грн.). Н</w:t>
      </w:r>
      <w:r>
        <w:rPr>
          <w:i w:val="false"/>
          <w:sz w:val="28"/>
          <w:szCs w:val="28"/>
          <w:shd w:val="clear" w:fill="FFFFFF" w:color="auto"/>
        </w:rPr>
        <w:t xml:space="preserve">а поточні ремонти</w:t>
      </w:r>
      <w:r>
        <w:rPr>
          <w:i w:val="false"/>
          <w:sz w:val="28"/>
          <w:szCs w:val="28"/>
          <w:shd w:val="clear" w:fill="FFFFFF" w:color="auto"/>
        </w:rPr>
        <w:t xml:space="preserve"> закладів освіти виділено</w:t>
      </w:r>
      <w:r>
        <w:rPr>
          <w:i w:val="false"/>
          <w:sz w:val="28"/>
          <w:szCs w:val="28"/>
          <w:shd w:val="clear" w:fill="FFFFFF" w:color="auto"/>
        </w:rPr>
        <w:t xml:space="preserve"> з місцевого бюджету</w:t>
      </w:r>
      <w:r>
        <w:rPr>
          <w:i w:val="false"/>
          <w:sz w:val="28"/>
          <w:szCs w:val="28"/>
          <w:shd w:val="clear" w:fill="FFFFFF" w:color="auto"/>
        </w:rPr>
        <w:t xml:space="preserve"> 210800</w:t>
      </w:r>
      <w:r>
        <w:rPr>
          <w:i w:val="false"/>
          <w:sz w:val="28"/>
          <w:szCs w:val="28"/>
          <w:shd w:val="clear" w:fill="FFFFFF" w:color="auto"/>
        </w:rPr>
        <w:t xml:space="preserve"> грн.</w:t>
      </w:r>
      <w:r/>
    </w:p>
    <w:p>
      <w:pPr>
        <w:pStyle w:val="832"/>
        <w:ind w:firstLine="0"/>
        <w:rPr>
          <w:i w:val="false"/>
          <w:sz w:val="28"/>
          <w:szCs w:val="28"/>
          <w:shd w:val="clear" w:fill="FFFFFF" w:color="auto"/>
        </w:rPr>
      </w:pPr>
      <w:r>
        <w:rPr>
          <w:i w:val="false"/>
          <w:sz w:val="28"/>
          <w:szCs w:val="28"/>
          <w:shd w:val="clear" w:fill="FFFFFF" w:color="auto"/>
        </w:rPr>
        <w:tab/>
      </w:r>
      <w:r>
        <w:rPr>
          <w:i w:val="false"/>
        </w:rPr>
        <w:t xml:space="preserve">На даний час Відділом освіти проводиться робота щодо вчасного освоєння субвенції з державного бюджету місцевим бюджетам на з</w:t>
      </w:r>
      <w:r>
        <w:rPr>
          <w:i w:val="false"/>
        </w:rPr>
        <w:t xml:space="preserve">абезпечення якісної, сучасної та доступної загальної середньої освіти «Нова українська школа», яка спрямована  на закупівлю сучасних меблів для перших класів, дидактичних матеріалів, комп’ютерного обладнання, мультимедійного контенту для початкових класів.</w:t>
      </w:r>
      <w:r/>
    </w:p>
    <w:p>
      <w:pPr>
        <w:pStyle w:val="832"/>
        <w:ind w:firstLine="708"/>
        <w:rPr>
          <w:i w:val="false"/>
          <w:sz w:val="28"/>
          <w:szCs w:val="28"/>
          <w:shd w:val="clear" w:fill="FFFFFF" w:color="auto"/>
        </w:rPr>
      </w:pPr>
      <w:r>
        <w:rPr>
          <w:i w:val="false"/>
          <w:sz w:val="28"/>
          <w:szCs w:val="28"/>
          <w:shd w:val="clear" w:fill="FFFFFF" w:color="auto"/>
        </w:rPr>
        <w:t xml:space="preserve">Згідно р</w:t>
      </w:r>
      <w:r>
        <w:rPr>
          <w:i w:val="false"/>
          <w:sz w:val="28"/>
          <w:szCs w:val="28"/>
          <w:shd w:val="clear" w:fill="FFFFFF" w:color="auto"/>
        </w:rPr>
        <w:t xml:space="preserve">озпорядження Чернігівської обласної державної адміністрації</w:t>
      </w:r>
      <w:r>
        <w:rPr>
          <w:i w:val="false"/>
          <w:sz w:val="28"/>
          <w:szCs w:val="28"/>
          <w:shd w:val="clear" w:fill="FFFFFF" w:color="auto"/>
        </w:rPr>
        <w:t xml:space="preserve"> </w:t>
      </w:r>
      <w:r>
        <w:rPr>
          <w:i w:val="false"/>
          <w:sz w:val="28"/>
          <w:szCs w:val="28"/>
          <w:shd w:val="clear" w:fill="FFFFFF" w:color="auto"/>
        </w:rPr>
        <w:t xml:space="preserve"> від 23 червня 2021р. </w:t>
      </w:r>
      <w:r>
        <w:rPr>
          <w:i w:val="false"/>
          <w:sz w:val="28"/>
          <w:szCs w:val="28"/>
          <w:shd w:val="clear" w:fill="FFFFFF" w:color="auto"/>
        </w:rPr>
        <w:t xml:space="preserve">№ </w:t>
      </w:r>
      <w:r>
        <w:rPr>
          <w:i w:val="false"/>
          <w:sz w:val="28"/>
          <w:szCs w:val="28"/>
          <w:shd w:val="clear" w:fill="FFFFFF" w:color="auto"/>
        </w:rPr>
        <w:t xml:space="preserve">25</w:t>
      </w:r>
      <w:r/>
      <w:r>
        <w:rPr>
          <w:i w:val="false"/>
          <w:sz w:val="28"/>
          <w:szCs w:val="28"/>
          <w:shd w:val="clear" w:fill="FFFFFF" w:color="auto"/>
        </w:rPr>
        <w:t xml:space="preserve">, на Відділ освіти Менської міської ради було розподілено</w:t>
      </w:r>
      <w:r>
        <w:rPr>
          <w:i w:val="false"/>
          <w:sz w:val="28"/>
          <w:szCs w:val="28"/>
          <w:shd w:val="clear" w:fill="FFFFFF" w:color="auto"/>
        </w:rPr>
        <w:t xml:space="preserve"> освітню </w:t>
      </w:r>
      <w:r>
        <w:rPr>
          <w:i w:val="false"/>
          <w:sz w:val="28"/>
          <w:szCs w:val="28"/>
          <w:shd w:val="clear" w:fill="FFFFFF" w:color="auto"/>
        </w:rPr>
        <w:t xml:space="preserve"> субвенцію НУШ</w:t>
      </w:r>
      <w:r>
        <w:rPr>
          <w:i w:val="false"/>
          <w:sz w:val="28"/>
          <w:szCs w:val="28"/>
          <w:shd w:val="clear" w:fill="FFFFFF" w:color="auto"/>
        </w:rPr>
        <w:t xml:space="preserve">,</w:t>
      </w:r>
      <w:r>
        <w:rPr>
          <w:i w:val="false"/>
          <w:sz w:val="28"/>
          <w:szCs w:val="28"/>
          <w:shd w:val="clear" w:fill="FFFFFF" w:color="auto"/>
        </w:rPr>
        <w:t xml:space="preserve"> в сумі 754902 грн.</w:t>
      </w:r>
      <w:r>
        <w:rPr>
          <w:i w:val="false"/>
          <w:sz w:val="28"/>
          <w:szCs w:val="28"/>
          <w:shd w:val="clear" w:fill="FFFFFF" w:color="auto"/>
        </w:rPr>
        <w:t xml:space="preserve"> з урахуванням </w:t>
      </w:r>
      <w:r>
        <w:rPr>
          <w:i w:val="false"/>
          <w:sz w:val="28"/>
          <w:szCs w:val="28"/>
          <w:shd w:val="clear" w:fill="FFFFFF" w:color="auto"/>
        </w:rPr>
        <w:t xml:space="preserve">спів фінансуванням </w:t>
      </w:r>
      <w:r>
        <w:rPr>
          <w:i w:val="false"/>
          <w:sz w:val="28"/>
          <w:szCs w:val="28"/>
          <w:shd w:val="clear" w:fill="FFFFFF" w:color="auto"/>
        </w:rPr>
        <w:t xml:space="preserve">з місцевого бюджету</w:t>
      </w:r>
      <w:r>
        <w:rPr>
          <w:i w:val="false"/>
          <w:sz w:val="28"/>
          <w:szCs w:val="28"/>
          <w:shd w:val="clear" w:fill="FFFFFF" w:color="auto"/>
        </w:rPr>
        <w:t xml:space="preserve"> ця сума становить </w:t>
      </w:r>
      <w:r>
        <w:rPr>
          <w:i w:val="false"/>
          <w:sz w:val="28"/>
          <w:szCs w:val="28"/>
          <w:shd w:val="clear" w:fill="FFFFFF" w:color="auto"/>
        </w:rPr>
        <w:t xml:space="preserve">838780</w:t>
      </w:r>
      <w:r>
        <w:rPr>
          <w:i w:val="false"/>
          <w:sz w:val="28"/>
          <w:szCs w:val="28"/>
          <w:shd w:val="clear" w:fill="FFFFFF" w:color="auto"/>
        </w:rPr>
        <w:t xml:space="preserve"> грн.,</w:t>
      </w:r>
      <w:r>
        <w:rPr>
          <w:i w:val="false"/>
          <w:sz w:val="28"/>
          <w:szCs w:val="28"/>
          <w:shd w:val="clear" w:fill="FFFFFF" w:color="auto"/>
        </w:rPr>
        <w:t xml:space="preserve"> яка </w:t>
      </w:r>
      <w:r>
        <w:rPr>
          <w:i w:val="false"/>
          <w:sz w:val="28"/>
          <w:szCs w:val="28"/>
          <w:shd w:val="clear" w:fill="FFFFFF" w:color="auto"/>
        </w:rPr>
        <w:t xml:space="preserve"> спрямована на закупівлю засобів навчання та обладнання для навчальних кабінетів початкової школи</w:t>
      </w:r>
      <w:r>
        <w:rPr>
          <w:i w:val="false"/>
          <w:sz w:val="28"/>
          <w:szCs w:val="28"/>
          <w:shd w:val="clear" w:fill="FFFFFF" w:color="auto"/>
        </w:rPr>
        <w:t xml:space="preserve"> в тому числі</w:t>
      </w:r>
      <w:r>
        <w:rPr>
          <w:i w:val="false"/>
          <w:sz w:val="28"/>
          <w:szCs w:val="28"/>
          <w:shd w:val="clear" w:fill="FFFFFF" w:color="auto"/>
        </w:rPr>
        <w:t xml:space="preserve">:</w:t>
      </w:r>
      <w:r>
        <w:rPr>
          <w:i w:val="false"/>
          <w:sz w:val="28"/>
          <w:szCs w:val="28"/>
          <w:shd w:val="clear" w:fill="FFFFFF" w:color="auto"/>
        </w:rPr>
        <w:t xml:space="preserve"> 385375,56</w:t>
      </w:r>
      <w:r>
        <w:rPr>
          <w:i w:val="false"/>
          <w:sz w:val="28"/>
          <w:szCs w:val="28"/>
          <w:shd w:val="clear" w:fill="FFFFFF" w:color="auto"/>
        </w:rPr>
        <w:t xml:space="preserve"> грн на</w:t>
      </w:r>
      <w:r>
        <w:rPr>
          <w:i w:val="false"/>
          <w:sz w:val="28"/>
          <w:szCs w:val="28"/>
          <w:shd w:val="clear" w:fill="FFFFFF" w:color="auto"/>
        </w:rPr>
        <w:t xml:space="preserve"> закупівлю </w:t>
      </w:r>
      <w:r>
        <w:rPr>
          <w:i w:val="false"/>
          <w:sz w:val="28"/>
          <w:szCs w:val="28"/>
          <w:shd w:val="clear" w:fill="FFFFFF" w:color="auto"/>
        </w:rPr>
        <w:t xml:space="preserve"> комп</w:t>
      </w:r>
      <w:r>
        <w:rPr>
          <w:i w:val="false"/>
          <w:sz w:val="28"/>
          <w:szCs w:val="28"/>
          <w:shd w:val="clear" w:fill="FFFFFF" w:color="auto"/>
        </w:rPr>
        <w:t xml:space="preserve">’</w:t>
      </w:r>
      <w:r>
        <w:rPr>
          <w:i w:val="false"/>
          <w:sz w:val="28"/>
          <w:szCs w:val="28"/>
          <w:shd w:val="clear" w:fill="FFFFFF" w:color="auto"/>
        </w:rPr>
        <w:t xml:space="preserve">юте</w:t>
      </w:r>
      <w:r>
        <w:rPr>
          <w:i w:val="false"/>
          <w:sz w:val="28"/>
          <w:szCs w:val="28"/>
          <w:shd w:val="clear" w:fill="FFFFFF" w:color="auto"/>
        </w:rPr>
        <w:t xml:space="preserve">рного</w:t>
      </w:r>
      <w:r>
        <w:rPr>
          <w:i w:val="false"/>
          <w:sz w:val="28"/>
          <w:szCs w:val="28"/>
          <w:shd w:val="clear" w:fill="FFFFFF" w:color="auto"/>
        </w:rPr>
        <w:t xml:space="preserve"> обладнання</w:t>
      </w:r>
      <w:r>
        <w:rPr>
          <w:i w:val="false"/>
          <w:sz w:val="28"/>
          <w:szCs w:val="28"/>
          <w:shd w:val="clear" w:fill="FFFFFF" w:color="auto"/>
        </w:rPr>
        <w:t xml:space="preserve"> грн</w:t>
      </w:r>
      <w:r>
        <w:rPr>
          <w:i w:val="false"/>
          <w:sz w:val="28"/>
          <w:szCs w:val="28"/>
          <w:shd w:val="clear" w:fill="FFFFFF" w:color="auto"/>
        </w:rPr>
        <w:t xml:space="preserve">,</w:t>
      </w:r>
      <w:r>
        <w:rPr>
          <w:i w:val="false"/>
          <w:sz w:val="28"/>
          <w:szCs w:val="28"/>
          <w:shd w:val="clear" w:fill="FFFFFF" w:color="auto"/>
        </w:rPr>
        <w:t xml:space="preserve"> на закупівлю</w:t>
      </w:r>
      <w:r>
        <w:rPr>
          <w:i w:val="false"/>
          <w:sz w:val="28"/>
          <w:szCs w:val="28"/>
          <w:shd w:val="clear" w:fill="FFFFFF" w:color="auto"/>
        </w:rPr>
        <w:t xml:space="preserve"> засобів навчання та об</w:t>
      </w:r>
      <w:r>
        <w:rPr>
          <w:i w:val="false"/>
          <w:sz w:val="28"/>
          <w:szCs w:val="28"/>
          <w:shd w:val="clear" w:fill="FFFFFF" w:color="auto"/>
        </w:rPr>
        <w:t xml:space="preserve">ладнання 227392,22</w:t>
      </w:r>
      <w:r>
        <w:rPr>
          <w:i w:val="false"/>
          <w:sz w:val="28"/>
          <w:szCs w:val="28"/>
          <w:shd w:val="clear" w:fill="FFFFFF" w:color="auto"/>
        </w:rPr>
        <w:t xml:space="preserve"> грн</w:t>
      </w:r>
      <w:r>
        <w:rPr>
          <w:i w:val="false"/>
          <w:sz w:val="28"/>
          <w:szCs w:val="28"/>
          <w:shd w:val="clear" w:fill="FFFFFF" w:color="auto"/>
        </w:rPr>
        <w:t xml:space="preserve">, </w:t>
      </w:r>
      <w:r>
        <w:rPr>
          <w:i w:val="false"/>
          <w:sz w:val="28"/>
          <w:szCs w:val="28"/>
          <w:shd w:val="clear" w:fill="FFFFFF" w:color="auto"/>
        </w:rPr>
        <w:t xml:space="preserve">на закупівлю</w:t>
      </w:r>
      <w:r>
        <w:rPr>
          <w:i w:val="false"/>
          <w:sz w:val="28"/>
          <w:szCs w:val="28"/>
          <w:shd w:val="clear" w:fill="FFFFFF" w:color="auto"/>
        </w:rPr>
        <w:t xml:space="preserve"> сучасних меблів</w:t>
      </w:r>
      <w:r>
        <w:rPr>
          <w:i w:val="false"/>
          <w:sz w:val="28"/>
          <w:szCs w:val="28"/>
          <w:shd w:val="clear" w:fill="FFFFFF" w:color="auto"/>
        </w:rPr>
        <w:t xml:space="preserve"> 226012,22 грн</w:t>
      </w:r>
      <w:r>
        <w:rPr>
          <w:i w:val="false"/>
          <w:sz w:val="28"/>
          <w:szCs w:val="28"/>
          <w:shd w:val="clear" w:fill="FFFFFF" w:color="auto"/>
        </w:rPr>
        <w:t xml:space="preserve"> </w:t>
      </w:r>
      <w:r>
        <w:rPr>
          <w:i w:val="false"/>
          <w:sz w:val="28"/>
          <w:szCs w:val="28"/>
          <w:shd w:val="clear" w:fill="FFFFFF" w:color="auto"/>
        </w:rPr>
        <w:t xml:space="preserve">(проводиться тендер) . </w:t>
      </w:r>
      <w:r>
        <w:rPr>
          <w:i w:val="false"/>
          <w:sz w:val="28"/>
          <w:szCs w:val="28"/>
          <w:shd w:val="clear" w:fill="FFFFFF" w:color="auto"/>
        </w:rPr>
        <w:t xml:space="preserve">П</w:t>
      </w:r>
      <w:r>
        <w:rPr>
          <w:i w:val="false"/>
          <w:sz w:val="28"/>
          <w:szCs w:val="28"/>
          <w:shd w:val="clear" w:fill="FFFFFF" w:color="auto"/>
        </w:rPr>
        <w:t xml:space="preserve">отреба</w:t>
      </w:r>
      <w:r>
        <w:rPr>
          <w:i w:val="false"/>
          <w:sz w:val="28"/>
          <w:szCs w:val="28"/>
          <w:shd w:val="clear" w:fill="FFFFFF" w:color="auto"/>
        </w:rPr>
        <w:t xml:space="preserve"> ж </w:t>
      </w:r>
      <w:r>
        <w:rPr>
          <w:i w:val="false"/>
          <w:sz w:val="28"/>
          <w:szCs w:val="28"/>
          <w:shd w:val="clear" w:fill="FFFFFF" w:color="auto"/>
        </w:rPr>
        <w:t xml:space="preserve"> в меблях для НУШ складає 404611 грн.</w:t>
      </w:r>
      <w:r/>
    </w:p>
    <w:p>
      <w:pPr>
        <w:pStyle w:val="832"/>
        <w:ind w:firstLine="705"/>
        <w:rPr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На дан</w:t>
      </w:r>
      <w:r>
        <w:rPr>
          <w:i w:val="false"/>
          <w:sz w:val="28"/>
          <w:szCs w:val="28"/>
        </w:rPr>
        <w:t xml:space="preserve">ий час в закладах освіти проводяться наступні роботи</w:t>
      </w:r>
      <w:r>
        <w:rPr>
          <w:i w:val="false"/>
          <w:sz w:val="28"/>
          <w:szCs w:val="28"/>
        </w:rPr>
        <w:t xml:space="preserve">: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Виконано ремонт системи опалення Покровського ЗЗСО І-ІІІ ст. 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 процесі виконання заміна димової труби  Волосківського ЗЗСО І-ІІ ст. 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Виконано ремонт котельні Менського  ЗДО ім. Гагаріна</w:t>
      </w:r>
      <w:r>
        <w:rPr>
          <w:i w:val="false"/>
          <w:sz w:val="28"/>
          <w:szCs w:val="28"/>
        </w:rPr>
        <w:t xml:space="preserve">, проводиться встановлення витяжної системи.</w:t>
      </w:r>
      <w:bookmarkStart w:id="0" w:name="_GoBack"/>
      <w:r/>
      <w:bookmarkEnd w:id="0"/>
      <w:r/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Проводяться роботи з капітального ремонту покрівлі Стольненського ЗЗСО І-ІІІ ст. 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Виставлено спрощену закупівлю поточного ремонту гімнастичної зали Синявського ЗЗСО І-ІІІ ст.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Виставлено спрощену закупівлю поточного ремонту санвузлів  Бірківської філії І-ІІ ст. 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Виконано ремонт санвузлів із заміною системи каналізації та водовідведення в Менському ЗДО «Сонечко»  з покрівлі ЗДО.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 процесі виконання поточний ремонт системи електрозабезпечення харчоблоків Опорного закладу Менська гімназія та Менський  ОЗЗСО І-ІІІ ст. ім. Т.Г. Шевченка (90 тис. грн.) - кошти на даний вид робіт у відділі освіти відсутні; </w:t>
      </w:r>
      <w:r/>
    </w:p>
    <w:p>
      <w:pPr>
        <w:pStyle w:val="832"/>
        <w:numPr>
          <w:ilvl w:val="0"/>
          <w:numId w:val="9"/>
        </w:numPr>
        <w:ind w:left="1418" w:hanging="709"/>
        <w:rPr>
          <w:i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i w:val="false"/>
          <w:sz w:val="28"/>
          <w:szCs w:val="28"/>
        </w:rPr>
        <w:t xml:space="preserve">В процесі виконання ремонту покрівлі Феськівського ЗДО.</w:t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Розпочато роботу по установці котла в </w:t>
      </w:r>
      <w:r>
        <w:rPr>
          <w:rFonts w:ascii="Times New Roman" w:hAnsi="Times New Roman" w:cs="Times New Roman"/>
          <w:sz w:val="28"/>
          <w:szCs w:val="28"/>
        </w:rPr>
        <w:t xml:space="preserve">Бірківській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І-ІІ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питання щодо підготовки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освіти до роботи в новому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на постійному контролі відділу освіти.</w:t>
      </w:r>
      <w:r/>
    </w:p>
    <w:p>
      <w:pPr>
        <w:ind w:firstLine="708"/>
        <w:jc w:val="both"/>
        <w:rPr>
          <w:rFonts w:ascii="Calibri" w:hAnsi="Calibri" w:cs="Times New Roman" w:eastAsia="Times New Roman"/>
          <w:bCs/>
          <w:sz w:val="28"/>
          <w:szCs w:val="28"/>
          <w:lang w:val="uk-UA"/>
        </w:rPr>
      </w:pPr>
      <w:r>
        <w:rPr>
          <w:rFonts w:ascii="Calibri" w:hAnsi="Calibri" w:cs="Times New Roman" w:eastAsia="Times New Roman"/>
          <w:bCs/>
          <w:sz w:val="28"/>
          <w:szCs w:val="28"/>
          <w:lang w:val="uk-UA"/>
        </w:rPr>
      </w:r>
      <w:r/>
    </w:p>
    <w:p>
      <w:pPr>
        <w:jc w:val="both"/>
        <w:spacing w:lineRule="auto" w:line="480" w:after="0"/>
        <w:rPr>
          <w:rFonts w:ascii="Calibri" w:hAnsi="Calibri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Ф. Лук</w:t>
      </w:r>
      <w:r>
        <w:rPr>
          <w:rFonts w:ascii="Times New Roman" w:hAnsi="Times New Roman" w:cs="Times New Roman"/>
          <w:sz w:val="28"/>
          <w:szCs w:val="28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</w:t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  <w:tab/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</w:r>
      <w:r/>
    </w:p>
    <w:p>
      <w:pPr>
        <w:spacing w:lineRule="auto" w:line="240" w:after="0"/>
        <w:tabs>
          <w:tab w:val="left" w:pos="3585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Calibri" w:hAnsi="Calibri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53975</wp:posOffset>
                </wp:positionV>
                <wp:extent cx="635" cy="635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251671552;o:allowoverlap:true;o:allowincell:false;mso-position-horizontal-relative:text;margin-left:536.4pt;mso-position-horizontal:absolute;mso-position-vertical-relative:text;margin-top:4.2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2">
    <w:multiLevelType w:val="hybridMultilevel"/>
    <w:lvl w:ilvl="0">
      <w:start w:val="2018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02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multiLevelType w:val="hybridMultilevel"/>
    <w:lvl w:ilvl="0">
      <w:start w:val="2018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826"/>
    <w:link w:val="825"/>
    <w:uiPriority w:val="9"/>
    <w:rPr>
      <w:rFonts w:ascii="Arial" w:hAnsi="Arial" w:cs="Arial" w:eastAsia="Arial"/>
      <w:sz w:val="40"/>
      <w:szCs w:val="40"/>
    </w:rPr>
  </w:style>
  <w:style w:type="paragraph" w:styleId="653">
    <w:name w:val="Heading 2"/>
    <w:basedOn w:val="824"/>
    <w:next w:val="824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4">
    <w:name w:val="Heading 2 Char"/>
    <w:basedOn w:val="826"/>
    <w:link w:val="653"/>
    <w:uiPriority w:val="9"/>
    <w:rPr>
      <w:rFonts w:ascii="Arial" w:hAnsi="Arial" w:cs="Arial" w:eastAsia="Arial"/>
      <w:sz w:val="34"/>
    </w:rPr>
  </w:style>
  <w:style w:type="paragraph" w:styleId="655">
    <w:name w:val="Heading 3"/>
    <w:basedOn w:val="824"/>
    <w:next w:val="824"/>
    <w:link w:val="6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6">
    <w:name w:val="Heading 3 Char"/>
    <w:basedOn w:val="826"/>
    <w:link w:val="655"/>
    <w:uiPriority w:val="9"/>
    <w:rPr>
      <w:rFonts w:ascii="Arial" w:hAnsi="Arial" w:cs="Arial" w:eastAsia="Arial"/>
      <w:sz w:val="30"/>
      <w:szCs w:val="30"/>
    </w:rPr>
  </w:style>
  <w:style w:type="paragraph" w:styleId="657">
    <w:name w:val="Heading 4"/>
    <w:basedOn w:val="824"/>
    <w:next w:val="824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8">
    <w:name w:val="Heading 4 Char"/>
    <w:basedOn w:val="826"/>
    <w:link w:val="657"/>
    <w:uiPriority w:val="9"/>
    <w:rPr>
      <w:rFonts w:ascii="Arial" w:hAnsi="Arial" w:cs="Arial" w:eastAsia="Arial"/>
      <w:b/>
      <w:bCs/>
      <w:sz w:val="26"/>
      <w:szCs w:val="26"/>
    </w:rPr>
  </w:style>
  <w:style w:type="paragraph" w:styleId="659">
    <w:name w:val="Heading 5"/>
    <w:basedOn w:val="824"/>
    <w:next w:val="824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0">
    <w:name w:val="Heading 5 Char"/>
    <w:basedOn w:val="826"/>
    <w:link w:val="659"/>
    <w:uiPriority w:val="9"/>
    <w:rPr>
      <w:rFonts w:ascii="Arial" w:hAnsi="Arial" w:cs="Arial" w:eastAsia="Arial"/>
      <w:b/>
      <w:bCs/>
      <w:sz w:val="24"/>
      <w:szCs w:val="24"/>
    </w:rPr>
  </w:style>
  <w:style w:type="paragraph" w:styleId="661">
    <w:name w:val="Heading 6"/>
    <w:basedOn w:val="824"/>
    <w:next w:val="82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2">
    <w:name w:val="Heading 6 Char"/>
    <w:basedOn w:val="826"/>
    <w:link w:val="661"/>
    <w:uiPriority w:val="9"/>
    <w:rPr>
      <w:rFonts w:ascii="Arial" w:hAnsi="Arial" w:cs="Arial" w:eastAsia="Arial"/>
      <w:b/>
      <w:bCs/>
      <w:sz w:val="22"/>
      <w:szCs w:val="22"/>
    </w:rPr>
  </w:style>
  <w:style w:type="paragraph" w:styleId="663">
    <w:name w:val="Heading 7"/>
    <w:basedOn w:val="824"/>
    <w:next w:val="824"/>
    <w:link w:val="6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4">
    <w:name w:val="Heading 7 Char"/>
    <w:basedOn w:val="82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5">
    <w:name w:val="Heading 8"/>
    <w:basedOn w:val="824"/>
    <w:next w:val="824"/>
    <w:link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6">
    <w:name w:val="Heading 8 Char"/>
    <w:basedOn w:val="826"/>
    <w:link w:val="665"/>
    <w:uiPriority w:val="9"/>
    <w:rPr>
      <w:rFonts w:ascii="Arial" w:hAnsi="Arial" w:cs="Arial" w:eastAsia="Arial"/>
      <w:i/>
      <w:iCs/>
      <w:sz w:val="22"/>
      <w:szCs w:val="22"/>
    </w:rPr>
  </w:style>
  <w:style w:type="paragraph" w:styleId="667">
    <w:name w:val="Heading 9"/>
    <w:basedOn w:val="824"/>
    <w:next w:val="824"/>
    <w:link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>
    <w:name w:val="Heading 9 Char"/>
    <w:basedOn w:val="826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69">
    <w:name w:val="Title"/>
    <w:basedOn w:val="824"/>
    <w:next w:val="824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6"/>
    <w:link w:val="669"/>
    <w:uiPriority w:val="10"/>
    <w:rPr>
      <w:sz w:val="48"/>
      <w:szCs w:val="48"/>
    </w:rPr>
  </w:style>
  <w:style w:type="paragraph" w:styleId="671">
    <w:name w:val="Subtitle"/>
    <w:basedOn w:val="824"/>
    <w:next w:val="824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6"/>
    <w:link w:val="671"/>
    <w:uiPriority w:val="11"/>
    <w:rPr>
      <w:sz w:val="24"/>
      <w:szCs w:val="24"/>
    </w:rPr>
  </w:style>
  <w:style w:type="paragraph" w:styleId="673">
    <w:name w:val="Quote"/>
    <w:basedOn w:val="824"/>
    <w:next w:val="824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4"/>
    <w:next w:val="824"/>
    <w:link w:val="67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6"/>
    <w:link w:val="847"/>
    <w:uiPriority w:val="99"/>
  </w:style>
  <w:style w:type="character" w:styleId="678">
    <w:name w:val="Footer Char"/>
    <w:basedOn w:val="826"/>
    <w:link w:val="849"/>
    <w:uiPriority w:val="99"/>
  </w:style>
  <w:style w:type="paragraph" w:styleId="679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849"/>
    <w:uiPriority w:val="99"/>
  </w:style>
  <w:style w:type="table" w:styleId="681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6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6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paragraph" w:styleId="825">
    <w:name w:val="Heading 1"/>
    <w:basedOn w:val="824"/>
    <w:next w:val="824"/>
    <w:link w:val="842"/>
    <w:qFormat/>
    <w:rPr>
      <w:rFonts w:ascii="Times New Roman" w:hAnsi="Times New Roman" w:cs="Times New Roman" w:eastAsia="Times New Roman"/>
      <w:b/>
      <w:sz w:val="28"/>
      <w:szCs w:val="20"/>
      <w:lang w:val="uk-UA"/>
    </w:rPr>
    <w:pPr>
      <w:jc w:val="center"/>
      <w:keepNext/>
      <w:spacing w:lineRule="auto" w:line="240" w:after="0"/>
      <w:outlineLvl w:val="0"/>
    </w:p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character" w:styleId="829">
    <w:name w:val="Hyperlink"/>
    <w:basedOn w:val="826"/>
    <w:uiPriority w:val="99"/>
    <w:semiHidden/>
    <w:unhideWhenUsed/>
    <w:rPr>
      <w:color w:val="0000FF"/>
      <w:u w:val="single"/>
    </w:rPr>
  </w:style>
  <w:style w:type="paragraph" w:styleId="830">
    <w:name w:val="Normal (Web)"/>
    <w:basedOn w:val="824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31">
    <w:name w:val="FollowedHyperlink"/>
    <w:basedOn w:val="826"/>
    <w:uiPriority w:val="99"/>
    <w:semiHidden/>
    <w:unhideWhenUsed/>
    <w:rPr>
      <w:color w:val="800080" w:themeColor="followedHyperlink"/>
      <w:u w:val="single"/>
    </w:rPr>
  </w:style>
  <w:style w:type="paragraph" w:styleId="832">
    <w:name w:val="Body Text Indent 2"/>
    <w:basedOn w:val="824"/>
    <w:link w:val="833"/>
    <w:rPr>
      <w:rFonts w:ascii="Times New Roman" w:hAnsi="Times New Roman" w:cs="Times New Roman" w:eastAsia="Times New Roman"/>
      <w:i/>
      <w:sz w:val="28"/>
      <w:szCs w:val="20"/>
      <w:lang w:val="uk-UA"/>
    </w:rPr>
    <w:pPr>
      <w:ind w:firstLine="709"/>
      <w:jc w:val="both"/>
      <w:spacing w:lineRule="auto" w:line="240" w:after="0"/>
    </w:pPr>
  </w:style>
  <w:style w:type="character" w:styleId="833" w:customStyle="1">
    <w:name w:val="Основной текст с отступом 2 Знак"/>
    <w:basedOn w:val="826"/>
    <w:link w:val="832"/>
    <w:rPr>
      <w:rFonts w:ascii="Times New Roman" w:hAnsi="Times New Roman" w:cs="Times New Roman" w:eastAsia="Times New Roman"/>
      <w:i/>
      <w:sz w:val="28"/>
      <w:szCs w:val="20"/>
      <w:lang w:val="uk-UA"/>
    </w:rPr>
  </w:style>
  <w:style w:type="paragraph" w:styleId="834">
    <w:name w:val="No Spacing"/>
    <w:qFormat/>
    <w:rPr>
      <w:rFonts w:ascii="Calibri" w:hAnsi="Calibri" w:cs="Times New Roman" w:eastAsia="Calibri"/>
      <w:lang w:eastAsia="en-US"/>
    </w:rPr>
    <w:pPr>
      <w:spacing w:lineRule="auto" w:line="240" w:after="0"/>
    </w:pPr>
  </w:style>
  <w:style w:type="character" w:styleId="835" w:customStyle="1">
    <w:name w:val="Font Style11"/>
    <w:rPr>
      <w:rFonts w:ascii="Times New Roman" w:hAnsi="Times New Roman" w:cs="Times New Roman"/>
      <w:sz w:val="26"/>
      <w:szCs w:val="26"/>
    </w:rPr>
  </w:style>
  <w:style w:type="character" w:styleId="836" w:customStyle="1">
    <w:name w:val="docdata"/>
    <w:basedOn w:val="826"/>
  </w:style>
  <w:style w:type="paragraph" w:styleId="837" w:customStyle="1">
    <w:name w:val="2368"/>
    <w:basedOn w:val="82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 w:customStyle="1">
    <w:name w:val="2366"/>
    <w:basedOn w:val="82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39" w:customStyle="1">
    <w:name w:val="text_exposed_show"/>
    <w:basedOn w:val="826"/>
  </w:style>
  <w:style w:type="paragraph" w:styleId="840">
    <w:name w:val="Body Text"/>
    <w:basedOn w:val="824"/>
    <w:link w:val="841"/>
    <w:uiPriority w:val="99"/>
    <w:semiHidden/>
    <w:unhideWhenUsed/>
    <w:pPr>
      <w:spacing w:after="120"/>
    </w:pPr>
  </w:style>
  <w:style w:type="character" w:styleId="841" w:customStyle="1">
    <w:name w:val="Основной текст Знак"/>
    <w:basedOn w:val="826"/>
    <w:link w:val="840"/>
    <w:uiPriority w:val="99"/>
    <w:semiHidden/>
  </w:style>
  <w:style w:type="character" w:styleId="842" w:customStyle="1">
    <w:name w:val="Заголовок 1 Знак"/>
    <w:basedOn w:val="826"/>
    <w:link w:val="825"/>
    <w:rPr>
      <w:rFonts w:ascii="Times New Roman" w:hAnsi="Times New Roman" w:cs="Times New Roman" w:eastAsia="Times New Roman"/>
      <w:b/>
      <w:sz w:val="28"/>
      <w:szCs w:val="20"/>
      <w:lang w:val="uk-UA"/>
    </w:rPr>
  </w:style>
  <w:style w:type="paragraph" w:styleId="843">
    <w:name w:val="Balloon Text"/>
    <w:basedOn w:val="824"/>
    <w:link w:val="84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4" w:customStyle="1">
    <w:name w:val="Текст выноски Знак"/>
    <w:basedOn w:val="826"/>
    <w:link w:val="843"/>
    <w:uiPriority w:val="99"/>
    <w:semiHidden/>
    <w:rPr>
      <w:rFonts w:ascii="Tahoma" w:hAnsi="Tahoma" w:cs="Tahoma"/>
      <w:sz w:val="16"/>
      <w:szCs w:val="16"/>
    </w:rPr>
  </w:style>
  <w:style w:type="paragraph" w:styleId="845" w:customStyle="1">
    <w:name w:val="13358"/>
    <w:basedOn w:val="82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6">
    <w:name w:val="List Paragraph"/>
    <w:basedOn w:val="824"/>
    <w:qFormat/>
    <w:uiPriority w:val="34"/>
    <w:pPr>
      <w:contextualSpacing w:val="true"/>
      <w:ind w:left="720"/>
    </w:pPr>
  </w:style>
  <w:style w:type="paragraph" w:styleId="847">
    <w:name w:val="Header"/>
    <w:basedOn w:val="824"/>
    <w:link w:val="84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26"/>
    <w:link w:val="847"/>
    <w:uiPriority w:val="99"/>
  </w:style>
  <w:style w:type="paragraph" w:styleId="849">
    <w:name w:val="Footer"/>
    <w:basedOn w:val="824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26"/>
    <w:link w:val="84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B5382E8-4527-4EDD-980D-42A9A7F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Інститут Модернізації та Змісту освіти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Жураковська Альона Володимирівна</cp:lastModifiedBy>
  <cp:revision>123</cp:revision>
  <dcterms:created xsi:type="dcterms:W3CDTF">2018-09-25T12:57:00Z</dcterms:created>
  <dcterms:modified xsi:type="dcterms:W3CDTF">2021-08-13T05:13:26Z</dcterms:modified>
</cp:coreProperties>
</file>