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>
        <w:rPr>
          <w:rFonts w:ascii="Times New Roman" w:hAnsi="Times New Roman" w:cs="Mangal" w:eastAsia="Lucida Sans Unicode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830" cy="749300"/>
                <wp:effectExtent l="19050" t="0" r="762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483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59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31 серпня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м. Мена                                №</w:t>
      </w:r>
      <w:r/>
    </w:p>
    <w:p>
      <w:pPr>
        <w:contextualSpacing w:val="true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матеріальної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Людмили Петрівни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Бойкової Валентини Василівни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Костюченко Дареджан Олександрівни (м. Мена),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Шелудько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Олександровича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Зінченко Ганни Іванівни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Гаврищук Світлана Василівна (смт. Макошине), Шарамко Ганни Іванівни (с. Ушня), Костюченко Тетяни Миколаївни (с. Ушня) та подані документи, враховуючи матеріально-побутові умови проживання та скрутне матеріальне становище,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28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>
        <w:rPr>
          <w:sz w:val="28"/>
        </w:rPr>
      </w:r>
      <w:r/>
    </w:p>
    <w:p>
      <w:pPr>
        <w:pStyle w:val="819"/>
        <w:numPr>
          <w:ilvl w:val="0"/>
          <w:numId w:val="1"/>
        </w:num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громадянам:</w:t>
      </w:r>
      <w:r>
        <w:rPr>
          <w:sz w:val="28"/>
        </w:rPr>
      </w:r>
      <w:r/>
    </w:p>
    <w:p>
      <w:pPr>
        <w:contextualSpacing w:val="true"/>
        <w:jc w:val="both"/>
        <w:spacing w:lineRule="auto" w:line="240" w:after="240" w:befor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Данюк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Людмилі Петрівні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(м.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Мена),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сумі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000,00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грн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.</w:t>
      </w:r>
      <w:r>
        <w:rPr>
          <w:sz w:val="28"/>
        </w:rPr>
      </w:r>
      <w:r/>
    </w:p>
    <w:p>
      <w:pPr>
        <w:contextualSpacing w:val="true"/>
        <w:jc w:val="both"/>
        <w:spacing w:lineRule="auto" w:line="240" w:after="240"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Бойковій Валентині Василівні (м.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 сумі 3000,00 грн.</w:t>
      </w:r>
      <w:r>
        <w:rPr>
          <w:sz w:val="28"/>
        </w:rPr>
      </w:r>
      <w:r/>
    </w:p>
    <w:p>
      <w:pPr>
        <w:contextualSpacing w:val="true"/>
        <w:jc w:val="both"/>
        <w:spacing w:lineRule="auto" w:line="240" w:after="240" w:before="24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Зінченко Ганні Іванівні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 сумі 2000,00 грн.</w:t>
      </w:r>
      <w:r>
        <w:rPr>
          <w:sz w:val="28"/>
        </w:rPr>
      </w:r>
      <w:r/>
    </w:p>
    <w:p>
      <w:pPr>
        <w:contextualSpacing w:val="true"/>
        <w:jc w:val="both"/>
        <w:spacing w:lineRule="auto" w:line="240" w:after="240" w:before="24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Гаврищук Світлана Василівна (смт. Макошине), в сумі 2000,00 грн.</w:t>
      </w:r>
      <w:r>
        <w:rPr>
          <w:color w:val="auto"/>
          <w:sz w:val="28"/>
        </w:rPr>
      </w:r>
      <w:r/>
    </w:p>
    <w:p>
      <w:pPr>
        <w:contextualSpacing w:val="true"/>
        <w:jc w:val="both"/>
        <w:spacing w:lineRule="auto" w:line="240" w:after="240" w:before="24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Шарамко Ганні Іванівні (с. Ушня), в сумі 4000,00 грн.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</w:r>
      <w:r/>
    </w:p>
    <w:p>
      <w:pPr>
        <w:contextualSpacing w:val="true"/>
        <w:jc w:val="both"/>
        <w:spacing w:lineRule="auto" w:line="240" w:after="240" w:before="240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  <w:t xml:space="preserve">Костюченко Тетяні Миколаївні (с. Ушня), в сумі 5000,00 грн.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uk-UA"/>
        </w:rPr>
      </w:r>
      <w:r/>
    </w:p>
    <w:p>
      <w:pPr>
        <w:contextualSpacing w:val="true"/>
        <w:ind w:left="0" w:right="0" w:firstLine="425"/>
        <w:jc w:val="both"/>
        <w:spacing w:after="0" w:before="0"/>
        <w:tabs>
          <w:tab w:val="left" w:pos="1134" w:leader="none"/>
        </w:tabs>
        <w:rPr>
          <w:color w:val="auto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auto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Відмовити в наданні матеріальної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грошової допомоги Костюченко Дареджан Олександрівні та Шелудько Ігорю Олександровичу у зв’язку з тим, що згідно поданих документів у заявників не вбачається настання скрутної життєвої ситуації (яка перешкоджає їх нормальній життєдіяльності і яку вони не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ожуть подолати самостійно). Розмір їхнього доходу не є нижчим розміру прожиткового мінімуму, встановленого для відповідної категорії громадян, що дозволяє самостійно покрити витрати на лікування.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</w:t>
      </w:r>
      <w:r>
        <w:rPr>
          <w:sz w:val="28"/>
        </w:rPr>
      </w:r>
      <w:r/>
    </w:p>
    <w:p>
      <w:pPr>
        <w:contextualSpacing w:val="true"/>
        <w:ind w:left="0" w:right="0" w:firstLine="425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Надання допомоги здійснити шляхом перерахування коштів в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установленому порядку з урахуванням утриманих податків та зборів.</w:t>
      </w:r>
      <w:r>
        <w:rPr>
          <w:color w:val="auto"/>
        </w:rPr>
      </w:r>
      <w:r/>
    </w:p>
    <w:p>
      <w:pPr>
        <w:contextualSpacing w:val="true"/>
        <w:ind w:left="0" w:right="0" w:firstLine="425"/>
        <w:jc w:val="both"/>
        <w:spacing w:lineRule="auto" w:line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 А. </w:t>
      </w:r>
      <w:r>
        <w:rPr>
          <w:color w:val="auto"/>
          <w:sz w:val="28"/>
        </w:rPr>
      </w:r>
      <w:r/>
    </w:p>
    <w:p>
      <w:pPr>
        <w:pStyle w:val="81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819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Г. А. Примаков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Бернадська Тетяна Анатоліївна</cp:lastModifiedBy>
  <cp:revision>11</cp:revision>
  <dcterms:created xsi:type="dcterms:W3CDTF">2021-08-02T05:59:00Z</dcterms:created>
  <dcterms:modified xsi:type="dcterms:W3CDTF">2021-08-30T11:12:42Z</dcterms:modified>
</cp:coreProperties>
</file>