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rPr>
          <w:color w:val="000000"/>
          <w:sz w:val="28"/>
        </w:rPr>
      </w:pPr>
      <w:r>
        <w:rPr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(сьома сесія восьмого скликання)</w:t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ПРОЕКТ  РІШЕННЯ</w:t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оперативне управління відділу культури Менської міської ради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покращення умов обслуговування користувачів, умов роботи працівників та зберігання книжкового фонду у філіях Комунального закладу «Менська публічна бібліотека»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Господарського кодексу України, ст.ст. 26, 60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bCs/>
          <w:sz w:val="28"/>
          <w:szCs w:val="24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 право оперативного управління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 на майно, що належить до комунальної власності Менської міської територіальної громади,</w:t>
      </w:r>
      <w:r>
        <w:rPr>
          <w:sz w:val="28"/>
          <w:szCs w:val="28"/>
        </w:rPr>
        <w:t xml:space="preserve"> згідно додатку 1.</w:t>
      </w:r>
      <w:r>
        <w:rPr>
          <w:bCs/>
          <w:sz w:val="28"/>
          <w:szCs w:val="24"/>
        </w:rPr>
        <w:t xml:space="preserve"> 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оперативне управління відділу культури</w:t>
      </w:r>
      <w:r>
        <w:rPr>
          <w:sz w:val="28"/>
          <w:szCs w:val="28"/>
        </w:rPr>
        <w:t xml:space="preserve"> Менської міської ради майно відповідно до переліку, наведеному у додатку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до даного рішення, що належить до комунальної власності Менської міської  територіальної громади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метою </w:t>
      </w:r>
      <w:r>
        <w:rPr>
          <w:sz w:val="28"/>
          <w:szCs w:val="28"/>
        </w:rPr>
        <w:t xml:space="preserve">розміщення бібліотек-філій КЗ «Менська публічна бібліотека».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створю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ться розпорядженням міського голови</w:t>
      </w:r>
      <w:r>
        <w:rPr>
          <w:sz w:val="28"/>
          <w:szCs w:val="28"/>
        </w:rPr>
        <w:t xml:space="preserve"> та наказом начальника відділу освіти Менської міської ради.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Г.А.:</w:t>
      </w:r>
      <w:r/>
    </w:p>
    <w:p>
      <w:pPr>
        <w:pStyle w:val="565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565"/>
        <w:numPr>
          <w:ilvl w:val="0"/>
          <w:numId w:val="11"/>
        </w:numPr>
        <w:ind w:left="0" w:firstLine="708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додатку до рішення, </w:t>
      </w:r>
      <w:r>
        <w:rPr>
          <w:sz w:val="28"/>
          <w:szCs w:val="28"/>
        </w:rPr>
        <w:t xml:space="preserve"> на праві </w:t>
      </w:r>
      <w:r>
        <w:rPr>
          <w:sz w:val="28"/>
          <w:szCs w:val="28"/>
        </w:rPr>
        <w:t xml:space="preserve">оперативного управління за відділом культури Менської міської ради.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</w:t>
      </w:r>
      <w:r>
        <w:rPr>
          <w:color w:val="000000"/>
          <w:sz w:val="28"/>
          <w:szCs w:val="28"/>
        </w:rPr>
        <w:t xml:space="preserve">Гаєвого С.М. та </w:t>
      </w:r>
      <w:r>
        <w:rPr>
          <w:color w:val="000000"/>
          <w:sz w:val="28"/>
          <w:szCs w:val="28"/>
        </w:rPr>
        <w:t xml:space="preserve">Прищепу В.В.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</w:rPr>
        <w:pBdr>
          <w:right w:val="none" w:color="000000" w:sz="4" w:space="10"/>
        </w:pBd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Г.А.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Примаков</w:t>
      </w:r>
      <w:r/>
    </w:p>
    <w:p>
      <w:pPr>
        <w:rPr>
          <w:sz w:val="18"/>
          <w:szCs w:val="24"/>
        </w:rPr>
      </w:pPr>
      <w:r>
        <w:rPr>
          <w:sz w:val="18"/>
        </w:rPr>
        <w:br w:type="page"/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1 до рішення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сесії Менської міської ради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скликання від </w:t>
      </w:r>
      <w:r>
        <w:rPr>
          <w:sz w:val="22"/>
          <w:szCs w:val="24"/>
        </w:rPr>
        <w:t xml:space="preserve">30 липня</w:t>
      </w:r>
      <w:r>
        <w:rPr>
          <w:sz w:val="22"/>
          <w:szCs w:val="24"/>
        </w:rPr>
        <w:t xml:space="preserve"> 202</w:t>
      </w:r>
      <w:r>
        <w:rPr>
          <w:sz w:val="22"/>
          <w:szCs w:val="24"/>
        </w:rPr>
        <w:t xml:space="preserve">1</w:t>
      </w:r>
      <w:r>
        <w:rPr>
          <w:sz w:val="22"/>
          <w:szCs w:val="24"/>
        </w:rPr>
        <w:t xml:space="preserve"> року </w:t>
      </w:r>
      <w:r>
        <w:rPr>
          <w:sz w:val="22"/>
          <w:szCs w:val="24"/>
        </w:rPr>
        <w:t xml:space="preserve">№ ____ </w:t>
      </w:r>
      <w:r>
        <w:rPr>
          <w:sz w:val="22"/>
          <w:szCs w:val="28"/>
        </w:rPr>
        <w:t xml:space="preserve">“Про </w:t>
      </w:r>
      <w:r>
        <w:rPr>
          <w:sz w:val="22"/>
          <w:szCs w:val="28"/>
        </w:rPr>
        <w:t xml:space="preserve">передачу майна в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оперативне управління відділу культури Менської міської ради</w:t>
      </w:r>
      <w:r>
        <w:rPr>
          <w:sz w:val="22"/>
          <w:szCs w:val="28"/>
        </w:rPr>
        <w:t xml:space="preserve">” </w:t>
      </w:r>
      <w:r/>
    </w:p>
    <w:p>
      <w:pPr>
        <w:ind w:right="-1412"/>
        <w:jc w:val="center"/>
      </w:pPr>
      <w:r/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 яке припинено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право </w:t>
      </w:r>
      <w:r>
        <w:rPr>
          <w:b/>
          <w:sz w:val="28"/>
          <w:szCs w:val="24"/>
        </w:rPr>
        <w:t xml:space="preserve">оперативн</w:t>
      </w:r>
      <w:r>
        <w:rPr>
          <w:b/>
          <w:sz w:val="28"/>
          <w:szCs w:val="24"/>
        </w:rPr>
        <w:t xml:space="preserve">ого</w:t>
      </w:r>
      <w:r>
        <w:rPr>
          <w:b/>
          <w:sz w:val="28"/>
          <w:szCs w:val="24"/>
        </w:rPr>
        <w:t xml:space="preserve"> управління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відділу </w:t>
      </w:r>
      <w:r>
        <w:rPr>
          <w:b/>
          <w:sz w:val="28"/>
          <w:szCs w:val="24"/>
        </w:rPr>
        <w:t xml:space="preserve">освіти</w:t>
      </w:r>
      <w:r>
        <w:rPr>
          <w:b/>
          <w:sz w:val="28"/>
          <w:szCs w:val="24"/>
        </w:rPr>
        <w:t xml:space="preserve"> Менської міської ради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8"/>
        <w:ind w:left="360"/>
        <w:jc w:val="both"/>
        <w:spacing w:after="0" w:afterAutospacing="0" w:before="0" w:before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Майно колишньої школи в с. Ушня.</w:t>
      </w:r>
      <w:r/>
    </w:p>
    <w:p>
      <w:pPr>
        <w:pStyle w:val="638"/>
        <w:ind w:left="360" w:firstLine="3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 школи №2 в с. Ушня, інвентарний номер – 10310003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09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 котельні, інвентарний номер – 10310012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 їдальні, інвентарний номер – 10310009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 водогрійний, інвентарний номер – 10490003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 опалювальний, інвентарний номер – 101490012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асос, інвентарний номер 10490005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горожа 200м., інвентарний номер – 10330002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уалет, інвентарний номер – 10310011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38"/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 xml:space="preserve">Майно колишнього </w:t>
      </w:r>
      <w:r>
        <w:rPr>
          <w:color w:val="000000"/>
          <w:sz w:val="28"/>
          <w:szCs w:val="28"/>
          <w:u w:val="single"/>
          <w:lang w:val="uk-UA"/>
        </w:rPr>
        <w:t xml:space="preserve">дитячого </w:t>
      </w:r>
      <w:r>
        <w:rPr>
          <w:color w:val="000000"/>
          <w:sz w:val="28"/>
          <w:szCs w:val="28"/>
          <w:u w:val="single"/>
          <w:lang w:val="uk-UA"/>
        </w:rPr>
        <w:t xml:space="preserve">садка в с.Городище: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 дитсадка, інвентарний номер – 0101310007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отел, інвентарний номер – 011130078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омпа, інвентарний номер – 011130079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7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танція, інвентарний номер – 011130080.</w:t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</w:t>
      </w:r>
      <w:r>
        <w:rPr>
          <w:sz w:val="22"/>
          <w:szCs w:val="24"/>
        </w:rPr>
        <w:t xml:space="preserve">2</w:t>
      </w:r>
      <w:r>
        <w:rPr>
          <w:sz w:val="22"/>
          <w:szCs w:val="24"/>
        </w:rPr>
        <w:t xml:space="preserve"> до рішення 8 сесії Менської міської ради 8 скликання від 30 липня 2021 року № ____ </w:t>
      </w:r>
      <w:r>
        <w:rPr>
          <w:sz w:val="22"/>
          <w:szCs w:val="28"/>
        </w:rPr>
        <w:t xml:space="preserve">“Про передачу майна в оперативне управління відділу культури Менської міської ради” </w:t>
      </w:r>
      <w:r/>
    </w:p>
    <w:p>
      <w:pPr>
        <w:ind w:right="-1412"/>
        <w:jc w:val="center"/>
      </w:pPr>
      <w:r/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оперативне управління відділу культури Менської міської ради </w:t>
      </w:r>
      <w:r/>
    </w:p>
    <w:p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 xml:space="preserve">для розміщення </w:t>
      </w:r>
      <w:r>
        <w:rPr>
          <w:b/>
          <w:bCs/>
          <w:sz w:val="28"/>
          <w:szCs w:val="28"/>
        </w:rPr>
        <w:t xml:space="preserve">бібліотек-філій КЗ «Менська публічна бібліотека»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pStyle w:val="565"/>
        <w:jc w:val="both"/>
        <w:rPr>
          <w:bCs/>
          <w:sz w:val="28"/>
          <w:szCs w:val="24"/>
          <w:u w:val="single"/>
        </w:rPr>
      </w:pPr>
      <w:r>
        <w:rPr>
          <w:bCs/>
          <w:sz w:val="28"/>
          <w:szCs w:val="24"/>
          <w:u w:val="single"/>
        </w:rPr>
        <w:t xml:space="preserve">Із оперативного управління відділу освіти Менської міської ради: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Нежитлове </w:t>
      </w:r>
      <w:r>
        <w:rPr>
          <w:color w:val="000000"/>
          <w:sz w:val="28"/>
          <w:szCs w:val="28"/>
        </w:rPr>
        <w:t xml:space="preserve">приміщення в с. Ушня, інвентарний номер – 10310003</w:t>
      </w:r>
      <w:r>
        <w:rPr>
          <w:color w:val="000000"/>
          <w:sz w:val="28"/>
          <w:szCs w:val="28"/>
          <w:lang w:val="uk-UA"/>
        </w:rPr>
        <w:t xml:space="preserve"> (колишнє приміщення школи № 2).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</w:rPr>
        <w:t xml:space="preserve">риміщення котельні, інвентарний номер – 10310012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</w:rPr>
        <w:t xml:space="preserve">риміщення їдальні, інвентарний номер – 10310009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</w:rPr>
        <w:t xml:space="preserve">отел водогрійний, інвентарний номер – 10490003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</w:rPr>
        <w:t xml:space="preserve">отел опалювальний, інвентарний номер – 101490012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</w:rPr>
        <w:t xml:space="preserve">асос, інвентарний номер 10490005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</w:rPr>
        <w:t xml:space="preserve">горожа 200м., інвентарний номер – 10330002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</w:rPr>
        <w:t xml:space="preserve">уалет, інвентарний номер – 10310011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Нежитлове п</w:t>
      </w:r>
      <w:r>
        <w:rPr>
          <w:color w:val="000000"/>
          <w:sz w:val="28"/>
          <w:szCs w:val="28"/>
        </w:rPr>
        <w:t xml:space="preserve">риміщення, інвентарний номер – 0101310007</w:t>
      </w:r>
      <w:r>
        <w:rPr>
          <w:color w:val="000000"/>
          <w:sz w:val="28"/>
          <w:szCs w:val="28"/>
          <w:lang w:val="uk-UA"/>
        </w:rPr>
        <w:t xml:space="preserve"> (колишнє приміщення дитячого садка)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  <w:tabs>
          <w:tab w:val="left" w:pos="851" w:leader="none"/>
        </w:tabs>
      </w:pPr>
      <w:r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</w:rPr>
        <w:t xml:space="preserve">отел, інвентарний номер – 011130078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  <w:tabs>
          <w:tab w:val="left" w:pos="851" w:leader="none"/>
        </w:tabs>
      </w:pP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</w:rPr>
        <w:t xml:space="preserve">омпа, інвентарний номер – 011130079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8"/>
        <w:numPr>
          <w:ilvl w:val="0"/>
          <w:numId w:val="18"/>
        </w:numPr>
        <w:ind w:left="0" w:firstLine="426"/>
        <w:jc w:val="both"/>
        <w:spacing w:after="0" w:afterAutospacing="0" w:before="0" w:beforeAutospacing="0"/>
        <w:tabs>
          <w:tab w:val="left" w:pos="851" w:leader="none"/>
        </w:tabs>
      </w:pPr>
      <w:r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</w:rPr>
        <w:t xml:space="preserve">танція, інвентарний номер – 011130080.</w:t>
      </w:r>
      <w:r/>
    </w:p>
    <w:p>
      <w:pPr>
        <w:pStyle w:val="638"/>
        <w:ind w:left="144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8"/>
        <w:ind w:left="144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8"/>
        <w:ind w:left="709"/>
        <w:jc w:val="both"/>
        <w:spacing w:after="0" w:afterAutospacing="0" w:before="0" w:beforeAutospacing="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Із балансу Менської міської ради:</w:t>
      </w:r>
      <w:r/>
    </w:p>
    <w:p>
      <w:pPr>
        <w:pStyle w:val="56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Дві кімнати в приміщенні Бірківського старостату площею 44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 та 15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6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Дві кімнати в приміщенні Величківського старостату </w:t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площею 19,8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 та 39,2 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6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Частину зали засідань в приміщенні Данилівського старостату </w:t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площею 10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65"/>
        <w:numPr>
          <w:ilvl w:val="0"/>
          <w:numId w:val="12"/>
        </w:numPr>
        <w:jc w:val="both"/>
        <w:rPr>
          <w:bCs/>
          <w:sz w:val="28"/>
          <w:szCs w:val="24"/>
        </w:rPr>
      </w:pPr>
      <w:r/>
      <w:bookmarkStart w:id="0" w:name="_GoBack"/>
      <w:r/>
      <w:bookmarkEnd w:id="0"/>
      <w:r>
        <w:rPr>
          <w:bCs/>
          <w:sz w:val="28"/>
          <w:szCs w:val="24"/>
        </w:rPr>
        <w:t xml:space="preserve">Кімната в приміщенні Волосківського старостату площею 15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6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sectPr>
      <w:footnotePr/>
      <w:type w:val="nextPage"/>
      <w:pgSz w:w="11906" w:h="16838" w:orient="portrait"/>
      <w:pgMar w:top="851" w:right="707" w:bottom="851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pStyle w:val="547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21"/>
    <w:next w:val="421"/>
    <w:link w:val="5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21"/>
    <w:next w:val="421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21"/>
    <w:next w:val="421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21"/>
    <w:next w:val="421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21"/>
    <w:next w:val="421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21"/>
    <w:next w:val="421"/>
    <w:link w:val="5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21"/>
    <w:next w:val="421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21"/>
    <w:next w:val="421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21"/>
    <w:next w:val="421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421"/>
    <w:link w:val="5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21"/>
    <w:link w:val="5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1" w:default="1">
    <w:name w:val="Normal"/>
    <w:qFormat/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table" w:styleId="425" w:customStyle="1">
    <w:name w:val="Table Grid Light"/>
    <w:basedOn w:val="42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6" w:customStyle="1">
    <w:name w:val="Звичайна таблиця 11"/>
    <w:basedOn w:val="42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 w:customStyle="1">
    <w:name w:val="Звичайна таблиця 21"/>
    <w:basedOn w:val="42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 w:customStyle="1">
    <w:name w:val="Звичайна таблиця 31"/>
    <w:basedOn w:val="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 w:customStyle="1">
    <w:name w:val="Звичайна таблиця 41"/>
    <w:basedOn w:val="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Звичайна таблиця 51"/>
    <w:basedOn w:val="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 w:customStyle="1">
    <w:name w:val="Таблиця-сітка 1 (світла)1"/>
    <w:basedOn w:val="42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1"/>
    <w:basedOn w:val="42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2"/>
    <w:basedOn w:val="42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3"/>
    <w:basedOn w:val="42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4"/>
    <w:basedOn w:val="42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5"/>
    <w:basedOn w:val="42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6"/>
    <w:basedOn w:val="42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Таблиця-сітка 21"/>
    <w:basedOn w:val="42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1"/>
    <w:basedOn w:val="42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2"/>
    <w:basedOn w:val="42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3"/>
    <w:basedOn w:val="42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4"/>
    <w:basedOn w:val="42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5"/>
    <w:basedOn w:val="42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6"/>
    <w:basedOn w:val="42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Таблиця-сітка 31"/>
    <w:basedOn w:val="42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1"/>
    <w:basedOn w:val="42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2"/>
    <w:basedOn w:val="42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3"/>
    <w:basedOn w:val="42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4"/>
    <w:basedOn w:val="42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5"/>
    <w:basedOn w:val="42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6"/>
    <w:basedOn w:val="42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Таблиця-сітка 41"/>
    <w:basedOn w:val="42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 w:customStyle="1">
    <w:name w:val="Grid Table 4 - Accent 1"/>
    <w:basedOn w:val="42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4" w:customStyle="1">
    <w:name w:val="Grid Table 4 - Accent 2"/>
    <w:basedOn w:val="42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5" w:customStyle="1">
    <w:name w:val="Grid Table 4 - Accent 3"/>
    <w:basedOn w:val="42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6" w:customStyle="1">
    <w:name w:val="Grid Table 4 - Accent 4"/>
    <w:basedOn w:val="42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7" w:customStyle="1">
    <w:name w:val="Grid Table 4 - Accent 5"/>
    <w:basedOn w:val="42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8" w:customStyle="1">
    <w:name w:val="Grid Table 4 - Accent 6"/>
    <w:basedOn w:val="42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9" w:customStyle="1">
    <w:name w:val="Таблиця-сітка 5 (темна)1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1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2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3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4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5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6"/>
    <w:basedOn w:val="4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6" w:customStyle="1">
    <w:name w:val="Таблиця-сітка 6 (кольорова)1"/>
    <w:basedOn w:val="42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7" w:customStyle="1">
    <w:name w:val="Grid Table 6 Colorful - Accent 1"/>
    <w:basedOn w:val="42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8" w:customStyle="1">
    <w:name w:val="Grid Table 6 Colorful - Accent 2"/>
    <w:basedOn w:val="42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9" w:customStyle="1">
    <w:name w:val="Grid Table 6 Colorful - Accent 3"/>
    <w:basedOn w:val="42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0" w:customStyle="1">
    <w:name w:val="Grid Table 6 Colorful - Accent 4"/>
    <w:basedOn w:val="42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1" w:customStyle="1">
    <w:name w:val="Grid Table 6 Colorful - Accent 5"/>
    <w:basedOn w:val="42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2" w:customStyle="1">
    <w:name w:val="Grid Table 6 Colorful - Accent 6"/>
    <w:basedOn w:val="42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3" w:customStyle="1">
    <w:name w:val="Таблиця-сітка 7 (кольорова)1"/>
    <w:basedOn w:val="42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1"/>
    <w:basedOn w:val="42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2"/>
    <w:basedOn w:val="42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3"/>
    <w:basedOn w:val="42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4"/>
    <w:basedOn w:val="42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5"/>
    <w:basedOn w:val="42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6"/>
    <w:basedOn w:val="42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Таблиця-список 1 (світлий)1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1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2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3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4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5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6"/>
    <w:basedOn w:val="42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Таблиця-список 21"/>
    <w:basedOn w:val="42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8" w:customStyle="1">
    <w:name w:val="List Table 2 - Accent 1"/>
    <w:basedOn w:val="42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9" w:customStyle="1">
    <w:name w:val="List Table 2 - Accent 2"/>
    <w:basedOn w:val="42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0" w:customStyle="1">
    <w:name w:val="List Table 2 - Accent 3"/>
    <w:basedOn w:val="42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1" w:customStyle="1">
    <w:name w:val="List Table 2 - Accent 4"/>
    <w:basedOn w:val="42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2" w:customStyle="1">
    <w:name w:val="List Table 2 - Accent 5"/>
    <w:basedOn w:val="42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3" w:customStyle="1">
    <w:name w:val="List Table 2 - Accent 6"/>
    <w:basedOn w:val="42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4" w:customStyle="1">
    <w:name w:val="Таблиця-список 31"/>
    <w:basedOn w:val="42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1"/>
    <w:basedOn w:val="42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2"/>
    <w:basedOn w:val="42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3"/>
    <w:basedOn w:val="42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4"/>
    <w:basedOn w:val="42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5"/>
    <w:basedOn w:val="42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6"/>
    <w:basedOn w:val="42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Таблиця-список 41"/>
    <w:basedOn w:val="42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1"/>
    <w:basedOn w:val="42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2"/>
    <w:basedOn w:val="42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3"/>
    <w:basedOn w:val="42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4"/>
    <w:basedOn w:val="42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5"/>
    <w:basedOn w:val="42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6"/>
    <w:basedOn w:val="42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Таблиця-список 5 (темний)1"/>
    <w:basedOn w:val="42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1"/>
    <w:basedOn w:val="42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2"/>
    <w:basedOn w:val="42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3"/>
    <w:basedOn w:val="42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4"/>
    <w:basedOn w:val="42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5"/>
    <w:basedOn w:val="42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6"/>
    <w:basedOn w:val="42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Таблиця-список 6 (кольоровий)1"/>
    <w:basedOn w:val="42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6" w:customStyle="1">
    <w:name w:val="List Table 6 Colorful - Accent 1"/>
    <w:basedOn w:val="42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7" w:customStyle="1">
    <w:name w:val="List Table 6 Colorful - Accent 2"/>
    <w:basedOn w:val="42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8" w:customStyle="1">
    <w:name w:val="List Table 6 Colorful - Accent 3"/>
    <w:basedOn w:val="42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9" w:customStyle="1">
    <w:name w:val="List Table 6 Colorful - Accent 4"/>
    <w:basedOn w:val="42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0" w:customStyle="1">
    <w:name w:val="List Table 6 Colorful - Accent 5"/>
    <w:basedOn w:val="42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1" w:customStyle="1">
    <w:name w:val="List Table 6 Colorful - Accent 6"/>
    <w:basedOn w:val="42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2" w:customStyle="1">
    <w:name w:val="Таблиця-список 7 (кольоровий)1"/>
    <w:basedOn w:val="42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1"/>
    <w:basedOn w:val="42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2"/>
    <w:basedOn w:val="42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3"/>
    <w:basedOn w:val="42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4"/>
    <w:basedOn w:val="42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5"/>
    <w:basedOn w:val="42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6"/>
    <w:basedOn w:val="42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ned - Accent"/>
    <w:basedOn w:val="42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0" w:customStyle="1">
    <w:name w:val="Bordered &amp; Lined - Accent"/>
    <w:basedOn w:val="42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1" w:customStyle="1">
    <w:name w:val="Heading 1 Char"/>
    <w:basedOn w:val="422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Heading 2 Char"/>
    <w:basedOn w:val="422"/>
    <w:uiPriority w:val="9"/>
    <w:rPr>
      <w:rFonts w:ascii="Arial" w:hAnsi="Arial" w:cs="Arial" w:eastAsia="Arial"/>
      <w:sz w:val="34"/>
    </w:rPr>
  </w:style>
  <w:style w:type="character" w:styleId="533" w:customStyle="1">
    <w:name w:val="Heading 3 Char"/>
    <w:basedOn w:val="422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Heading 4 Char"/>
    <w:basedOn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Heading 5 Char"/>
    <w:basedOn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Heading 6 Char"/>
    <w:basedOn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Heading 7 Char"/>
    <w:basedOn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Heading 8 Char"/>
    <w:basedOn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Heading 9 Char"/>
    <w:basedOn w:val="422"/>
    <w:uiPriority w:val="9"/>
    <w:rPr>
      <w:rFonts w:ascii="Arial" w:hAnsi="Arial" w:cs="Arial" w:eastAsia="Arial"/>
      <w:i/>
      <w:iCs/>
      <w:sz w:val="21"/>
      <w:szCs w:val="21"/>
    </w:rPr>
  </w:style>
  <w:style w:type="character" w:styleId="540" w:customStyle="1">
    <w:name w:val="Title Char"/>
    <w:basedOn w:val="422"/>
    <w:uiPriority w:val="10"/>
    <w:rPr>
      <w:sz w:val="48"/>
      <w:szCs w:val="48"/>
    </w:rPr>
  </w:style>
  <w:style w:type="character" w:styleId="541" w:customStyle="1">
    <w:name w:val="Subtitle Char"/>
    <w:basedOn w:val="422"/>
    <w:uiPriority w:val="11"/>
    <w:rPr>
      <w:sz w:val="24"/>
      <w:szCs w:val="24"/>
    </w:rPr>
  </w:style>
  <w:style w:type="character" w:styleId="542" w:customStyle="1">
    <w:name w:val="Quote Char"/>
    <w:uiPriority w:val="29"/>
    <w:rPr>
      <w:i/>
    </w:rPr>
  </w:style>
  <w:style w:type="character" w:styleId="543" w:customStyle="1">
    <w:name w:val="Intense Quote Char"/>
    <w:uiPriority w:val="30"/>
    <w:rPr>
      <w:i/>
    </w:rPr>
  </w:style>
  <w:style w:type="character" w:styleId="544" w:customStyle="1">
    <w:name w:val="Header Char"/>
    <w:basedOn w:val="422"/>
    <w:uiPriority w:val="99"/>
  </w:style>
  <w:style w:type="character" w:styleId="545" w:customStyle="1">
    <w:name w:val="Footer Char"/>
    <w:basedOn w:val="422"/>
    <w:uiPriority w:val="99"/>
  </w:style>
  <w:style w:type="character" w:styleId="546" w:customStyle="1">
    <w:name w:val="Footnote Text Char"/>
    <w:uiPriority w:val="99"/>
    <w:rPr>
      <w:sz w:val="18"/>
    </w:rPr>
  </w:style>
  <w:style w:type="paragraph" w:styleId="547" w:customStyle="1">
    <w:name w:val="Заголовок 11"/>
    <w:basedOn w:val="421"/>
    <w:next w:val="421"/>
    <w:link w:val="55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48" w:customStyle="1">
    <w:name w:val="Заголовок 21"/>
    <w:link w:val="5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49" w:customStyle="1">
    <w:name w:val="Заголовок 31"/>
    <w:link w:val="5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50" w:customStyle="1">
    <w:name w:val="Заголовок 41"/>
    <w:link w:val="5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51" w:customStyle="1">
    <w:name w:val="Заголовок 51"/>
    <w:link w:val="5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52" w:customStyle="1">
    <w:name w:val="Заголовок 61"/>
    <w:link w:val="56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53" w:customStyle="1">
    <w:name w:val="Заголовок 71"/>
    <w:link w:val="56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54" w:customStyle="1">
    <w:name w:val="Заголовок 81"/>
    <w:link w:val="56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55" w:customStyle="1">
    <w:name w:val="Заголовок 91"/>
    <w:link w:val="5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56" w:customStyle="1">
    <w:name w:val="Заголовок 1 Знак"/>
    <w:link w:val="547"/>
    <w:uiPriority w:val="9"/>
    <w:rPr>
      <w:rFonts w:ascii="Arial" w:hAnsi="Arial" w:cs="Arial" w:eastAsia="Arial"/>
      <w:sz w:val="40"/>
      <w:szCs w:val="40"/>
    </w:rPr>
  </w:style>
  <w:style w:type="character" w:styleId="557" w:customStyle="1">
    <w:name w:val="Заголовок 2 Знак"/>
    <w:link w:val="548"/>
    <w:uiPriority w:val="9"/>
    <w:rPr>
      <w:rFonts w:ascii="Arial" w:hAnsi="Arial" w:cs="Arial" w:eastAsia="Arial"/>
      <w:sz w:val="34"/>
    </w:rPr>
  </w:style>
  <w:style w:type="character" w:styleId="558" w:customStyle="1">
    <w:name w:val="Заголовок 3 Знак"/>
    <w:link w:val="549"/>
    <w:uiPriority w:val="9"/>
    <w:rPr>
      <w:rFonts w:ascii="Arial" w:hAnsi="Arial" w:cs="Arial" w:eastAsia="Arial"/>
      <w:sz w:val="30"/>
      <w:szCs w:val="30"/>
    </w:rPr>
  </w:style>
  <w:style w:type="character" w:styleId="559" w:customStyle="1">
    <w:name w:val="Заголовок 4 Знак"/>
    <w:link w:val="550"/>
    <w:uiPriority w:val="9"/>
    <w:rPr>
      <w:rFonts w:ascii="Arial" w:hAnsi="Arial" w:cs="Arial" w:eastAsia="Arial"/>
      <w:b/>
      <w:bCs/>
      <w:sz w:val="26"/>
      <w:szCs w:val="26"/>
    </w:rPr>
  </w:style>
  <w:style w:type="character" w:styleId="560" w:customStyle="1">
    <w:name w:val="Заголовок 5 Знак"/>
    <w:link w:val="551"/>
    <w:uiPriority w:val="9"/>
    <w:rPr>
      <w:rFonts w:ascii="Arial" w:hAnsi="Arial" w:cs="Arial" w:eastAsia="Arial"/>
      <w:b/>
      <w:bCs/>
      <w:sz w:val="24"/>
      <w:szCs w:val="24"/>
    </w:rPr>
  </w:style>
  <w:style w:type="character" w:styleId="561" w:customStyle="1">
    <w:name w:val="Заголовок 6 Знак"/>
    <w:link w:val="552"/>
    <w:uiPriority w:val="9"/>
    <w:rPr>
      <w:rFonts w:ascii="Arial" w:hAnsi="Arial" w:cs="Arial" w:eastAsia="Arial"/>
      <w:b/>
      <w:bCs/>
      <w:sz w:val="22"/>
      <w:szCs w:val="22"/>
    </w:rPr>
  </w:style>
  <w:style w:type="character" w:styleId="562" w:customStyle="1">
    <w:name w:val="Заголовок 7 Знак"/>
    <w:link w:val="5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3" w:customStyle="1">
    <w:name w:val="Заголовок 8 Знак"/>
    <w:link w:val="554"/>
    <w:uiPriority w:val="9"/>
    <w:rPr>
      <w:rFonts w:ascii="Arial" w:hAnsi="Arial" w:cs="Arial" w:eastAsia="Arial"/>
      <w:i/>
      <w:iCs/>
      <w:sz w:val="22"/>
      <w:szCs w:val="22"/>
    </w:rPr>
  </w:style>
  <w:style w:type="character" w:styleId="564" w:customStyle="1">
    <w:name w:val="Заголовок 9 Знак"/>
    <w:link w:val="555"/>
    <w:uiPriority w:val="9"/>
    <w:rPr>
      <w:rFonts w:ascii="Arial" w:hAnsi="Arial" w:cs="Arial" w:eastAsia="Arial"/>
      <w:i/>
      <w:iCs/>
      <w:sz w:val="21"/>
      <w:szCs w:val="21"/>
    </w:rPr>
  </w:style>
  <w:style w:type="paragraph" w:styleId="565">
    <w:name w:val="List Paragraph"/>
    <w:basedOn w:val="421"/>
    <w:pPr>
      <w:ind w:left="720"/>
    </w:pPr>
  </w:style>
  <w:style w:type="paragraph" w:styleId="566">
    <w:name w:val="No Spacing"/>
    <w:qFormat/>
    <w:uiPriority w:val="1"/>
  </w:style>
  <w:style w:type="paragraph" w:styleId="567">
    <w:name w:val="Title"/>
    <w:link w:val="5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68" w:customStyle="1">
    <w:name w:val="Назва Знак"/>
    <w:link w:val="567"/>
    <w:uiPriority w:val="10"/>
    <w:rPr>
      <w:sz w:val="48"/>
      <w:szCs w:val="48"/>
    </w:rPr>
  </w:style>
  <w:style w:type="paragraph" w:styleId="569">
    <w:name w:val="Subtitle"/>
    <w:link w:val="570"/>
    <w:qFormat/>
    <w:uiPriority w:val="11"/>
    <w:rPr>
      <w:sz w:val="24"/>
      <w:szCs w:val="24"/>
    </w:rPr>
    <w:pPr>
      <w:spacing w:after="200" w:before="200"/>
    </w:pPr>
  </w:style>
  <w:style w:type="character" w:styleId="570" w:customStyle="1">
    <w:name w:val="Підзаголовок Знак"/>
    <w:link w:val="569"/>
    <w:uiPriority w:val="11"/>
    <w:rPr>
      <w:sz w:val="24"/>
      <w:szCs w:val="24"/>
    </w:rPr>
  </w:style>
  <w:style w:type="paragraph" w:styleId="571">
    <w:name w:val="Quote"/>
    <w:link w:val="572"/>
    <w:qFormat/>
    <w:uiPriority w:val="29"/>
    <w:rPr>
      <w:i/>
    </w:rPr>
    <w:pPr>
      <w:ind w:left="720" w:right="720"/>
    </w:pPr>
  </w:style>
  <w:style w:type="character" w:styleId="572" w:customStyle="1">
    <w:name w:val="Цитата Знак"/>
    <w:link w:val="571"/>
    <w:uiPriority w:val="29"/>
    <w:rPr>
      <w:i/>
    </w:rPr>
  </w:style>
  <w:style w:type="paragraph" w:styleId="573">
    <w:name w:val="Intense Quote"/>
    <w:link w:val="57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4" w:customStyle="1">
    <w:name w:val="Насичена цитата Знак"/>
    <w:link w:val="573"/>
    <w:uiPriority w:val="30"/>
    <w:rPr>
      <w:i/>
    </w:rPr>
  </w:style>
  <w:style w:type="paragraph" w:styleId="575" w:customStyle="1">
    <w:name w:val="Верхній колонтитул1"/>
    <w:link w:val="5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6" w:customStyle="1">
    <w:name w:val="Верхній колонтитул Знак"/>
    <w:link w:val="575"/>
    <w:uiPriority w:val="99"/>
  </w:style>
  <w:style w:type="paragraph" w:styleId="577" w:customStyle="1">
    <w:name w:val="Нижній колонтитул1"/>
    <w:link w:val="5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8" w:customStyle="1">
    <w:name w:val="Нижній колонтитул Знак"/>
    <w:link w:val="577"/>
    <w:uiPriority w:val="99"/>
  </w:style>
  <w:style w:type="table" w:styleId="5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1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2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3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4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5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6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4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5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6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7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8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9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0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1">
    <w:name w:val="Hyperlink"/>
    <w:uiPriority w:val="99"/>
    <w:unhideWhenUsed/>
    <w:rPr>
      <w:color w:val="0000FF" w:themeColor="hyperlink"/>
      <w:u w:val="single"/>
    </w:rPr>
  </w:style>
  <w:style w:type="paragraph" w:styleId="602">
    <w:name w:val="footnote text"/>
    <w:link w:val="603"/>
    <w:uiPriority w:val="99"/>
    <w:semiHidden/>
    <w:unhideWhenUsed/>
    <w:rPr>
      <w:sz w:val="18"/>
    </w:rPr>
    <w:pPr>
      <w:spacing w:after="40"/>
    </w:pPr>
  </w:style>
  <w:style w:type="character" w:styleId="603" w:customStyle="1">
    <w:name w:val="Текст виноски Знак"/>
    <w:link w:val="602"/>
    <w:uiPriority w:val="99"/>
    <w:rPr>
      <w:sz w:val="18"/>
    </w:rPr>
  </w:style>
  <w:style w:type="character" w:styleId="604">
    <w:name w:val="footnote reference"/>
    <w:uiPriority w:val="99"/>
    <w:unhideWhenUsed/>
    <w:rPr>
      <w:vertAlign w:val="superscript"/>
    </w:rPr>
  </w:style>
  <w:style w:type="paragraph" w:styleId="605">
    <w:name w:val="toc 1"/>
    <w:uiPriority w:val="39"/>
    <w:unhideWhenUsed/>
    <w:pPr>
      <w:spacing w:after="57"/>
    </w:pPr>
  </w:style>
  <w:style w:type="paragraph" w:styleId="606">
    <w:name w:val="toc 2"/>
    <w:uiPriority w:val="39"/>
    <w:unhideWhenUsed/>
    <w:pPr>
      <w:ind w:left="283"/>
      <w:spacing w:after="57"/>
    </w:pPr>
  </w:style>
  <w:style w:type="paragraph" w:styleId="607">
    <w:name w:val="toc 3"/>
    <w:uiPriority w:val="39"/>
    <w:unhideWhenUsed/>
    <w:pPr>
      <w:ind w:left="567"/>
      <w:spacing w:after="57"/>
    </w:pPr>
  </w:style>
  <w:style w:type="paragraph" w:styleId="608">
    <w:name w:val="toc 4"/>
    <w:uiPriority w:val="39"/>
    <w:unhideWhenUsed/>
    <w:pPr>
      <w:ind w:left="850"/>
      <w:spacing w:after="57"/>
    </w:pPr>
  </w:style>
  <w:style w:type="paragraph" w:styleId="609">
    <w:name w:val="toc 5"/>
    <w:uiPriority w:val="39"/>
    <w:unhideWhenUsed/>
    <w:pPr>
      <w:ind w:left="1134"/>
      <w:spacing w:after="57"/>
    </w:pPr>
  </w:style>
  <w:style w:type="paragraph" w:styleId="610">
    <w:name w:val="toc 6"/>
    <w:uiPriority w:val="39"/>
    <w:unhideWhenUsed/>
    <w:pPr>
      <w:ind w:left="1417"/>
      <w:spacing w:after="57"/>
    </w:pPr>
  </w:style>
  <w:style w:type="paragraph" w:styleId="611">
    <w:name w:val="toc 7"/>
    <w:uiPriority w:val="39"/>
    <w:unhideWhenUsed/>
    <w:pPr>
      <w:ind w:left="1701"/>
      <w:spacing w:after="57"/>
    </w:pPr>
  </w:style>
  <w:style w:type="paragraph" w:styleId="612">
    <w:name w:val="toc 8"/>
    <w:uiPriority w:val="39"/>
    <w:unhideWhenUsed/>
    <w:pPr>
      <w:ind w:left="1984"/>
      <w:spacing w:after="57"/>
    </w:pPr>
  </w:style>
  <w:style w:type="paragraph" w:styleId="613">
    <w:name w:val="toc 9"/>
    <w:uiPriority w:val="39"/>
    <w:unhideWhenUsed/>
    <w:pPr>
      <w:ind w:left="2268"/>
      <w:spacing w:after="57"/>
    </w:pPr>
  </w:style>
  <w:style w:type="paragraph" w:styleId="614">
    <w:name w:val="TOC Heading"/>
    <w:uiPriority w:val="39"/>
    <w:unhideWhenUsed/>
  </w:style>
  <w:style w:type="character" w:styleId="615" w:customStyle="1">
    <w:name w:val="Absatz-Standardschriftart"/>
  </w:style>
  <w:style w:type="character" w:styleId="616" w:customStyle="1">
    <w:name w:val="WW-Absatz-Standardschriftart"/>
  </w:style>
  <w:style w:type="character" w:styleId="617" w:customStyle="1">
    <w:name w:val="WW-Absatz-Standardschriftart1"/>
  </w:style>
  <w:style w:type="character" w:styleId="618" w:customStyle="1">
    <w:name w:val="WW-Absatz-Standardschriftart11"/>
  </w:style>
  <w:style w:type="character" w:styleId="619" w:customStyle="1">
    <w:name w:val="WW-Absatz-Standardschriftart111"/>
  </w:style>
  <w:style w:type="character" w:styleId="620" w:customStyle="1">
    <w:name w:val="WW8Num2z0"/>
    <w:rPr>
      <w:rFonts w:ascii="Symbol" w:hAnsi="Symbol"/>
    </w:rPr>
  </w:style>
  <w:style w:type="character" w:styleId="621" w:customStyle="1">
    <w:name w:val="WW8Num2z1"/>
    <w:rPr>
      <w:rFonts w:ascii="OpenSymbol" w:hAnsi="OpenSymbol"/>
    </w:rPr>
  </w:style>
  <w:style w:type="character" w:styleId="622" w:customStyle="1">
    <w:name w:val="WW-Absatz-Standardschriftart1111"/>
  </w:style>
  <w:style w:type="character" w:styleId="623" w:customStyle="1">
    <w:name w:val="WW-Absatz-Standardschriftart11111"/>
  </w:style>
  <w:style w:type="character" w:styleId="624" w:customStyle="1">
    <w:name w:val="WW-Absatz-Standardschriftart111111"/>
  </w:style>
  <w:style w:type="character" w:styleId="625" w:customStyle="1">
    <w:name w:val="WW-Absatz-Standardschriftart1111111"/>
  </w:style>
  <w:style w:type="character" w:styleId="626" w:customStyle="1">
    <w:name w:val="WW-Absatz-Standardschriftart11111111"/>
  </w:style>
  <w:style w:type="character" w:styleId="627" w:customStyle="1">
    <w:name w:val="Основной шрифт абзаца1"/>
  </w:style>
  <w:style w:type="character" w:styleId="628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29" w:customStyle="1">
    <w:name w:val="Маркери списку"/>
    <w:rPr>
      <w:rFonts w:ascii="OpenSymbol" w:hAnsi="OpenSymbol" w:eastAsia="OpenSymbol"/>
    </w:rPr>
  </w:style>
  <w:style w:type="character" w:styleId="630" w:customStyle="1">
    <w:name w:val="Символ нумерації"/>
  </w:style>
  <w:style w:type="paragraph" w:styleId="631" w:customStyle="1">
    <w:name w:val="Заголовок"/>
    <w:basedOn w:val="421"/>
    <w:next w:val="63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32">
    <w:name w:val="Body Text"/>
    <w:basedOn w:val="421"/>
    <w:pPr>
      <w:spacing w:after="120"/>
    </w:pPr>
  </w:style>
  <w:style w:type="paragraph" w:styleId="633">
    <w:name w:val="List"/>
    <w:basedOn w:val="632"/>
  </w:style>
  <w:style w:type="paragraph" w:styleId="634">
    <w:name w:val="caption"/>
    <w:basedOn w:val="421"/>
    <w:rPr>
      <w:i/>
      <w:iCs/>
      <w:sz w:val="24"/>
      <w:szCs w:val="24"/>
    </w:rPr>
    <w:pPr>
      <w:spacing w:after="120" w:before="120"/>
    </w:pPr>
  </w:style>
  <w:style w:type="paragraph" w:styleId="635" w:customStyle="1">
    <w:name w:val="Покажчик"/>
    <w:basedOn w:val="421"/>
  </w:style>
  <w:style w:type="paragraph" w:styleId="636">
    <w:name w:val="Balloon Text"/>
    <w:basedOn w:val="421"/>
    <w:link w:val="63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7" w:customStyle="1">
    <w:name w:val="Текст у виносці Знак"/>
    <w:basedOn w:val="422"/>
    <w:link w:val="636"/>
    <w:uiPriority w:val="99"/>
    <w:semiHidden/>
    <w:rPr>
      <w:rFonts w:ascii="Segoe UI" w:hAnsi="Segoe UI" w:cs="Segoe UI"/>
      <w:sz w:val="18"/>
      <w:szCs w:val="18"/>
    </w:rPr>
  </w:style>
  <w:style w:type="paragraph" w:styleId="638">
    <w:name w:val="Normal (Web)"/>
    <w:basedOn w:val="421"/>
    <w:uiPriority w:val="99"/>
    <w:semiHidden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КРАВЦОВ Валерій Михайлович</cp:lastModifiedBy>
  <cp:revision>8</cp:revision>
  <dcterms:created xsi:type="dcterms:W3CDTF">2021-07-15T15:10:00Z</dcterms:created>
  <dcterms:modified xsi:type="dcterms:W3CDTF">2021-07-30T05:43:23Z</dcterms:modified>
</cp:coreProperties>
</file>