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</w:r>
      <w:r/>
      <w:r/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spacing w:lineRule="atLeast" w:line="22" w:after="0"/>
        <w:tabs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tLeast" w:line="22" w:after="0"/>
        <w:tabs>
          <w:tab w:val="left" w:pos="439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</w:t>
      </w:r>
      <w:r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липня</w:t>
      </w:r>
      <w:r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</w:rPr>
        <w:tab/>
        <w:t xml:space="preserve">№ 254</w:t>
      </w:r>
      <w:r/>
    </w:p>
    <w:p>
      <w:pPr>
        <w:spacing w:lineRule="atLeast" w:line="22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4677" w:firstLine="0"/>
        <w:jc w:val="both"/>
        <w:spacing w:lineRule="atLeast" w:line="22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постійно діючої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питань розгляду звернень громадян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сферах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житлово-комунального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господарства, благоустрою 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 архітектури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вердження Положення про неї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її складу</w:t>
      </w:r>
      <w:r/>
    </w:p>
    <w:p>
      <w:pPr>
        <w:spacing w:lineRule="atLeast" w:line="22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9"/>
        <w:jc w:val="both"/>
        <w:spacing w:lineRule="auto" w:line="276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статтями</w:t>
      </w:r>
      <w:r>
        <w:rPr>
          <w:rFonts w:ascii="Times New Roman" w:hAnsi="Times New Roman"/>
          <w:sz w:val="28"/>
          <w:szCs w:val="28"/>
          <w:lang w:val="uk-UA"/>
        </w:rPr>
        <w:t xml:space="preserve"> 42, 59 Закону України «Про місцеве самоврядування в України», Законом України «Про звернення громадян»</w:t>
      </w:r>
      <w:r>
        <w:rPr>
          <w:rFonts w:ascii="Times New Roman" w:hAnsi="Times New Roman"/>
          <w:sz w:val="28"/>
          <w:szCs w:val="28"/>
          <w:lang w:val="uk-UA"/>
        </w:rPr>
        <w:t xml:space="preserve">, на виконання Указу Президента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07.02.2008 № 109/2008 «Про першочергові заходи щодо забезпечення реалізації та гарантування конституційного права на звернення до органів місцевої влади та органів місцевого самоврядування», з метою спр</w:t>
      </w:r>
      <w:r>
        <w:rPr>
          <w:rFonts w:ascii="Times New Roman" w:hAnsi="Times New Roman"/>
          <w:sz w:val="28"/>
          <w:szCs w:val="28"/>
          <w:lang w:val="uk-UA"/>
        </w:rPr>
        <w:t xml:space="preserve">ияння громадянам у вирішенні питань, з якими вони звертаються до органів місцевого самоврядування, підвищення ефективності роботи зі зверненнями громадян у органах державної влади, а також приведення у відповідність до діючого законодавства власних актів, </w:t>
      </w:r>
      <w:r/>
    </w:p>
    <w:p>
      <w:pPr>
        <w:pStyle w:val="575"/>
        <w:numPr>
          <w:ilvl w:val="0"/>
          <w:numId w:val="5"/>
        </w:numPr>
        <w:ind w:left="0" w:firstLine="709"/>
        <w:jc w:val="both"/>
        <w:spacing w:lineRule="auto" w:line="276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постійно діючу комісію з питань розгляду звернень громадян </w:t>
      </w:r>
      <w:r>
        <w:rPr>
          <w:rFonts w:ascii="Times New Roman" w:hAnsi="Times New Roman"/>
          <w:sz w:val="28"/>
          <w:szCs w:val="28"/>
          <w:lang w:val="uk-UA"/>
        </w:rPr>
        <w:t xml:space="preserve">у сферах житлово-комунального господарства, благоустрою та архітектури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комісія) та затвердити її склад, що додається.</w:t>
      </w:r>
      <w:r/>
    </w:p>
    <w:p>
      <w:pPr>
        <w:pStyle w:val="575"/>
        <w:numPr>
          <w:ilvl w:val="0"/>
          <w:numId w:val="5"/>
        </w:numPr>
        <w:ind w:left="0" w:firstLine="709"/>
        <w:jc w:val="both"/>
        <w:spacing w:lineRule="auto" w:line="276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Положення про постійно діючу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комісію з питань розгляду звернень громадян </w:t>
      </w:r>
      <w:r>
        <w:rPr>
          <w:rFonts w:ascii="Times New Roman" w:hAnsi="Times New Roman"/>
          <w:sz w:val="28"/>
          <w:szCs w:val="28"/>
          <w:lang w:val="uk-UA"/>
        </w:rPr>
        <w:t xml:space="preserve">у сферах житлово-комунального господарства, благоустрою та архітектури</w:t>
      </w:r>
      <w:r>
        <w:rPr>
          <w:rFonts w:ascii="Times New Roman" w:hAnsi="Times New Roman"/>
          <w:sz w:val="28"/>
          <w:szCs w:val="28"/>
          <w:lang w:val="uk-UA"/>
        </w:rPr>
        <w:t xml:space="preserve">, що додається.</w:t>
      </w:r>
      <w:r/>
    </w:p>
    <w:p>
      <w:pPr>
        <w:pStyle w:val="575"/>
        <w:numPr>
          <w:ilvl w:val="0"/>
          <w:numId w:val="5"/>
        </w:numPr>
        <w:ind w:left="0" w:firstLine="709"/>
        <w:jc w:val="both"/>
        <w:spacing w:lineRule="auto" w:line="276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залишити за мною.</w:t>
      </w:r>
      <w:r/>
    </w:p>
    <w:p>
      <w:pPr>
        <w:ind w:firstLine="709"/>
        <w:spacing w:lineRule="auto" w:line="27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Примаков</w:t>
      </w:r>
      <w:r/>
    </w:p>
    <w:p>
      <w:pPr>
        <w:ind w:firstLine="709"/>
        <w:rPr>
          <w:rFonts w:ascii="Times New Roman" w:hAnsi="Times New Roman"/>
          <w:b/>
          <w:sz w:val="28"/>
          <w:szCs w:val="28"/>
          <w:lang w:val="uk-UA"/>
        </w:rPr>
        <w:sectPr>
          <w:footnotePr/>
          <w:type w:val="nextPage"/>
          <w:pgSz w:w="11906" w:h="16838" w:orient="portrait"/>
          <w:pgMar w:top="851" w:right="709" w:bottom="851" w:left="1701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6379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1</w:t>
      </w:r>
      <w:r/>
    </w:p>
    <w:p>
      <w:pPr>
        <w:ind w:firstLine="6379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6379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</w:t>
      </w:r>
      <w:r/>
    </w:p>
    <w:p>
      <w:pPr>
        <w:ind w:firstLine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20.07.2021 р. №254</w:t>
      </w:r>
      <w:r/>
    </w:p>
    <w:p>
      <w:pPr>
        <w:ind w:firstLine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СКЛАД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постійно діючої комісії з питань розгляду звернень громадян  у сферах житлово-комунального господарства, благоустрою та архітектури (далі – комісія)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Гнип</w:t>
      </w:r>
      <w:r>
        <w:rPr>
          <w:rFonts w:ascii="Times New Roman" w:hAnsi="Times New Roman"/>
          <w:sz w:val="28"/>
          <w:szCs w:val="28"/>
          <w:lang w:val="uk-UA"/>
        </w:rPr>
        <w:t xml:space="preserve"> Володимир Іванович, заступник міського голови з питань діяльності виконавчих органів влади;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комісії при розгляді питань архітектури: </w:t>
      </w:r>
      <w:r>
        <w:rPr>
          <w:rFonts w:ascii="Times New Roman" w:hAnsi="Times New Roman"/>
          <w:sz w:val="28"/>
          <w:szCs w:val="28"/>
          <w:lang w:val="uk-UA"/>
        </w:rPr>
        <w:t xml:space="preserve">Ілюшкіна</w:t>
      </w:r>
      <w:r>
        <w:rPr>
          <w:rFonts w:ascii="Times New Roman" w:hAnsi="Times New Roman"/>
          <w:sz w:val="28"/>
          <w:szCs w:val="28"/>
          <w:lang w:val="uk-UA"/>
        </w:rPr>
        <w:t xml:space="preserve"> Дар’я Валеріївна, головний спеціаліст відділу архітектури та містобудування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ретар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 розгляді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питань житлово-комунального господарства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та благоустрою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Горбач Тамара Іванівна, провідний спеціаліст відділу житлово-комунального господарства, енергоефективності та комунальн</w:t>
      </w:r>
      <w:r>
        <w:rPr>
          <w:rFonts w:ascii="Times New Roman" w:hAnsi="Times New Roman"/>
          <w:sz w:val="28"/>
          <w:szCs w:val="28"/>
          <w:lang w:val="uk-UA"/>
        </w:rPr>
        <w:t xml:space="preserve">ого майна Менської міської ради</w:t>
      </w:r>
      <w:r/>
    </w:p>
    <w:p>
      <w:pPr>
        <w:ind w:firstLine="709"/>
        <w:jc w:val="both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Лихотинська</w:t>
      </w:r>
      <w:r>
        <w:rPr>
          <w:rFonts w:ascii="Times New Roman" w:hAnsi="Times New Roman"/>
          <w:sz w:val="28"/>
          <w:szCs w:val="28"/>
          <w:lang w:val="uk-UA"/>
        </w:rPr>
        <w:t xml:space="preserve"> Лілія Анатоліївна, начальник відділу архітектури та містобудування Менської міської ради;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Кравцов Валерій Михайлович, начальник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Марцева Тетяна Іванівна, заступник начальника юридичного відділу Менської міської ради;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Бернадська Тетяна Анатоліївна, начальник юридичного відділу Менської міської ради;</w:t>
      </w:r>
      <w:bookmarkStart w:id="0" w:name="_GoBack"/>
      <w:r/>
      <w:bookmarkEnd w:id="0"/>
      <w:r/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Терентієв</w:t>
      </w:r>
      <w:r>
        <w:rPr>
          <w:rFonts w:ascii="Times New Roman" w:hAnsi="Times New Roman"/>
          <w:sz w:val="28"/>
          <w:szCs w:val="28"/>
          <w:lang w:val="uk-UA"/>
        </w:rPr>
        <w:t xml:space="preserve"> Павло Олександрович, начальник відділу земельних відносин, агропромислового комплексу та екології Ме</w:t>
      </w:r>
      <w:r>
        <w:rPr>
          <w:rFonts w:ascii="Times New Roman" w:hAnsi="Times New Roman"/>
          <w:sz w:val="28"/>
          <w:szCs w:val="28"/>
          <w:lang w:val="uk-UA"/>
        </w:rPr>
        <w:t xml:space="preserve">нської міської ради;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Скирта Оксана Віталіївна, головний спеціаліст відділу земельних відносин, агропромислового комплексу та екології Менської міської ради;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Єриженко</w:t>
      </w:r>
      <w:r>
        <w:rPr>
          <w:rFonts w:ascii="Times New Roman" w:hAnsi="Times New Roman"/>
          <w:sz w:val="28"/>
          <w:szCs w:val="28"/>
          <w:lang w:val="uk-UA"/>
        </w:rPr>
        <w:t xml:space="preserve"> Оксана Леонідівна, інспектор з благоустрою КП «</w:t>
      </w:r>
      <w:r>
        <w:rPr>
          <w:rFonts w:ascii="Times New Roman" w:hAnsi="Times New Roman"/>
          <w:sz w:val="28"/>
          <w:szCs w:val="28"/>
          <w:lang w:val="uk-UA"/>
        </w:rPr>
        <w:t xml:space="preserve">Менакомунпослуга</w:t>
      </w:r>
      <w:r>
        <w:rPr>
          <w:rFonts w:ascii="Times New Roman" w:hAnsi="Times New Roman"/>
          <w:sz w:val="28"/>
          <w:szCs w:val="28"/>
          <w:lang w:val="uk-UA"/>
        </w:rPr>
        <w:t xml:space="preserve">» Менської міської ради. 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  <w:sectPr>
          <w:footnotePr/>
          <w:type w:val="nextPage"/>
          <w:pgSz w:w="11906" w:h="16838" w:orient="portrait"/>
          <w:pgMar w:top="851" w:right="851" w:bottom="851" w:left="1701" w:header="708" w:footer="708"/>
          <w:cols w:num="1" w:sep="0" w:space="708" w:equalWidth="1"/>
          <w:docGrid w:linePitch="360"/>
        </w:sect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6379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2</w:t>
      </w:r>
      <w:r/>
    </w:p>
    <w:p>
      <w:pPr>
        <w:ind w:firstLine="6379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/>
    </w:p>
    <w:p>
      <w:pPr>
        <w:ind w:firstLine="6379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міського голови</w:t>
      </w:r>
      <w:r/>
    </w:p>
    <w:p>
      <w:pPr>
        <w:ind w:firstLine="637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20.07.2021 р. №254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постійно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діючу комісію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питань розгляду звернень громадян  у сферах житлово-комунального господарства, благоустрою та архітектури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575"/>
        <w:numPr>
          <w:ilvl w:val="0"/>
          <w:numId w:val="6"/>
        </w:num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Загальні положення</w:t>
      </w:r>
      <w:r/>
    </w:p>
    <w:p>
      <w:pPr>
        <w:pStyle w:val="575"/>
        <w:numPr>
          <w:ilvl w:val="1"/>
          <w:numId w:val="6"/>
        </w:numPr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Постійно діюча комісія з питань розгляду</w:t>
      </w:r>
      <w:r>
        <w:rPr>
          <w:rFonts w:ascii="Times New Roman" w:hAnsi="Times New Roman"/>
          <w:sz w:val="28"/>
          <w:szCs w:val="28"/>
          <w:lang w:val="uk-UA"/>
        </w:rPr>
        <w:t xml:space="preserve"> усних та письмових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звернень громадян у сферах житлово-комунального господарства, благоустрою та архітектури (надалі</w:t>
      </w:r>
      <w:r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Комісія) утворена відповідно до Указу Президента України від 07.02.2</w:t>
      </w:r>
      <w:r>
        <w:rPr>
          <w:rFonts w:ascii="Times New Roman" w:hAnsi="Times New Roman"/>
          <w:sz w:val="28"/>
          <w:szCs w:val="28"/>
          <w:lang w:val="uk-UA"/>
        </w:rPr>
        <w:t xml:space="preserve">008 №109/2008 «Про першочергові заходи щодо забезпечення реалізації та гарантування конституційного права на звернення до органів місцевої влади та органів місцевого самоврядування» і є постійно діючим консультативно-дорадчим органом Менської міської ради.</w:t>
      </w:r>
      <w:r/>
    </w:p>
    <w:p>
      <w:pPr>
        <w:pStyle w:val="575"/>
        <w:numPr>
          <w:ilvl w:val="1"/>
          <w:numId w:val="6"/>
        </w:numPr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своїй діяльності Комісія керується Конституцією України, законами України «Про звернення громадян», «Про місцеве самоврядування в Україні», «Про регулювання містобудівної діяльності», «Про благоустрій населених пунктів», Указом Президента Укр</w:t>
      </w:r>
      <w:r>
        <w:rPr>
          <w:rFonts w:ascii="Times New Roman" w:hAnsi="Times New Roman"/>
          <w:sz w:val="28"/>
          <w:szCs w:val="28"/>
          <w:lang w:val="uk-UA"/>
        </w:rPr>
        <w:t xml:space="preserve">аїни від 07.02.2008 №109/2008 «Про першочергові заходи щодо забезпечення реалізації та гарантування конституційного права на звернення до органів місцевої влади та органів місцевого самоврядування», актами Президента України та Кабінету Міністрів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іншими нормативно-правовими документами, розпорядженнями та цим Положенням.</w:t>
      </w:r>
      <w:r/>
    </w:p>
    <w:p>
      <w:pPr>
        <w:pStyle w:val="575"/>
        <w:numPr>
          <w:ilvl w:val="0"/>
          <w:numId w:val="6"/>
        </w:num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створення Комісії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Комісія створена з метою контролю за розглядом</w:t>
      </w:r>
      <w:r>
        <w:rPr>
          <w:rFonts w:ascii="Times New Roman" w:hAnsi="Times New Roman"/>
          <w:sz w:val="28"/>
          <w:szCs w:val="28"/>
          <w:lang w:val="uk-UA"/>
        </w:rPr>
        <w:t xml:space="preserve"> усних та письмових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</w:t>
      </w:r>
      <w:r>
        <w:rPr>
          <w:rFonts w:ascii="Times New Roman" w:hAnsi="Times New Roman"/>
          <w:sz w:val="28"/>
          <w:szCs w:val="28"/>
          <w:lang w:val="uk-UA"/>
        </w:rPr>
        <w:t xml:space="preserve">нь громадян у сферах житлово-комунального господарства, благоустрою та архітектури і вирішення порушених у них проблем, задоволення законних прав та інтересів громадян, підвищення ефективності роботи із зверненнями громадян, усунення недоліків у цій сфері.</w:t>
      </w:r>
      <w:r/>
    </w:p>
    <w:p>
      <w:pPr>
        <w:pStyle w:val="575"/>
        <w:numPr>
          <w:ilvl w:val="0"/>
          <w:numId w:val="6"/>
        </w:num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Основні завдання Комісії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Основними завданнями Комісії є: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сприяти громадянам у задоволенні їх законних прав та інтересів при розгляді</w:t>
      </w:r>
      <w:r>
        <w:rPr>
          <w:rFonts w:ascii="Times New Roman" w:hAnsi="Times New Roman"/>
          <w:sz w:val="28"/>
          <w:szCs w:val="28"/>
          <w:lang w:val="uk-UA"/>
        </w:rPr>
        <w:t xml:space="preserve"> усних та письмових</w:t>
      </w:r>
      <w:r>
        <w:rPr>
          <w:rFonts w:ascii="Times New Roman" w:hAnsi="Times New Roman"/>
          <w:sz w:val="28"/>
          <w:szCs w:val="28"/>
          <w:lang w:val="uk-UA"/>
        </w:rPr>
        <w:t xml:space="preserve"> звернень;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розглядом звернень громадян у сферах житлово-комунального господарства, благоустрою та архітектури і вирішення порушених у них проблем;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сприяти підвищенню ефективності роботи із зверненнями громадян, усуненню недоліків у цій сфері.</w:t>
      </w:r>
      <w:r/>
    </w:p>
    <w:p>
      <w:pPr>
        <w:pStyle w:val="575"/>
        <w:numPr>
          <w:ilvl w:val="0"/>
          <w:numId w:val="6"/>
        </w:num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Права Комісії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реалізації поставлених завдань Комісія має право: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одержувати у встановленому порядку необхідну інформацію щодо розгляду звернень громадян від органів виконавчої влади,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територіальних органів центральних органів виконавчої влади, структурних підрозділів, підприємств, установ та організацій;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надавати додаткові доручення відповідним посадовим особам щодо розгляду звернень громадян та додаткові доручення щодо повторного розгляду звернень;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внос</w:t>
      </w:r>
      <w:r>
        <w:rPr>
          <w:rFonts w:ascii="Times New Roman" w:hAnsi="Times New Roman"/>
          <w:sz w:val="28"/>
          <w:szCs w:val="28"/>
          <w:lang w:val="uk-UA"/>
        </w:rPr>
        <w:t xml:space="preserve">ити пропозиції щодо припинення розгляду повторних звернень з одного і того ж питання, якщо перше вирішено по суті, відповідно до статті 8 Закону України «Про звернення громадян», припиняти листування з заявниками або поновлювати розгляд повторних звернень;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наявності підстав подавати пропозиції щодо притягнення до відповідальності, передбаченої законодавством України, посадових осіб, винних у порушенні законодавства про звернення громадян при розгляді усних і письмових звернень. </w:t>
      </w:r>
      <w:r/>
    </w:p>
    <w:p>
      <w:pPr>
        <w:pStyle w:val="575"/>
        <w:numPr>
          <w:ilvl w:val="0"/>
          <w:numId w:val="6"/>
        </w:numPr>
        <w:jc w:val="center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роботи Комісії</w:t>
      </w:r>
      <w:r/>
    </w:p>
    <w:p>
      <w:pPr>
        <w:pStyle w:val="575"/>
        <w:numPr>
          <w:ilvl w:val="1"/>
          <w:numId w:val="6"/>
        </w:numPr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Основний склад Комісії та зміни, внесені </w:t>
      </w:r>
      <w:r>
        <w:rPr>
          <w:rFonts w:ascii="Times New Roman" w:hAnsi="Times New Roman"/>
          <w:sz w:val="28"/>
          <w:szCs w:val="28"/>
          <w:lang w:val="uk-UA"/>
        </w:rPr>
        <w:t xml:space="preserve">до нього, затверджуються розпорядженням міського голови. Комісію очолює заступник міського голови з питань діяльності виконавчих органів влади.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необхідності до складу комісії за рішенням її голови включаються з правом підпису представники: Головного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Держпродспоживслужби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Чернігівській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ДСНС України у Чернігівській області, поліції.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обстеження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 можуть </w:t>
      </w:r>
      <w:r>
        <w:rPr>
          <w:rFonts w:ascii="Times New Roman" w:hAnsi="Times New Roman"/>
          <w:sz w:val="28"/>
          <w:szCs w:val="28"/>
          <w:lang w:val="uk-UA"/>
        </w:rPr>
        <w:t xml:space="preserve">залучатися</w:t>
      </w:r>
      <w:r>
        <w:rPr>
          <w:rFonts w:ascii="Times New Roman" w:hAnsi="Times New Roman"/>
          <w:sz w:val="28"/>
          <w:szCs w:val="28"/>
          <w:lang w:val="uk-UA"/>
        </w:rPr>
        <w:t xml:space="preserve"> представники правоохоронних органів, територіаль</w:t>
      </w:r>
      <w:r>
        <w:rPr>
          <w:rFonts w:ascii="Times New Roman" w:hAnsi="Times New Roman"/>
          <w:sz w:val="28"/>
          <w:szCs w:val="28"/>
          <w:lang w:val="uk-UA"/>
        </w:rPr>
        <w:t xml:space="preserve">них органів центральних органів виконавчої влади, підприємств, установ, організацій, служб та інших для розгляду питань, що належать до їх компетенції.</w:t>
      </w:r>
      <w:r/>
    </w:p>
    <w:p>
      <w:pPr>
        <w:pStyle w:val="575"/>
        <w:numPr>
          <w:ilvl w:val="1"/>
          <w:numId w:val="6"/>
        </w:numPr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Основною формою роботи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є обстеження, які проводяться з виїздом на місце в терміни визначені законодавством. Про час і місце проведення обстежень її члени інформуються секретарем Комісії.</w:t>
      </w:r>
      <w:r/>
    </w:p>
    <w:p>
      <w:pPr>
        <w:pStyle w:val="575"/>
        <w:numPr>
          <w:ilvl w:val="1"/>
          <w:numId w:val="6"/>
        </w:numPr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Обстеження Комісії є правомірним, якщо на ньому присутні не менше половини її основного складу.</w:t>
      </w:r>
      <w:r/>
    </w:p>
    <w:p>
      <w:pPr>
        <w:pStyle w:val="575"/>
        <w:numPr>
          <w:ilvl w:val="1"/>
          <w:numId w:val="6"/>
        </w:numPr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виконанні одним секретарем своїх обов’язків, інший вважається як член комісії з правом підпису.</w:t>
      </w:r>
      <w:r/>
    </w:p>
    <w:p>
      <w:pPr>
        <w:pStyle w:val="575"/>
        <w:numPr>
          <w:ilvl w:val="1"/>
          <w:numId w:val="6"/>
        </w:numPr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Рішення Комісії оформлюється актами обстеження, що підписуються усіма її членами, а також представниками, що включенні до її складу за рішенням голови Комісії.</w:t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75"/>
        <w:numPr>
          <w:ilvl w:val="1"/>
          <w:numId w:val="6"/>
        </w:numPr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Комісії: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забезпечує контроль за виконанням доручень голови Комісії;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здійснює оформлення актів, а також інших документів, пов’язаних з роботою Комісії;</w:t>
      </w:r>
      <w:r/>
    </w:p>
    <w:p>
      <w:pPr>
        <w:pStyle w:val="575"/>
        <w:ind w:left="0" w:firstLine="709"/>
        <w:jc w:val="both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забезпечує зберігання документів та матеріалів обстежень Комісії.</w:t>
      </w:r>
      <w:r/>
    </w:p>
    <w:sectPr>
      <w:footnotePr/>
      <w:type w:val="nextPage"/>
      <w:pgSz w:w="11906" w:h="16838" w:orient="portrait"/>
      <w:pgMar w:top="851" w:right="851" w:bottom="851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>
    <w:name w:val="Heading 1"/>
    <w:basedOn w:val="568"/>
    <w:next w:val="568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9">
    <w:name w:val="Heading 1 Char"/>
    <w:basedOn w:val="569"/>
    <w:link w:val="398"/>
    <w:uiPriority w:val="9"/>
    <w:rPr>
      <w:rFonts w:ascii="Arial" w:hAnsi="Arial" w:cs="Arial" w:eastAsia="Arial"/>
      <w:sz w:val="40"/>
      <w:szCs w:val="40"/>
    </w:rPr>
  </w:style>
  <w:style w:type="paragraph" w:styleId="400">
    <w:name w:val="Heading 2"/>
    <w:basedOn w:val="568"/>
    <w:next w:val="568"/>
    <w:link w:val="4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1">
    <w:name w:val="Heading 2 Char"/>
    <w:basedOn w:val="569"/>
    <w:link w:val="400"/>
    <w:uiPriority w:val="9"/>
    <w:rPr>
      <w:rFonts w:ascii="Arial" w:hAnsi="Arial" w:cs="Arial" w:eastAsia="Arial"/>
      <w:sz w:val="34"/>
    </w:rPr>
  </w:style>
  <w:style w:type="paragraph" w:styleId="402">
    <w:name w:val="Heading 3"/>
    <w:basedOn w:val="568"/>
    <w:next w:val="568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3">
    <w:name w:val="Heading 3 Char"/>
    <w:basedOn w:val="569"/>
    <w:link w:val="402"/>
    <w:uiPriority w:val="9"/>
    <w:rPr>
      <w:rFonts w:ascii="Arial" w:hAnsi="Arial" w:cs="Arial" w:eastAsia="Arial"/>
      <w:sz w:val="30"/>
      <w:szCs w:val="30"/>
    </w:rPr>
  </w:style>
  <w:style w:type="paragraph" w:styleId="404">
    <w:name w:val="Heading 4"/>
    <w:basedOn w:val="568"/>
    <w:next w:val="568"/>
    <w:link w:val="4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5">
    <w:name w:val="Heading 4 Char"/>
    <w:basedOn w:val="569"/>
    <w:link w:val="404"/>
    <w:uiPriority w:val="9"/>
    <w:rPr>
      <w:rFonts w:ascii="Arial" w:hAnsi="Arial" w:cs="Arial" w:eastAsia="Arial"/>
      <w:b/>
      <w:bCs/>
      <w:sz w:val="26"/>
      <w:szCs w:val="26"/>
    </w:rPr>
  </w:style>
  <w:style w:type="paragraph" w:styleId="406">
    <w:name w:val="Heading 5"/>
    <w:basedOn w:val="568"/>
    <w:next w:val="568"/>
    <w:link w:val="4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7">
    <w:name w:val="Heading 5 Char"/>
    <w:basedOn w:val="569"/>
    <w:link w:val="406"/>
    <w:uiPriority w:val="9"/>
    <w:rPr>
      <w:rFonts w:ascii="Arial" w:hAnsi="Arial" w:cs="Arial" w:eastAsia="Arial"/>
      <w:b/>
      <w:bCs/>
      <w:sz w:val="24"/>
      <w:szCs w:val="24"/>
    </w:rPr>
  </w:style>
  <w:style w:type="paragraph" w:styleId="408">
    <w:name w:val="Heading 6"/>
    <w:basedOn w:val="568"/>
    <w:next w:val="568"/>
    <w:link w:val="40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9">
    <w:name w:val="Heading 6 Char"/>
    <w:basedOn w:val="569"/>
    <w:link w:val="408"/>
    <w:uiPriority w:val="9"/>
    <w:rPr>
      <w:rFonts w:ascii="Arial" w:hAnsi="Arial" w:cs="Arial" w:eastAsia="Arial"/>
      <w:b/>
      <w:bCs/>
      <w:sz w:val="22"/>
      <w:szCs w:val="22"/>
    </w:rPr>
  </w:style>
  <w:style w:type="paragraph" w:styleId="410">
    <w:name w:val="Heading 7"/>
    <w:basedOn w:val="568"/>
    <w:next w:val="568"/>
    <w:link w:val="41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1">
    <w:name w:val="Heading 7 Char"/>
    <w:basedOn w:val="569"/>
    <w:link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2">
    <w:name w:val="Heading 8"/>
    <w:basedOn w:val="568"/>
    <w:next w:val="568"/>
    <w:link w:val="41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3">
    <w:name w:val="Heading 8 Char"/>
    <w:basedOn w:val="569"/>
    <w:link w:val="412"/>
    <w:uiPriority w:val="9"/>
    <w:rPr>
      <w:rFonts w:ascii="Arial" w:hAnsi="Arial" w:cs="Arial" w:eastAsia="Arial"/>
      <w:i/>
      <w:iCs/>
      <w:sz w:val="22"/>
      <w:szCs w:val="22"/>
    </w:rPr>
  </w:style>
  <w:style w:type="paragraph" w:styleId="414">
    <w:name w:val="Heading 9"/>
    <w:basedOn w:val="568"/>
    <w:next w:val="568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5">
    <w:name w:val="Heading 9 Char"/>
    <w:basedOn w:val="569"/>
    <w:link w:val="414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Title"/>
    <w:basedOn w:val="568"/>
    <w:next w:val="568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69"/>
    <w:link w:val="416"/>
    <w:uiPriority w:val="10"/>
    <w:rPr>
      <w:sz w:val="48"/>
      <w:szCs w:val="48"/>
    </w:rPr>
  </w:style>
  <w:style w:type="paragraph" w:styleId="418">
    <w:name w:val="Subtitle"/>
    <w:basedOn w:val="568"/>
    <w:next w:val="568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69"/>
    <w:link w:val="418"/>
    <w:uiPriority w:val="11"/>
    <w:rPr>
      <w:sz w:val="24"/>
      <w:szCs w:val="24"/>
    </w:rPr>
  </w:style>
  <w:style w:type="paragraph" w:styleId="420">
    <w:name w:val="Quote"/>
    <w:basedOn w:val="568"/>
    <w:next w:val="568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8"/>
    <w:next w:val="568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paragraph" w:styleId="424">
    <w:name w:val="Header"/>
    <w:basedOn w:val="568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Header Char"/>
    <w:basedOn w:val="569"/>
    <w:link w:val="424"/>
    <w:uiPriority w:val="99"/>
  </w:style>
  <w:style w:type="paragraph" w:styleId="426">
    <w:name w:val="Footer"/>
    <w:basedOn w:val="568"/>
    <w:link w:val="42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7">
    <w:name w:val="Footer Char"/>
    <w:basedOn w:val="569"/>
    <w:link w:val="426"/>
    <w:uiPriority w:val="99"/>
  </w:style>
  <w:style w:type="table" w:styleId="428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9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0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1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3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5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7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8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9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0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1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2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3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4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5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0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1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2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3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4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5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6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2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3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4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5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6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7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8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0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1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2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3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4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5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6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7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8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9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0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1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2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3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4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5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6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7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8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9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0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1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2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3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4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5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6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7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8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9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0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1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2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3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4">
    <w:name w:val="Hyperlink"/>
    <w:uiPriority w:val="99"/>
    <w:unhideWhenUsed/>
    <w:rPr>
      <w:color w:val="0000FF" w:themeColor="hyperlink"/>
      <w:u w:val="single"/>
    </w:rPr>
  </w:style>
  <w:style w:type="paragraph" w:styleId="555">
    <w:name w:val="footnote text"/>
    <w:basedOn w:val="568"/>
    <w:link w:val="556"/>
    <w:uiPriority w:val="99"/>
    <w:semiHidden/>
    <w:unhideWhenUsed/>
    <w:rPr>
      <w:sz w:val="18"/>
    </w:rPr>
    <w:pPr>
      <w:spacing w:lineRule="auto" w:line="240" w:after="40"/>
    </w:pPr>
  </w:style>
  <w:style w:type="character" w:styleId="556">
    <w:name w:val="Footnote Text Char"/>
    <w:link w:val="555"/>
    <w:uiPriority w:val="99"/>
    <w:rPr>
      <w:sz w:val="18"/>
    </w:rPr>
  </w:style>
  <w:style w:type="character" w:styleId="557">
    <w:name w:val="footnote reference"/>
    <w:basedOn w:val="569"/>
    <w:uiPriority w:val="99"/>
    <w:unhideWhenUsed/>
    <w:rPr>
      <w:vertAlign w:val="superscript"/>
    </w:rPr>
  </w:style>
  <w:style w:type="paragraph" w:styleId="558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59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0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1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2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3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4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5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6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7">
    <w:name w:val="TOC Heading"/>
    <w:uiPriority w:val="39"/>
    <w:unhideWhenUsed/>
  </w:style>
  <w:style w:type="paragraph" w:styleId="568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paragraph" w:styleId="572">
    <w:name w:val="caption"/>
    <w:basedOn w:val="568"/>
    <w:next w:val="568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73">
    <w:name w:val="Balloon Text"/>
    <w:basedOn w:val="568"/>
    <w:link w:val="57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4" w:customStyle="1">
    <w:name w:val="Текст выноски Знак"/>
    <w:basedOn w:val="569"/>
    <w:link w:val="573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575">
    <w:name w:val="List Paragraph"/>
    <w:basedOn w:val="568"/>
    <w:qFormat/>
    <w:uiPriority w:val="34"/>
    <w:pPr>
      <w:contextualSpacing w:val="true"/>
      <w:ind w:left="720"/>
    </w:pPr>
  </w:style>
  <w:style w:type="character" w:styleId="576" w:customStyle="1">
    <w:name w:val="docdata"/>
    <w:basedOn w:val="569"/>
  </w:style>
  <w:style w:type="paragraph" w:styleId="577" w:customStyle="1">
    <w:name w:val="12846"/>
    <w:basedOn w:val="56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78">
    <w:name w:val="Normal (Web)"/>
    <w:basedOn w:val="568"/>
    <w:uiPriority w:val="99"/>
    <w:semiHidden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579">
    <w:name w:val="Emphasis"/>
    <w:basedOn w:val="569"/>
    <w:qFormat/>
    <w:uiPriority w:val="20"/>
    <w:rPr>
      <w:i/>
      <w:iCs/>
    </w:rPr>
  </w:style>
  <w:style w:type="paragraph" w:styleId="580" w:customStyle="1">
    <w:name w:val="2544"/>
    <w:basedOn w:val="56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81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Менська міська рада</cp:lastModifiedBy>
  <cp:revision>11</cp:revision>
  <dcterms:created xsi:type="dcterms:W3CDTF">2021-07-20T11:16:00Z</dcterms:created>
  <dcterms:modified xsi:type="dcterms:W3CDTF">2021-07-29T12:20:50Z</dcterms:modified>
</cp:coreProperties>
</file>