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(сьома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 сесія восьмого скликання)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  <w:lang w:bidi="en-US"/>
        </w:rPr>
        <w:t xml:space="preserve">ПРОЄКТ РІШЕННЯ</w:t>
      </w:r>
      <w:r/>
    </w:p>
    <w:p>
      <w:pPr>
        <w:ind w:firstLine="567"/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червня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5811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ставок орендної плати за земельні ділянки на території Менської міської територіальної громади</w:t>
      </w:r>
      <w:r/>
    </w:p>
    <w:p>
      <w:pPr>
        <w:ind w:right="5386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ab/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територіальної громади, впорядкування нормативного акта та уточнення видів діяльності відповідно до Класифікації видів цільового призначення земель, затвердженого наказом Держ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авного комітету України із земельних ресурсів від 23.07.2010 № 548 зі змінами та доповненнями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справедливої реалізації прав суб’єктів господарювання (землекористувачів),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керуючись п. 24 ч. 1 ст. 26 Закону України «Про місцеве самоврядування в Укр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аїні», Податковим кодексом України,  Законом України «Про оренду землі»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Менська міська рада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eastAsia="uk-UA"/>
        </w:rPr>
        <w:t xml:space="preserve">ВИРІШИЛА: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Затвердити ставки орендної плати за земельні ділянки на території Менської міської територіальної громади згідно з додатком 1 та ввести їх в дію з дати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рийняття цього рішення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розмір орендної плати встановлений з урахуванням вимог пункту 288.5. статті 288 Податкового кодексу України).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У випадку, коли земельна ділянка використовується за декількома функціональними напрямками, ставка орендної плати дорівню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є більшій з напрямків, за якими використовується земельна ділянка.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При укладанні, переукладанні, зміні, тощо договорів оренди землі застосовувати ставки відповідно до цього рішення.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Величину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ставки орендної плати за земельні ділянки, нормативну грошову оцінку яких не проведено, встановити не менше ставки земельного податку за відповідним цільовим призначенням.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Плата за суборенду земельних ділянок не може перевищувати орендної плати.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викл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ючних випадках за пропозицією постійної комісії міської ради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суб’єктів господарювання, що здійснюють стратегічно важливу для інтересів міста діяльність, розмір орендної плати може бути зменшений.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Величина орендної плати може бути змінена в разі зміни (повторного проведення) нормативної грошової оцінки земельн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ої ділянки, в тому числі запровадження нового коефіцієнта індексації, в разі понесених втрат від сільськогосподарського виробництва та в разі встановлення нових ставок земельного податку.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8.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Рішення 40 сесії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міської ради </w:t>
      </w:r>
      <w:r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7 скликання від 10 липня 2020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  №257 «Про затвердження ставок орендної плати за земельні ділянки на території Менської ОТГ» вважати таким, що втратило чинність.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Рішення набуває чинності з дати прийняття.</w:t>
      </w:r>
      <w:r/>
    </w:p>
    <w:p>
      <w:pPr>
        <w:ind w:left="0" w:right="0" w:firstLine="709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10.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Контроль за виконанням рішення покласти на постійну комісію з питань міст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обудування, будівництва, земельних відносин та охорони природи та на заступника міського голови з питань діяльності виконавчих органів ради В.І.Гнипа.</w:t>
      </w:r>
      <w:r/>
    </w:p>
    <w:p>
      <w:pPr>
        <w:ind w:left="0" w:right="0" w:firstLine="709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left="5387" w:firstLine="6"/>
        <w:jc w:val="both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uk-UA"/>
        </w:rPr>
        <w:br w:type="column"/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Додаток 1 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5387" w:firstLine="6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до рішення сьомої сесії Менської міс</w:t>
      </w:r>
      <w:r>
        <w:rPr>
          <w:rFonts w:ascii="Times New Roman" w:hAnsi="Times New Roman" w:cs="Times New Roman"/>
          <w:sz w:val="20"/>
          <w:szCs w:val="20"/>
        </w:rPr>
        <w:t xml:space="preserve">ької ради 8 скликання від __.06..2021 №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СТАВКИ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br/>
        <w:t xml:space="preserve">орендної плати за земельні ділянки 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Адміністративно-територіальні одиниці або населені пунк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ти, або території  територіальних громад, на які поширюється дія рішення ради: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6"/>
        <w:gridCol w:w="1260"/>
        <w:gridCol w:w="1860"/>
        <w:gridCol w:w="5422"/>
      </w:tblGrid>
      <w:tr>
        <w:trPr>
          <w:trHeight w:val="737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області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району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0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Код згідно з КОАТУУ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95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Найменування адміністративно-територіальної одиниці або населеного пункту, або територіальної громади</w:t>
            </w:r>
            <w:r/>
          </w:p>
        </w:tc>
      </w:tr>
      <w:tr>
        <w:trPr>
          <w:trHeight w:val="2126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5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04644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04061777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0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7423010100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7423081000(1)</w:t>
            </w:r>
            <w:r>
              <w:rPr>
                <w:rStyle w:val="594"/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footnoteReference w:id="1"/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7423081800(3)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7423084500(5)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7423085900(5)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7423085900(4)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7423085000(4)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7423087200(1)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7423055700(1)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7423088700(3)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7423088700(1)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7423087600(1)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7423088200(1)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7423088500(4)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7423089000(2)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7423083000(2)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7423082500(1)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7423084000(1)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95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м. Мена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Блистова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Бірківка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Куковицьке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Дмитрівка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Дерепівка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Величківка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Вільне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Дягова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Киселівка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Комарівка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Прогрес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Загорівка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Куковичі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Лазарівка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Ліски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Луки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Майське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Максаки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смт.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Макошине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Овчарівка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Осьмаки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Остапівка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Нові Броди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Садове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Семенівка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Синявка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Слобідка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Стольне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Ушня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Феськівка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Чорногорці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Дібровка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Волосківці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Степанівка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Данилівка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Веселе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Городище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с. Покровське</w:t>
            </w:r>
            <w:r/>
          </w:p>
        </w:tc>
      </w:tr>
    </w:tbl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3"/>
        <w:gridCol w:w="4473"/>
        <w:gridCol w:w="3306"/>
        <w:gridCol w:w="876"/>
      </w:tblGrid>
      <w:tr>
        <w:trPr>
          <w:tblHeader/>
        </w:trPr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80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Вид цільового призначення земель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150" w:type="pct"/>
            <w:vMerge w:val="restar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Ставки орендної плати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(відсотків нормативної грошової оцінки)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за земельні ділянки нормативну грошову оцінку яких проведено</w:t>
            </w:r>
            <w:r/>
          </w:p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(незалежно від місця знаходження)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код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270" w:type="dxa"/>
              <w:bottom w:w="60" w:type="dxa"/>
            </w:tcMar>
            <w:tcW w:w="2250" w:type="pct"/>
            <w:textDirection w:val="lrTb"/>
            <w:noWrap w:val="false"/>
          </w:tcPr>
          <w:p>
            <w:pPr>
              <w:jc w:val="center"/>
              <w:spacing w:lineRule="atLeast" w:line="270" w:after="100" w:afterAutospacing="1" w:before="100" w:beforeAutospacing="1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найменування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  <w:lang w:eastAsia="uk-UA"/>
              </w:rPr>
            </w:r>
            <w:r/>
          </w:p>
        </w:tc>
        <w:tc>
          <w:tcPr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gridSpan w:val="2"/>
            <w:shd w:val="clear" w:color="auto" w:fill="EEEEEE"/>
            <w:tcMar>
              <w:left w:w="60" w:type="dxa"/>
              <w:top w:w="60" w:type="dxa"/>
              <w:right w:w="60" w:type="dxa"/>
              <w:bottom w:w="6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сільськогосподарського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товарного сільськогосподарського виробництва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фермерського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особистого селянського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підсобного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садівництва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городництва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 і випасання худоби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дослідних і навчальних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пропаганди передового досвіду ведення сільського господарства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надання послуг у сільському господарстві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інфраструктури оптових ринків сільськогосподарської продукції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сільськогосподарського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01.14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01.01-01.13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житлової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житлового будинку, господарських будівель і споруд (присадибна ділянка)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житлового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будівель тимчасового проживання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індивідуальних гаражів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гаражного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іншої житлової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02.01-02.07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паркінгів та автостоянок на землях житлової та громадської забудови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громадської забудови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органів державної влади та    місцевого самоврядування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освіти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охорони здоров’я та соціальної допомоги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громадських та релігійних організацій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культурно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-просвітницького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екстериторіальних організацій та органів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торгівлі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туристичної інфраструктури та закладів громадського харчування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кредитно-фінансових установ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і споруд закладів науки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комунального обслуговування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будівель закладів побутового обслуговування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органів ДСНС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інших будівель громадської забудови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ів 03.01-03.15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03.17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закладів з обслуговування відвідувачів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природно-заповідного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біосферних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природних заповідників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національних природних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ботанічних садів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зоологічних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дендрологічних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парків – пам’яток садово-паркового мистецтва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заказників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заповідних урочищ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пам’яток природи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04.11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збереження та використання регіональних ландшафтних парків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іншого природоохоронного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06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br/>
              <w:t xml:space="preserve">для профілактики захворювань і лікування людей)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і обслуговування санаторно-оздоровчих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розробки родовищ природних лікувальних ресурсів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інших оздоровчих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06.04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06.01-06.03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07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рекреаційного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рекреаційного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обслуговування об’єктів фізичної культури і 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індивідуального дачного будівництва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колективного дачного будівництва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07.05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07.01-07.04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08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історико-культурного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забезпечення охорони об’єктів культурної спадщини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обслуговування музейних закладів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історико-культурного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08.04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08.01-08.03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09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лісогосподарського призначення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ведення лісового господарства і пов’язаних з ним послуг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іншого лісогосподарського призначення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09.03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09.01-09.02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10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водного фонду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водними об’єктами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4,0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облаштування та догляду за прибережними захисними смугами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смугами відведення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експлуатації та догляду за гідротехнічними, іншими водогосподарськими спорудами і каналами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догляду за б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ереговими смугами водних шляхів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сінокосіння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рибогосподарських потреб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культурно-оздоровчих потреб, рекреаційних, спортивних і туристичних цілей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проведення науково-дослідних робіт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гідротехнічних, гідрометричних та лінійних споруд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10.12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 цілей підрозділів 10.01-10.11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11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промисловості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будівельних орган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ізацій та підприємств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11.05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11.01-11.04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12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транспорту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залізничного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морського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річкового транспорту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автомобільного транспорту та дорожнього госпо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дарства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авіаційного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трубопровідного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міського електротранспорту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додаткових транспортних послуг та допоміжних операцій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12.09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і споруд іншого наземного транспорту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12.10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12.01-12.09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13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зв’язку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об’єктів і споруд телекомунікацій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будівель та споруд об’єктів поштового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експлуатації інших технічних засобів зв’язку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10,0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13.01-13.03, 13.05 та для збереження та використання земель природно-за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13.05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Державної служби спеціального зв’язку та захисту інформації України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14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енергетики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8,0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14.03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14.01-14.02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5,0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15</w:t>
            </w:r>
            <w:r/>
          </w:p>
        </w:tc>
        <w:tc>
          <w:tcPr>
            <w:gridSpan w:val="3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о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борони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15.01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Збройних Сил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15.02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військових частин (підрозділів) Національної гвардії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15.03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Держприкордонслужби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15.04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СБУ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15.05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Держспецтрансслужби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Служби зовнішньої розвідки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розміщення та постійної діяльності інших, утворених відповідно до законів, військових формувань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15.08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Для цілей підрозділів 15.01-15.07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16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запасу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резервного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18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Землі загального користування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5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19</w:t>
            </w:r>
            <w:r/>
          </w:p>
        </w:tc>
        <w:tc>
          <w:tcPr>
            <w:gridSpan w:val="2"/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00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  <w:lang w:eastAsia="uk-UA"/>
              </w:rPr>
              <w:t xml:space="preserve">Для цілей підрозділів 16-18 та для збереження та використання земель природно-заповідного фонду</w:t>
            </w:r>
            <w:r/>
          </w:p>
        </w:tc>
        <w:tc>
          <w:tcPr>
            <w:shd w:val="clear" w:color="auto" w:fill="auto"/>
            <w:tcMar>
              <w:left w:w="60" w:type="dxa"/>
              <w:top w:w="60" w:type="dxa"/>
              <w:right w:w="60" w:type="dxa"/>
              <w:bottom w:w="60" w:type="dxa"/>
            </w:tcMar>
            <w:tcW w:w="450" w:type="pct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3,0</w:t>
            </w:r>
            <w:r/>
          </w:p>
        </w:tc>
      </w:tr>
      <w:tr>
        <w:trPr/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92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Mar>
              <w:left w:w="60" w:type="dxa"/>
              <w:top w:w="60" w:type="dxa"/>
              <w:right w:w="60" w:type="dxa"/>
              <w:bottom w:w="60" w:type="dxa"/>
            </w:tcMar>
            <w:tcW w:w="41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uk-UA"/>
              </w:rPr>
            </w:r>
            <w:r/>
          </w:p>
        </w:tc>
      </w:tr>
    </w:tbl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592"/>
      </w:pPr>
      <w:r>
        <w:rPr>
          <w:rStyle w:val="594"/>
        </w:rPr>
        <w:footnoteRef/>
      </w:r>
      <w:r>
        <w:t xml:space="preserve"> «(цифра)» - в межах населеного пункту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qFormat/>
  </w:style>
  <w:style w:type="paragraph" w:styleId="403">
    <w:name w:val="Heading 1"/>
    <w:basedOn w:val="402"/>
    <w:next w:val="402"/>
    <w:link w:val="589"/>
    <w:qFormat/>
    <w:uiPriority w:val="99"/>
    <w:rPr>
      <w:rFonts w:ascii="Times New Roman" w:hAnsi="Times New Roman" w:cs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404">
    <w:name w:val="Heading 2"/>
    <w:basedOn w:val="402"/>
    <w:next w:val="402"/>
    <w:link w:val="4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basedOn w:val="402"/>
    <w:next w:val="402"/>
    <w:link w:val="4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basedOn w:val="402"/>
    <w:next w:val="402"/>
    <w:link w:val="4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basedOn w:val="402"/>
    <w:next w:val="402"/>
    <w:link w:val="4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basedOn w:val="402"/>
    <w:next w:val="402"/>
    <w:link w:val="4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9">
    <w:name w:val="Heading 7"/>
    <w:basedOn w:val="402"/>
    <w:next w:val="402"/>
    <w:link w:val="4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0">
    <w:name w:val="Heading 8"/>
    <w:basedOn w:val="402"/>
    <w:next w:val="402"/>
    <w:link w:val="4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1">
    <w:name w:val="Heading 9"/>
    <w:basedOn w:val="402"/>
    <w:next w:val="402"/>
    <w:link w:val="4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2 Char"/>
    <w:basedOn w:val="412"/>
    <w:uiPriority w:val="9"/>
    <w:rPr>
      <w:rFonts w:ascii="Arial" w:hAnsi="Arial" w:cs="Arial" w:eastAsia="Arial"/>
      <w:sz w:val="34"/>
    </w:rPr>
  </w:style>
  <w:style w:type="character" w:styleId="416" w:customStyle="1">
    <w:name w:val="Heading 3 Char"/>
    <w:basedOn w:val="412"/>
    <w:uiPriority w:val="9"/>
    <w:rPr>
      <w:rFonts w:ascii="Arial" w:hAnsi="Arial" w:cs="Arial" w:eastAsia="Arial"/>
      <w:sz w:val="30"/>
      <w:szCs w:val="30"/>
    </w:rPr>
  </w:style>
  <w:style w:type="character" w:styleId="417" w:customStyle="1">
    <w:name w:val="Heading 4 Char"/>
    <w:basedOn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18" w:customStyle="1">
    <w:name w:val="Heading 5 Char"/>
    <w:basedOn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19" w:customStyle="1">
    <w:name w:val="Heading 6 Char"/>
    <w:basedOn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0" w:customStyle="1">
    <w:name w:val="Heading 7 Char"/>
    <w:basedOn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 w:customStyle="1">
    <w:name w:val="Heading 8 Char"/>
    <w:basedOn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2" w:customStyle="1">
    <w:name w:val="Heading 9 Char"/>
    <w:basedOn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23" w:customStyle="1">
    <w:name w:val="Title Char"/>
    <w:basedOn w:val="412"/>
    <w:uiPriority w:val="10"/>
    <w:rPr>
      <w:sz w:val="48"/>
      <w:szCs w:val="48"/>
    </w:rPr>
  </w:style>
  <w:style w:type="character" w:styleId="424" w:customStyle="1">
    <w:name w:val="Subtitle Char"/>
    <w:basedOn w:val="412"/>
    <w:uiPriority w:val="11"/>
    <w:rPr>
      <w:sz w:val="24"/>
      <w:szCs w:val="24"/>
    </w:rPr>
  </w:style>
  <w:style w:type="character" w:styleId="425" w:customStyle="1">
    <w:name w:val="Quote Char"/>
    <w:uiPriority w:val="29"/>
    <w:rPr>
      <w:i/>
    </w:rPr>
  </w:style>
  <w:style w:type="character" w:styleId="426" w:customStyle="1">
    <w:name w:val="Intense Quote Char"/>
    <w:uiPriority w:val="30"/>
    <w:rPr>
      <w:i/>
    </w:rPr>
  </w:style>
  <w:style w:type="character" w:styleId="427" w:customStyle="1">
    <w:name w:val="Header Char"/>
    <w:basedOn w:val="412"/>
    <w:uiPriority w:val="99"/>
  </w:style>
  <w:style w:type="character" w:styleId="428" w:customStyle="1">
    <w:name w:val="Footer Char"/>
    <w:basedOn w:val="412"/>
    <w:uiPriority w:val="99"/>
  </w:style>
  <w:style w:type="character" w:styleId="429" w:customStyle="1">
    <w:name w:val="Heading 1 Char"/>
    <w:basedOn w:val="412"/>
    <w:uiPriority w:val="9"/>
    <w:rPr>
      <w:rFonts w:ascii="Arial" w:hAnsi="Arial" w:cs="Arial" w:eastAsia="Arial"/>
      <w:sz w:val="40"/>
      <w:szCs w:val="40"/>
    </w:rPr>
  </w:style>
  <w:style w:type="character" w:styleId="430" w:customStyle="1">
    <w:name w:val="Заголовок 2 Знак"/>
    <w:basedOn w:val="412"/>
    <w:link w:val="404"/>
    <w:uiPriority w:val="9"/>
    <w:rPr>
      <w:rFonts w:ascii="Arial" w:hAnsi="Arial" w:cs="Arial" w:eastAsia="Arial"/>
      <w:sz w:val="34"/>
    </w:rPr>
  </w:style>
  <w:style w:type="character" w:styleId="431" w:customStyle="1">
    <w:name w:val="Заголовок 3 Знак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432" w:customStyle="1">
    <w:name w:val="Заголовок 4 Знак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33" w:customStyle="1">
    <w:name w:val="Заголовок 5 Знак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34" w:customStyle="1">
    <w:name w:val="Заголовок 6 Знак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35" w:customStyle="1">
    <w:name w:val="Заголовок 7 Знак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6" w:customStyle="1">
    <w:name w:val="Заголовок 8 Знак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37" w:customStyle="1">
    <w:name w:val="Заголовок 9 Знак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38">
    <w:name w:val="No Spacing"/>
    <w:qFormat/>
    <w:uiPriority w:val="1"/>
    <w:pPr>
      <w:spacing w:lineRule="auto" w:line="240" w:after="0"/>
    </w:pPr>
  </w:style>
  <w:style w:type="paragraph" w:styleId="439">
    <w:name w:val="Title"/>
    <w:basedOn w:val="402"/>
    <w:next w:val="402"/>
    <w:link w:val="4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0" w:customStyle="1">
    <w:name w:val="Заголовок Знак"/>
    <w:basedOn w:val="412"/>
    <w:link w:val="439"/>
    <w:uiPriority w:val="10"/>
    <w:rPr>
      <w:sz w:val="48"/>
      <w:szCs w:val="48"/>
    </w:rPr>
  </w:style>
  <w:style w:type="paragraph" w:styleId="441">
    <w:name w:val="Subtitle"/>
    <w:basedOn w:val="402"/>
    <w:next w:val="402"/>
    <w:link w:val="442"/>
    <w:qFormat/>
    <w:uiPriority w:val="11"/>
    <w:rPr>
      <w:sz w:val="24"/>
      <w:szCs w:val="24"/>
    </w:rPr>
    <w:pPr>
      <w:spacing w:after="200" w:before="200"/>
    </w:pPr>
  </w:style>
  <w:style w:type="character" w:styleId="442" w:customStyle="1">
    <w:name w:val="Подзаголовок Знак"/>
    <w:basedOn w:val="412"/>
    <w:link w:val="441"/>
    <w:uiPriority w:val="11"/>
    <w:rPr>
      <w:sz w:val="24"/>
      <w:szCs w:val="24"/>
    </w:rPr>
  </w:style>
  <w:style w:type="paragraph" w:styleId="443">
    <w:name w:val="Quote"/>
    <w:basedOn w:val="402"/>
    <w:next w:val="402"/>
    <w:link w:val="444"/>
    <w:qFormat/>
    <w:uiPriority w:val="29"/>
    <w:rPr>
      <w:i/>
    </w:rPr>
    <w:pPr>
      <w:ind w:left="720" w:right="720"/>
    </w:pPr>
  </w:style>
  <w:style w:type="character" w:styleId="444" w:customStyle="1">
    <w:name w:val="Цитата 2 Знак"/>
    <w:link w:val="443"/>
    <w:uiPriority w:val="29"/>
    <w:rPr>
      <w:i/>
    </w:rPr>
  </w:style>
  <w:style w:type="paragraph" w:styleId="445">
    <w:name w:val="Intense Quote"/>
    <w:basedOn w:val="402"/>
    <w:next w:val="402"/>
    <w:link w:val="4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6" w:customStyle="1">
    <w:name w:val="Выделенная цитата Знак"/>
    <w:link w:val="445"/>
    <w:uiPriority w:val="30"/>
    <w:rPr>
      <w:i/>
    </w:rPr>
  </w:style>
  <w:style w:type="paragraph" w:styleId="447">
    <w:name w:val="Header"/>
    <w:basedOn w:val="402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8" w:customStyle="1">
    <w:name w:val="Верхний колонтитул Знак"/>
    <w:basedOn w:val="412"/>
    <w:link w:val="447"/>
    <w:uiPriority w:val="99"/>
  </w:style>
  <w:style w:type="paragraph" w:styleId="449">
    <w:name w:val="Footer"/>
    <w:basedOn w:val="402"/>
    <w:link w:val="4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0" w:customStyle="1">
    <w:name w:val="Нижний колонтитул Знак"/>
    <w:basedOn w:val="412"/>
    <w:link w:val="449"/>
    <w:uiPriority w:val="99"/>
  </w:style>
  <w:style w:type="table" w:styleId="451">
    <w:name w:val="Table Grid"/>
    <w:basedOn w:val="4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2" w:customStyle="1">
    <w:name w:val="Table Grid Light"/>
    <w:basedOn w:val="4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3">
    <w:name w:val="Plain Table 1"/>
    <w:basedOn w:val="4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2"/>
    <w:basedOn w:val="4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5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6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8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0" w:customStyle="1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81" w:customStyle="1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2" w:customStyle="1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3" w:customStyle="1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4" w:customStyle="1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5" w:customStyle="1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6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3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4" w:customStyle="1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5" w:customStyle="1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6" w:customStyle="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7" w:customStyle="1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8" w:customStyle="1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9" w:customStyle="1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00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5" w:customStyle="1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6" w:customStyle="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7" w:customStyle="1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8" w:customStyle="1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9" w:customStyle="1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20" w:customStyle="1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1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3" w:customStyle="1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4" w:customStyle="1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5" w:customStyle="1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6" w:customStyle="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7" w:customStyle="1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8" w:customStyle="1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9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8" w:customStyle="1">
    <w:name w:val="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2" w:customStyle="1">
    <w:name w:val="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 &amp; 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Bordered &amp; 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5" w:customStyle="1">
    <w:name w:val="Bordered &amp; 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6" w:customStyle="1">
    <w:name w:val="Bordered &amp; 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7" w:customStyle="1">
    <w:name w:val="Bordered &amp; 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8" w:customStyle="1">
    <w:name w:val="Bordered &amp; 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9" w:customStyle="1">
    <w:name w:val="Bordered &amp; 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0" w:customStyle="1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1" w:customStyle="1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72" w:customStyle="1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3" w:customStyle="1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4" w:customStyle="1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5" w:customStyle="1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6" w:customStyle="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7" w:customStyle="1">
    <w:name w:val="Footnote Text Char"/>
    <w:uiPriority w:val="99"/>
    <w:rPr>
      <w:sz w:val="18"/>
    </w:rPr>
  </w:style>
  <w:style w:type="paragraph" w:styleId="578">
    <w:name w:val="toc 1"/>
    <w:basedOn w:val="402"/>
    <w:next w:val="402"/>
    <w:uiPriority w:val="39"/>
    <w:unhideWhenUsed/>
    <w:pPr>
      <w:spacing w:after="57"/>
    </w:pPr>
  </w:style>
  <w:style w:type="paragraph" w:styleId="579">
    <w:name w:val="toc 2"/>
    <w:basedOn w:val="402"/>
    <w:next w:val="402"/>
    <w:uiPriority w:val="39"/>
    <w:unhideWhenUsed/>
    <w:pPr>
      <w:ind w:left="283"/>
      <w:spacing w:after="57"/>
    </w:pPr>
  </w:style>
  <w:style w:type="paragraph" w:styleId="580">
    <w:name w:val="toc 3"/>
    <w:basedOn w:val="402"/>
    <w:next w:val="402"/>
    <w:uiPriority w:val="39"/>
    <w:unhideWhenUsed/>
    <w:pPr>
      <w:ind w:left="567"/>
      <w:spacing w:after="57"/>
    </w:pPr>
  </w:style>
  <w:style w:type="paragraph" w:styleId="581">
    <w:name w:val="toc 4"/>
    <w:basedOn w:val="402"/>
    <w:next w:val="402"/>
    <w:uiPriority w:val="39"/>
    <w:unhideWhenUsed/>
    <w:pPr>
      <w:ind w:left="850"/>
      <w:spacing w:after="57"/>
    </w:pPr>
  </w:style>
  <w:style w:type="paragraph" w:styleId="582">
    <w:name w:val="toc 5"/>
    <w:basedOn w:val="402"/>
    <w:next w:val="402"/>
    <w:uiPriority w:val="39"/>
    <w:unhideWhenUsed/>
    <w:pPr>
      <w:ind w:left="1134"/>
      <w:spacing w:after="57"/>
    </w:pPr>
  </w:style>
  <w:style w:type="paragraph" w:styleId="583">
    <w:name w:val="toc 6"/>
    <w:basedOn w:val="402"/>
    <w:next w:val="402"/>
    <w:uiPriority w:val="39"/>
    <w:unhideWhenUsed/>
    <w:pPr>
      <w:ind w:left="1417"/>
      <w:spacing w:after="57"/>
    </w:pPr>
  </w:style>
  <w:style w:type="paragraph" w:styleId="584">
    <w:name w:val="toc 7"/>
    <w:basedOn w:val="402"/>
    <w:next w:val="402"/>
    <w:uiPriority w:val="39"/>
    <w:unhideWhenUsed/>
    <w:pPr>
      <w:ind w:left="1701"/>
      <w:spacing w:after="57"/>
    </w:pPr>
  </w:style>
  <w:style w:type="paragraph" w:styleId="585">
    <w:name w:val="toc 8"/>
    <w:basedOn w:val="402"/>
    <w:next w:val="402"/>
    <w:uiPriority w:val="39"/>
    <w:unhideWhenUsed/>
    <w:pPr>
      <w:ind w:left="1984"/>
      <w:spacing w:after="57"/>
    </w:pPr>
  </w:style>
  <w:style w:type="paragraph" w:styleId="586">
    <w:name w:val="toc 9"/>
    <w:basedOn w:val="402"/>
    <w:next w:val="402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List Paragraph"/>
    <w:basedOn w:val="402"/>
    <w:qFormat/>
    <w:pPr>
      <w:contextualSpacing w:val="true"/>
      <w:ind w:left="720"/>
    </w:pPr>
  </w:style>
  <w:style w:type="character" w:styleId="589" w:customStyle="1">
    <w:name w:val="Заголовок 1 Знак"/>
    <w:basedOn w:val="412"/>
    <w:link w:val="403"/>
    <w:uiPriority w:val="99"/>
    <w:rPr>
      <w:rFonts w:ascii="Times New Roman" w:hAnsi="Times New Roman" w:cs="Times New Roman" w:eastAsia="Times New Roman"/>
      <w:b/>
      <w:sz w:val="32"/>
      <w:lang w:eastAsia="ru-RU"/>
    </w:rPr>
  </w:style>
  <w:style w:type="paragraph" w:styleId="590" w:customStyle="1">
    <w:name w:val="Титулка"/>
    <w:basedOn w:val="402"/>
    <w:uiPriority w:val="99"/>
    <w:rPr>
      <w:rFonts w:ascii="Times New Roman" w:hAnsi="Times New Roman" w:cs="Times New Roman" w:eastAsia="Times New Roman"/>
      <w:b/>
      <w:sz w:val="28"/>
      <w:lang w:eastAsia="ar-SA"/>
    </w:rPr>
    <w:pPr>
      <w:spacing w:lineRule="auto" w:line="240" w:after="120"/>
    </w:pPr>
  </w:style>
  <w:style w:type="character" w:styleId="591">
    <w:name w:val="Hyperlink"/>
    <w:basedOn w:val="412"/>
    <w:uiPriority w:val="99"/>
    <w:unhideWhenUsed/>
    <w:rPr>
      <w:color w:val="0000FF"/>
      <w:u w:val="single"/>
    </w:rPr>
  </w:style>
  <w:style w:type="paragraph" w:styleId="592">
    <w:name w:val="footnote text"/>
    <w:basedOn w:val="402"/>
    <w:link w:val="593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593" w:customStyle="1">
    <w:name w:val="Текст сноски Знак"/>
    <w:basedOn w:val="412"/>
    <w:link w:val="592"/>
    <w:uiPriority w:val="99"/>
    <w:semiHidden/>
    <w:rPr>
      <w:sz w:val="20"/>
      <w:szCs w:val="20"/>
    </w:rPr>
  </w:style>
  <w:style w:type="character" w:styleId="594">
    <w:name w:val="footnote reference"/>
    <w:basedOn w:val="412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22</cp:revision>
  <dcterms:created xsi:type="dcterms:W3CDTF">2021-02-17T14:46:00Z</dcterms:created>
  <dcterms:modified xsi:type="dcterms:W3CDTF">2021-06-16T13:34:37Z</dcterms:modified>
</cp:coreProperties>
</file>