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ind w:right="-1"/>
        <w:jc w:val="center"/>
        <w:spacing w:lineRule="auto" w:line="240" w:after="0"/>
        <w:tabs>
          <w:tab w:val="left" w:pos="426" w:leader="none"/>
          <w:tab w:val="left" w:pos="709" w:leader="none"/>
          <w:tab w:val="left" w:pos="9214" w:leader="none"/>
        </w:tabs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580" cy="632459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9578" cy="632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4pt;height:49.8pt;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Україна</w:t>
      </w:r>
      <w:r>
        <w:rPr>
          <w:color w:val="000000" w:themeColor="text1"/>
        </w:rPr>
      </w:r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МЕНСЬКА МІСЬКА РАДА</w:t>
      </w:r>
      <w:r>
        <w:rPr>
          <w:color w:val="000000" w:themeColor="text1"/>
        </w:rPr>
      </w:r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Чернігівська область</w:t>
      </w:r>
      <w:r>
        <w:rPr>
          <w:color w:val="000000" w:themeColor="text1"/>
        </w:rPr>
      </w:r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 сесія восьмого скликання)</w:t>
      </w:r>
      <w:r>
        <w:rPr>
          <w:color w:val="000000" w:themeColor="text1"/>
        </w:rPr>
      </w:r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/>
        </w:rPr>
        <w:t xml:space="preserve">РІШЕННЯ</w:t>
      </w:r>
      <w:r>
        <w:rPr>
          <w:color w:val="000000" w:themeColor="text1"/>
        </w:rPr>
      </w:r>
    </w:p>
    <w:p>
      <w:pPr>
        <w:pStyle w:val="600"/>
        <w:ind w:right="-2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31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травня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№ 256</w:t>
      </w:r>
      <w:r>
        <w:rPr>
          <w:color w:val="000000" w:themeColor="text1"/>
        </w:rPr>
      </w:r>
    </w:p>
    <w:p>
      <w:pPr>
        <w:pStyle w:val="599"/>
        <w:ind w:firstLine="0"/>
        <w:spacing w:lineRule="auto" w:line="240" w:after="0" w:afterAutospacing="0" w:before="0" w:beforeAutospacing="0"/>
        <w:widowControl w:val="off"/>
        <w:tabs>
          <w:tab w:val="left" w:pos="4252" w:leader="none"/>
          <w:tab w:val="left" w:pos="6946" w:leader="none"/>
        </w:tabs>
        <w:rPr>
          <w:color w:val="000000" w:themeColor="text1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599"/>
        <w:ind w:left="0" w:right="5386" w:firstLine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Про погодження Положення </w:t>
      </w:r>
      <w:r>
        <w:rPr>
          <w:b/>
          <w:bCs/>
          <w:color w:val="000000" w:themeColor="text1"/>
          <w:sz w:val="28"/>
          <w:szCs w:val="28"/>
        </w:rPr>
        <w:t xml:space="preserve">про платні медичні послуги, </w:t>
      </w:r>
      <w:r>
        <w:rPr>
          <w:b/>
          <w:bCs/>
          <w:color w:val="000000" w:themeColor="text1"/>
          <w:sz w:val="28"/>
          <w:szCs w:val="28"/>
        </w:rPr>
        <w:t xml:space="preserve">що надаються </w:t>
      </w:r>
      <w:r>
        <w:rPr>
          <w:b/>
          <w:bCs/>
          <w:color w:val="000000" w:themeColor="text1"/>
          <w:sz w:val="28"/>
          <w:szCs w:val="28"/>
        </w:rPr>
        <w:t xml:space="preserve">КНП «Менськ</w:t>
      </w:r>
      <w:r>
        <w:rPr>
          <w:b/>
          <w:bCs/>
          <w:color w:val="000000" w:themeColor="text1"/>
          <w:sz w:val="28"/>
          <w:szCs w:val="28"/>
        </w:rPr>
        <w:t xml:space="preserve">ий центр первинної </w:t>
      </w:r>
      <w:r>
        <w:rPr>
          <w:b/>
          <w:bCs/>
          <w:color w:val="000000" w:themeColor="text1"/>
          <w:sz w:val="28"/>
          <w:szCs w:val="28"/>
        </w:rPr>
        <w:t xml:space="preserve">медико-санітарної допомоги» </w:t>
      </w:r>
      <w:r>
        <w:rPr>
          <w:b/>
          <w:bCs/>
          <w:color w:val="000000" w:themeColor="text1"/>
          <w:sz w:val="28"/>
          <w:szCs w:val="28"/>
        </w:rPr>
        <w:t xml:space="preserve">Менської міської ради </w:t>
      </w:r>
      <w:r>
        <w:rPr>
          <w:color w:val="000000" w:themeColor="text1"/>
        </w:rPr>
      </w:r>
    </w:p>
    <w:p>
      <w:pPr>
        <w:pStyle w:val="599"/>
        <w:ind w:left="0" w:right="5386" w:firstLine="0"/>
        <w:jc w:val="both"/>
        <w:spacing w:lineRule="auto" w:line="240"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</w:p>
    <w:p>
      <w:pPr>
        <w:pStyle w:val="599"/>
        <w:ind w:right="-284" w:firstLine="425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 xml:space="preserve">Відповідно до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</w:t>
      </w:r>
      <w:r>
        <w:rPr>
          <w:color w:val="000000" w:themeColor="text1"/>
          <w:sz w:val="28"/>
        </w:rPr>
        <w:t xml:space="preserve">щих медичних закладах освіти (зі змінами)», </w:t>
      </w:r>
      <w:r>
        <w:rPr>
          <w:color w:val="000000" w:themeColor="text1"/>
          <w:sz w:val="28"/>
        </w:rPr>
        <w:t xml:space="preserve">Закону України</w:t>
      </w:r>
      <w:r>
        <w:rPr>
          <w:color w:val="000000" w:themeColor="text1"/>
          <w:sz w:val="28"/>
        </w:rPr>
        <w:t xml:space="preserve"> «Про ціни і ціноутворення» від 21 червня 2012 р. № 5007-VI, керуючись </w:t>
      </w:r>
      <w:r>
        <w:rPr>
          <w:color w:val="000000" w:themeColor="text1"/>
          <w:sz w:val="28"/>
        </w:rPr>
        <w:t xml:space="preserve">ст.ст</w:t>
      </w:r>
      <w:r>
        <w:rPr>
          <w:color w:val="000000" w:themeColor="text1"/>
          <w:sz w:val="28"/>
        </w:rPr>
        <w:t xml:space="preserve">. 26, 59 Закону України «Про місцеве самоврядування в Україні», міська рада </w:t>
      </w:r>
      <w:r>
        <w:rPr>
          <w:color w:val="000000" w:themeColor="text1"/>
        </w:rPr>
      </w:r>
    </w:p>
    <w:p>
      <w:pPr>
        <w:pStyle w:val="599"/>
        <w:ind w:left="-425" w:right="-284" w:firstLine="425"/>
        <w:jc w:val="both"/>
        <w:spacing w:lineRule="auto" w:line="240" w:after="0" w:afterAutospacing="0" w:before="0" w:beforeAutospacing="0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ВИРІШИЛА:</w:t>
      </w:r>
      <w:r>
        <w:rPr>
          <w:color w:val="000000" w:themeColor="text1"/>
        </w:rPr>
      </w:r>
    </w:p>
    <w:p>
      <w:pPr>
        <w:pStyle w:val="599"/>
        <w:ind w:firstLine="709"/>
        <w:jc w:val="both"/>
        <w:spacing w:lineRule="auto" w:line="240" w:after="0" w:afterAutospacing="0" w:before="0" w:beforeAutospacing="0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Погодити Положення про платні медичні послуги, що надаються Комунальним некомерційним підприємством «Менський центр первинної медико -санітарної допомоги» Менської міської ради згідно додатку.</w:t>
      </w:r>
      <w:r>
        <w:rPr>
          <w:color w:val="000000" w:themeColor="text1"/>
        </w:rPr>
      </w:r>
    </w:p>
    <w:p>
      <w:pPr>
        <w:pStyle w:val="599"/>
        <w:ind w:firstLine="709"/>
        <w:jc w:val="both"/>
        <w:spacing w:lineRule="auto" w:line="240" w:after="0" w:afterAutospacing="0" w:before="0" w:beforeAutospacing="0"/>
        <w:tabs>
          <w:tab w:val="left" w:pos="524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Керівнику Комунального некомерційного підприємства «Мен</w:t>
      </w:r>
      <w:r>
        <w:rPr>
          <w:color w:val="000000" w:themeColor="text1"/>
          <w:sz w:val="28"/>
          <w:szCs w:val="28"/>
        </w:rPr>
        <w:t xml:space="preserve">ський центр первинної медико-санітарної допомоги» Менської міської ради Н.І.Корнієнко проводити роботу по розробці та затвердженню тарифів на платні медичні послуги відповідно до Положення про платні медичні послуги.</w:t>
      </w:r>
      <w:r>
        <w:rPr>
          <w:color w:val="000000" w:themeColor="text1"/>
        </w:rPr>
      </w:r>
    </w:p>
    <w:p>
      <w:pPr>
        <w:pStyle w:val="599"/>
        <w:ind w:firstLine="708"/>
        <w:jc w:val="both"/>
        <w:spacing w:lineRule="auto" w:line="240"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3.</w:t>
      </w:r>
      <w:r>
        <w:rPr>
          <w:color w:val="000000" w:themeColor="text1"/>
          <w:sz w:val="28"/>
          <w:szCs w:val="28"/>
        </w:rPr>
        <w:t xml:space="preserve"> Контроль за виконанням рішення пок</w:t>
      </w:r>
      <w:r>
        <w:rPr>
          <w:color w:val="000000" w:themeColor="text1"/>
          <w:sz w:val="28"/>
          <w:szCs w:val="28"/>
        </w:rPr>
        <w:t xml:space="preserve">ласти на першого заступника міського голови </w:t>
      </w:r>
      <w:r>
        <w:rPr>
          <w:color w:val="000000" w:themeColor="text1"/>
          <w:sz w:val="28"/>
          <w:szCs w:val="28"/>
        </w:rPr>
        <w:t xml:space="preserve">О.Л.Неберу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</w:rPr>
      </w:r>
    </w:p>
    <w:p>
      <w:pPr>
        <w:pStyle w:val="599"/>
        <w:ind w:firstLine="709"/>
        <w:spacing w:lineRule="auto" w:line="240"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</w:p>
    <w:p>
      <w:pPr>
        <w:pStyle w:val="599"/>
        <w:ind w:firstLine="709"/>
        <w:spacing w:lineRule="auto" w:line="240"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599"/>
        <w:ind w:firstLine="709"/>
        <w:spacing w:lineRule="auto" w:line="240"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599"/>
        <w:ind w:firstLine="709"/>
        <w:spacing w:lineRule="auto" w:line="240"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599"/>
        <w:ind w:firstLine="0"/>
        <w:spacing w:lineRule="auto" w:line="240" w:after="0" w:afterAutospacing="0" w:before="0" w:beforeAutospacing="0"/>
        <w:tabs>
          <w:tab w:val="left" w:pos="6236" w:leader="none"/>
        </w:tabs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Міський голова </w:t>
      </w:r>
      <w:r>
        <w:rPr>
          <w:b/>
          <w:bCs/>
          <w:color w:val="000000" w:themeColor="text1"/>
          <w:sz w:val="28"/>
          <w:szCs w:val="28"/>
        </w:rPr>
        <w:tab/>
        <w:t xml:space="preserve">Г.А. Примаков</w:t>
      </w:r>
      <w:r>
        <w:rPr>
          <w:color w:val="000000" w:themeColor="text1"/>
        </w:rPr>
      </w:r>
    </w:p>
    <w:p>
      <w:pPr>
        <w:shd w:val="nil" w:color="auto" w:fill="FFFFFF"/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br w:type="page"/>
      </w:r>
      <w:r>
        <w:rPr>
          <w:color w:val="000000" w:themeColor="text1"/>
        </w:rPr>
      </w:r>
    </w:p>
    <w:p>
      <w:pPr>
        <w:pStyle w:val="599"/>
        <w:ind w:left="5387" w:right="0" w:hanging="1"/>
        <w:jc w:val="both"/>
        <w:spacing w:lineRule="auto" w:line="240" w:after="0" w:afterAutospacing="0" w:before="0" w:beforeAutospacing="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Додаток </w:t>
      </w:r>
      <w:r>
        <w:rPr>
          <w:color w:val="000000" w:themeColor="text1"/>
          <w:sz w:val="22"/>
          <w:szCs w:val="20"/>
        </w:rPr>
        <w:t xml:space="preserve">до</w:t>
      </w:r>
      <w:r>
        <w:rPr>
          <w:color w:val="000000" w:themeColor="text1"/>
          <w:sz w:val="22"/>
          <w:szCs w:val="20"/>
        </w:rPr>
        <w:t xml:space="preserve"> рішення </w:t>
      </w:r>
      <w:r>
        <w:rPr>
          <w:color w:val="000000" w:themeColor="text1"/>
          <w:sz w:val="22"/>
          <w:szCs w:val="20"/>
        </w:rPr>
        <w:t xml:space="preserve">6</w:t>
      </w:r>
      <w:r>
        <w:rPr>
          <w:color w:val="000000" w:themeColor="text1"/>
          <w:sz w:val="22"/>
          <w:szCs w:val="20"/>
        </w:rPr>
        <w:t xml:space="preserve"> сесії Менської міської ради від</w:t>
      </w:r>
      <w:r>
        <w:rPr>
          <w:color w:val="000000" w:themeColor="text1"/>
          <w:sz w:val="22"/>
          <w:szCs w:val="20"/>
        </w:rPr>
        <w:t xml:space="preserve"> 31</w:t>
      </w:r>
      <w:r>
        <w:rPr>
          <w:color w:val="000000" w:themeColor="text1"/>
          <w:sz w:val="22"/>
          <w:szCs w:val="20"/>
        </w:rPr>
        <w:t xml:space="preserve"> травня 2021 року №256 «Про погодження Положення про платні комунальні послуги КНП «Менський центр первинної медико-санітарної допомоги» Менської міської ради </w:t>
      </w:r>
      <w:r>
        <w:rPr>
          <w:color w:val="000000" w:themeColor="text1"/>
          <w:sz w:val="22"/>
        </w:rPr>
      </w:r>
      <w:r>
        <w:rPr>
          <w:color w:val="000000" w:themeColor="text1"/>
          <w:sz w:val="22"/>
        </w:rPr>
      </w:r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8"/>
        </w:rPr>
      </w:r>
      <w:r>
        <w:rPr>
          <w:color w:val="000000" w:themeColor="text1"/>
          <w:sz w:val="16"/>
        </w:rPr>
      </w:r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ПОЛОЖЕННЯ </w:t>
      </w:r>
      <w:r>
        <w:rPr>
          <w:color w:val="000000" w:themeColor="text1"/>
        </w:rPr>
      </w:r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платні послуги, які надаються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комунальним некомерційним підприємством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«Мен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ський центр первинної медико-санітарної допомоги»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Менської міської ради</w:t>
      </w:r>
      <w:r>
        <w:rPr>
          <w:color w:val="000000" w:themeColor="text1"/>
        </w:rPr>
      </w:r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</w:r>
      <w:r>
        <w:rPr>
          <w:color w:val="000000" w:themeColor="text1"/>
        </w:rPr>
      </w:r>
    </w:p>
    <w:p>
      <w:pPr>
        <w:ind w:firstLine="284"/>
        <w:jc w:val="center"/>
        <w:spacing w:lineRule="auto" w:line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Загальні положення</w:t>
      </w:r>
      <w:r>
        <w:rPr>
          <w:color w:val="000000" w:themeColor="text1"/>
        </w:rPr>
      </w:r>
    </w:p>
    <w:p>
      <w:pPr>
        <w:ind w:firstLine="708"/>
        <w:jc w:val="both"/>
        <w:spacing w:lineRule="auto" w:line="240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Положення про платні послуги, які надаються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комунальним некомерційним підприємством «Менський центр первинної медико-санітарної допомоги»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Менської міської ради </w:t>
      </w:r>
      <w:r>
        <w:rPr>
          <w:rFonts w:ascii="Times New Roman" w:hAnsi="Times New Roman" w:cs="Times New Roman"/>
          <w:i w:val="false"/>
          <w:color w:val="000000" w:themeColor="text1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i w:val="false"/>
          <w:iCs/>
          <w:color w:val="000000" w:themeColor="text1"/>
          <w:sz w:val="28"/>
          <w:szCs w:val="28"/>
          <w:highlight w:val="white"/>
        </w:rPr>
        <w:t xml:space="preserve"> дал</w:t>
      </w:r>
      <w:r>
        <w:rPr>
          <w:rFonts w:ascii="Times New Roman" w:hAnsi="Times New Roman" w:cs="Times New Roman"/>
          <w:i w:val="false"/>
          <w:iCs/>
          <w:color w:val="000000" w:themeColor="text1"/>
          <w:sz w:val="28"/>
          <w:szCs w:val="28"/>
          <w:highlight w:val="white"/>
        </w:rPr>
        <w:t xml:space="preserve">і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— Положення) розроблено відповідно до частини дев’ятої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тті 18 Закону України «Основи законодавства України про охорону здоров’я»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 19.11.1992 № 2801-XII; Статуту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false"/>
          <w:iCs/>
          <w:color w:val="000000" w:themeColor="text1"/>
          <w:sz w:val="28"/>
          <w:szCs w:val="28"/>
        </w:rPr>
        <w:t xml:space="preserve">далі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КНП, підприємство), яким передбачено можливість надання платних медичних послуг населенню.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основі Положення:</w:t>
      </w:r>
      <w:r>
        <w:rPr>
          <w:color w:val="000000" w:themeColor="text1"/>
        </w:rPr>
      </w:r>
    </w:p>
    <w:p>
      <w:pPr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Закон України «Про ціни та ціноутворення» від 21 червня 2012 р. № 5007-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</w:p>
    <w:p>
      <w:pPr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П(С)БО 16 «Витрати», затверджений наказом Мінфіну від 31 грудня 1999 № 318;</w:t>
      </w:r>
      <w:r>
        <w:rPr>
          <w:color w:val="000000" w:themeColor="text1"/>
        </w:rPr>
      </w:r>
    </w:p>
    <w:p>
      <w:pPr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постанова КМУ України від 27 грудня 2017 № 1075 «Про затвердження Методики розрахунку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вартості послуги з медичного обслуговування»;</w:t>
      </w:r>
      <w:r>
        <w:rPr>
          <w:color w:val="000000" w:themeColor="text1"/>
        </w:rPr>
      </w:r>
    </w:p>
    <w:p>
      <w:pPr>
        <w:jc w:val="both"/>
        <w:spacing w:lineRule="auto" w:line="240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проведення медичних оглядів працівників певних категорій,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затверджений наказом Міністерства охорони здоров’я України від 21 травня 2007 р. № 246;</w:t>
      </w:r>
      <w:r>
        <w:rPr>
          <w:color w:val="000000" w:themeColor="text1"/>
        </w:rPr>
      </w:r>
    </w:p>
    <w:p>
      <w:pPr>
        <w:jc w:val="both"/>
        <w:spacing w:lineRule="auto" w:line="240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59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Правила проведення обов'язкових профілактичних медичних о</w:t>
      </w:r>
      <w:r>
        <w:rPr>
          <w:rStyle w:val="59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глядів працівників окремих професій, виробництв та організацій, діяльність яких пов'язана з обслуговуванням населення і може призвести до поширення інфекційних </w:t>
      </w:r>
      <w:r>
        <w:rPr>
          <w:rStyle w:val="59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хвороб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затверджені наказом Міністерства охорони здоров’я України від 23 липня 2002 р. № 280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редакції наказу Міністерства охорони здоров’я від 21 лютого 2013 року № 150).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Перелік платних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медичних посл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 у Положенні відповідає Переліку платних послуг, які надаються в державних і комунальних закладах охорони здоров’я та вищих медичних навчальни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закладах, затвердженому постановою Кабінету Міністрів України від 17 вересня 1996 р. № 1138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затвердження переліку платних послуг, які надаються в державних і комунальних закладах охорони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здоров’я та вищих медичних навчальних закладах»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(зі змінами).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далі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Перелік № 1138).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Мета Положення — підвищення рівня якості медичного обслуговування населення шляхом регламентування процесу надання платних послуг КНП, створення методологічної бази для розрахунку їх собівартості, обґрунтування тарифів на платні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КНП.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Положення відповідає внутрішнім наказам про облікову політику підприємства. </w:t>
      </w:r>
      <w:r>
        <w:rPr>
          <w:color w:val="000000" w:themeColor="text1"/>
        </w:rPr>
      </w:r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надання платних послуг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КНП надає платні медичні послуги на засадах, визначених пунктом 1.5 статуту підприємства: провадить господарську некомерц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ійну діяльність, спрямовану на досягнення соціальних цілей, без мети одержання прибутку. Соціальні цілі полягають у реалізації права на охорону здоров’я згідно зі статтею 6 Закону № 2801.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Підприємство надає платні послуги у межах Переліку№1138.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Трудо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ві, економічні та соціальні відносини підприємства і працівників, які бе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руть участь у наданні платних послуг, регулює колективний договір. Підприємство залучає працівників до надання платних послуг на основі колективного договору та посадових інструкцій. </w:t>
      </w:r>
      <w:r>
        <w:rPr>
          <w:color w:val="000000" w:themeColor="text1"/>
        </w:rPr>
      </w:r>
    </w:p>
    <w:p>
      <w:pPr>
        <w:ind w:left="54" w:firstLine="513"/>
        <w:jc w:val="both"/>
        <w:spacing w:lineRule="auto" w:line="240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2.3. Послуги, вказані в п. 2.1, надаються на підставі тарифів на платні послуги, які розраховуються економічною службою КНП, затверджуються генеральним директором КНП.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Проєкти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рішення про затвердження тарифів на платні послуги подаються до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ради та погоджуються виконавчим комітетом Менської міської ради.</w:t>
      </w:r>
      <w:r>
        <w:rPr>
          <w:color w:val="000000" w:themeColor="text1"/>
        </w:rPr>
      </w:r>
    </w:p>
    <w:p>
      <w:pPr>
        <w:ind w:left="54" w:firstLine="513"/>
        <w:jc w:val="both"/>
        <w:spacing w:lineRule="auto" w:line="240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2.4. Достовірне інформування щодо переліку платних послуг, які надаються в КНП, та тарифів на них забезпечується шляхом розміщення прейскурантів цін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в структурних підрозділах підприємства у доступних для пацієнтів місцях та на веб-сайті.</w:t>
      </w:r>
      <w:r>
        <w:rPr>
          <w:color w:val="000000" w:themeColor="text1"/>
        </w:rPr>
      </w:r>
    </w:p>
    <w:p>
      <w:pPr>
        <w:ind w:left="54" w:firstLine="513"/>
        <w:jc w:val="both"/>
        <w:spacing w:lineRule="auto" w:line="240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2.5. Відповідніст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ціни на платні послуги затвердженому Тарифу, якість та повнота їх надання контролюється адміністрацією КНП.</w:t>
      </w:r>
      <w:r>
        <w:rPr>
          <w:color w:val="000000" w:themeColor="text1"/>
        </w:rPr>
      </w:r>
    </w:p>
    <w:p>
      <w:pPr>
        <w:ind w:left="54"/>
        <w:jc w:val="center"/>
        <w:spacing w:lineRule="auto" w:line="240"/>
        <w:widowControl w:val="o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3. Розр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shd w:val="clear" w:color="auto" w:fill="FFFFFF"/>
        </w:rPr>
        <w:t xml:space="preserve">ахунок собівартості платних меди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shd w:val="clear" w:color="auto" w:fill="FFFFFF"/>
        </w:rPr>
        <w:t xml:space="preserve">чних послуг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 на платні послуги, що надаються в КНП, розраховуються індивідуально з урахуванням економічно обґрунтованих витрат. У розрахунки тарифів задіяні всі витрати КНП, незалежно від джерел їх фінансування.</w:t>
      </w:r>
      <w:r>
        <w:rPr>
          <w:color w:val="000000" w:themeColor="text1"/>
        </w:rPr>
      </w:r>
    </w:p>
    <w:p>
      <w:pPr>
        <w:ind w:left="54" w:firstLine="513"/>
        <w:jc w:val="both"/>
        <w:spacing w:lineRule="auto" w:line="240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3.2.Розрахунок собівартості платних послуг здійснюється:</w:t>
      </w:r>
      <w:r>
        <w:rPr>
          <w:color w:val="000000" w:themeColor="text1"/>
        </w:rPr>
      </w:r>
    </w:p>
    <w:p>
      <w:pPr>
        <w:ind w:left="54"/>
        <w:jc w:val="both"/>
        <w:spacing w:lineRule="auto" w:line="240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 принципами класифікації витрат та розрахунку фактичної собівартості у П(С)БО 16;</w:t>
      </w:r>
      <w:r>
        <w:rPr>
          <w:color w:val="000000" w:themeColor="text1"/>
        </w:rPr>
      </w:r>
    </w:p>
    <w:p>
      <w:pPr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методом покрокового розподілу витрат «зверху донизу», визначеним Методикою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№ 1075.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3.3. У розрахунках врахову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ют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ься витрати калькуляційних груп: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1) «Адміністративні підрозділи» — адміністрація, адміністративно-господарська частина, що надають послуги, пов’язані з виникненням непрямих (накладних) витрат;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2) «Допоміжні підрозділи» — надають допоміжні послуги, не пов’я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зані безпосередньо з наданням медичних послуг;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3) «Основні медичні підрозділи» — кабінети та структурні підрозділи, які безпосередньо надають медичні послуги з лікування.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При розрахунку собівартості послуг розподіл витрат здійснюється у низхідному порядку,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 а саме:</w:t>
      </w:r>
      <w:r>
        <w:rPr>
          <w:color w:val="000000" w:themeColor="text1"/>
        </w:rPr>
      </w:r>
    </w:p>
    <w:p>
      <w:pPr>
        <w:pStyle w:val="591"/>
        <w:numPr>
          <w:ilvl w:val="0"/>
          <w:numId w:val="8"/>
        </w:numPr>
        <w:contextualSpacing w:val="true"/>
        <w:ind w:left="0" w:right="0" w:firstLine="0"/>
        <w:jc w:val="both"/>
        <w:spacing w:lineRule="auto" w:line="240"/>
        <w:tabs>
          <w:tab w:val="left" w:pos="283" w:leader="none"/>
        </w:tabs>
        <w:rPr>
          <w:color w:val="000000" w:themeColor="text1"/>
          <w:highlight w:val="white"/>
        </w:rPr>
      </w:pPr>
      <w:r>
        <w:rPr>
          <w:color w:val="000000" w:themeColor="text1"/>
          <w:highlight w:val="white"/>
          <w:lang w:val="uk-UA"/>
        </w:rPr>
        <w:t xml:space="preserve">при розрахунку собівартості послуг, які надають підрозділи калькуляційної групи 2 - </w:t>
      </w:r>
      <w:r>
        <w:rPr>
          <w:color w:val="000000" w:themeColor="text1"/>
          <w:highlight w:val="white"/>
          <w:lang w:val="uk-UA"/>
        </w:rPr>
        <w:t xml:space="preserve">враховуються </w:t>
      </w:r>
      <w:r>
        <w:rPr>
          <w:color w:val="000000" w:themeColor="text1"/>
          <w:highlight w:val="white"/>
          <w:lang w:val="uk-UA"/>
        </w:rPr>
        <w:t xml:space="preserve">розподілені витрати тільки підрозділів калькуляційної групи 1;</w:t>
      </w:r>
      <w:r>
        <w:rPr>
          <w:color w:val="000000" w:themeColor="text1"/>
        </w:rPr>
      </w:r>
    </w:p>
    <w:p>
      <w:pPr>
        <w:pStyle w:val="591"/>
        <w:numPr>
          <w:ilvl w:val="0"/>
          <w:numId w:val="8"/>
        </w:numPr>
        <w:contextualSpacing w:val="true"/>
        <w:ind w:left="0" w:right="0" w:firstLine="0"/>
        <w:jc w:val="both"/>
        <w:spacing w:lineRule="auto" w:line="240"/>
        <w:tabs>
          <w:tab w:val="left" w:pos="283" w:leader="none"/>
        </w:tabs>
        <w:rPr>
          <w:color w:val="000000" w:themeColor="text1"/>
          <w:highlight w:val="white"/>
        </w:rPr>
      </w:pPr>
      <w:r>
        <w:rPr>
          <w:color w:val="000000" w:themeColor="text1"/>
          <w:highlight w:val="white"/>
          <w:lang w:val="uk-UA"/>
        </w:rPr>
        <w:t xml:space="preserve">при розрахунку собівартості послуг, які надають підрозділи калькуляційної групи 3 - вра</w:t>
      </w:r>
      <w:r>
        <w:rPr>
          <w:color w:val="000000" w:themeColor="text1"/>
          <w:highlight w:val="white"/>
          <w:lang w:val="uk-UA"/>
        </w:rPr>
        <w:t xml:space="preserve">ховуються розподілені витрати підрозділів калькуляційних груп 2 і 3.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Перед розподілом загальних витрат виконується розподіл загальновиробничих витрат (рахунок бухгалтерського обліку 91) між калькуляційними групами 2 і 3. 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3.4. До непрямих витрат, які підля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гають розподілу на калькуляційні групи (п. 3.2 цього Положення) та використовуються при підрахунку собівартості платних медичних послуг, належать:</w:t>
      </w:r>
      <w:r>
        <w:rPr>
          <w:color w:val="000000" w:themeColor="text1"/>
        </w:rPr>
      </w:r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загальновиробничі витрати (рахунок бухгалтерського обліку 91);</w:t>
      </w:r>
      <w:r>
        <w:rPr>
          <w:color w:val="000000" w:themeColor="text1"/>
        </w:rPr>
      </w:r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- адміністративні витрати (рахунок бухгалтерського обліку 92).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Розподіл непрямих витрат передує розподілу загальних витрат підрозділів.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3.5. Розподіл непрямих витрат здійснюється згідно з пункт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ом 16 П(С)БО16. Базами (критеріями) розподілу непрямих витрат на калькуляційні групи є:</w:t>
      </w:r>
      <w:r>
        <w:rPr>
          <w:color w:val="000000" w:themeColor="text1"/>
        </w:rPr>
      </w:r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площа приміщень —  витрати на комунальні послуги (електроенергія, опалення, водопостачання та водовідведення тощо);</w:t>
      </w:r>
      <w:r>
        <w:rPr>
          <w:color w:val="000000" w:themeColor="text1"/>
        </w:rPr>
      </w:r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- кількість персоналу (фактично зайняті ставки) — решта витрат.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Склад загальновиробничих та адміністративних витрат КНП визначається на підс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таві наказу про облікову політику та пунктів 15 і 18 П(С)БО 16.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3.6. Розподіл загальних витрат підрозділів КНП здійснюється за Методикою № 1075. Базою (критерієм) розподілу загальних витрат до центрів витрат за принципом «зверху донизу» відповідно до пункт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у 3.2 цього Положення є кількість персоналу (фактично зайнятих ставок).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3.7. Форму типової калькуляції собівартості платної медичної послуги  містить Додаток 1 до Положення.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3.8. Для кількісної оцінки матеріальних витрат використовуються  норми, затвердже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ні МОЗ України, а за їх відсутності, склад та кількість таких витрат затверджується наказом генерального директора під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приємства.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При розрахунку прямих витрат використовуються норми часу медичних та немедичних працівників згідно діючих нормативних 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ументів, а за відсутності таких нормативів застосовуються хронометражі часу виконання певного виду послуг,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дені створеною у закладі комісією та затвердж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ені керівником КНП.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Розподіл непрямих витрат між усіма підрозділами КНП здійснюється за допом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огою критеріїв розподілу, які залежать від виду послуги та типу витрат. Критерії розподілу непрямих витрат зазначаються в обліковій політиці КНП та затверджуються наказом керівника.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Після обчислення повної собівартості до неї додається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ентабельність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не перевищує плановий рівень в розмірі 20 %.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Граничний розмір преміювання для одного працівника не повинен перевищувати  50 %.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Технічна реалізація розрахунку тарифів проводиться з використанням стандартних продуктів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MSOffice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та/або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спеціально розробленого програмного забезпечення.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Термін дії тарифів не обмежений. Зміни тарифів можуть бути здійснені після внесення відповідних змін до чинного законодавства України та у разі виникнення обґрунтованої потреби, зокрема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випадках:</w:t>
      </w:r>
      <w:r>
        <w:rPr>
          <w:color w:val="000000" w:themeColor="text1"/>
        </w:rPr>
      </w:r>
    </w:p>
    <w:p>
      <w:pPr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значні зміни в оплаті праці працівників згідно з урядовими рішеннями та відповідними наказами Міністерства охорони здоров’я України, зокрема при збільшенні мінімального розміру заробітної плати;</w:t>
      </w:r>
      <w:r>
        <w:rPr>
          <w:color w:val="000000" w:themeColor="text1"/>
        </w:rPr>
      </w:r>
    </w:p>
    <w:p>
      <w:pPr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зростання тарифів на енергоносії, водопо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стачання та водовідведення, теплопостачання тощо;</w:t>
      </w:r>
      <w:r>
        <w:rPr>
          <w:color w:val="000000" w:themeColor="text1"/>
        </w:rPr>
      </w:r>
    </w:p>
    <w:p>
      <w:pPr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ріст закупівельних цін на медикаменти, медичні вироби, предмети та матеріали, що необхідні для надання послуг.</w:t>
      </w:r>
      <w:r>
        <w:rPr>
          <w:color w:val="000000" w:themeColor="text1"/>
        </w:rPr>
      </w:r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Оплата послуг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КНП приймає оплату за платні послуги від фізичних і юридичних осіб, у т.ч. страхових компаній.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Фізичні особи розраховуються у готівковій і безготівковій формі, юридичні — тільки в безготівковій. Розрахунки з фізичними особами в касі КНП здійсню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 дотриманням вимог Положення про ведення касових операцій у національній валюті в Україні, затвердженого Постановою Правління Національного банку України  від 29 грудня 2017 № 148. Сума платежу готівкою за один день не може перевищувати 50 000 грн. вклю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залежності від виду платної послуги оплата здійснюється перед наданням такої послуги або по факту її надання.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Відповідальні осо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би з числа медичних працівників надают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платні послуги тільки після пред’явлення отримувачем послуги документа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оплату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квитанції, прибуткового касового ордера, фіскального чека РРО, банківської квитанції, тощо.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Факт надання платної медичної чи немедичної послуги фіксується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акті надання послуг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та/або в іншому затвердженому КПН документі, що підтверджує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такий факт.</w:t>
      </w:r>
      <w:r>
        <w:rPr>
          <w:color w:val="000000" w:themeColor="text1"/>
        </w:rPr>
      </w:r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Розподіл та використання грошових надходжень</w:t>
      </w:r>
      <w:r>
        <w:rPr>
          <w:color w:val="000000" w:themeColor="text1"/>
        </w:rPr>
      </w:r>
    </w:p>
    <w:p>
      <w:pPr>
        <w:ind w:firstLine="708"/>
        <w:jc w:val="both"/>
        <w:spacing w:lineRule="auto" w:line="24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Кошти, отримані від надання платних послуг, підприємство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використовує виключно для фінансування видатків на утримання закладу, реалізації мети (цілей, завдань) та напрямів діяльності, визначених Статутом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КНП (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п.п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133.4.2 п. 133.4 ст. 133 Податкового кодексу України). 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5.2. Пріоритетні напрями розподілу коштів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, отриманих за надання платних медичних послуг:</w:t>
      </w:r>
      <w:r>
        <w:rPr>
          <w:color w:val="000000" w:themeColor="text1"/>
        </w:rPr>
      </w:r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- оплата праці медичних працівників КНП — передусім тих, які забезпечують надання платних медичних послуг; </w:t>
      </w:r>
      <w:r>
        <w:rPr>
          <w:color w:val="000000" w:themeColor="text1"/>
        </w:rPr>
      </w:r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- сплата ЄСВ, інших зарплатних податків і зборів;</w:t>
      </w:r>
      <w:r>
        <w:rPr>
          <w:color w:val="000000" w:themeColor="text1"/>
        </w:rPr>
      </w:r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- оновлення матеріально-технічної бази КНП.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</w:rPr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6. Прикінцеві положення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6.1. Положення набирає чинності з дати його підписання та погодження. 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6.2. Пропозиції щодо внесення змін до Положення подають економіст, головний бухгалтер. Перегляд Положення зумовлюють зміни організаційної структури КНП, перелі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ку платних послуг, законодавства. 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6.3. Додаток до цього Положення є його невід’ємною частиною. </w:t>
      </w:r>
      <w:r>
        <w:rPr>
          <w:color w:val="000000" w:themeColor="text1"/>
        </w:rPr>
      </w:r>
    </w:p>
    <w:p>
      <w:pPr>
        <w:ind w:left="5953" w:right="0" w:firstLine="0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Додаток 1 </w:t>
      </w:r>
      <w:r>
        <w:rPr>
          <w:color w:val="000000" w:themeColor="text1"/>
        </w:rPr>
      </w:r>
    </w:p>
    <w:p>
      <w:pPr>
        <w:ind w:left="5953" w:right="0" w:firstLine="0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до Положення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про платні медичні послуги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(пункт 3.7)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p>
      <w:pPr>
        <w:ind w:firstLine="709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Форма типової калькуляції собівартості платної медичної послуги </w:t>
      </w:r>
      <w:r>
        <w:rPr>
          <w:color w:val="000000" w:themeColor="text1"/>
        </w:rPr>
      </w:r>
    </w:p>
    <w:p>
      <w:pPr>
        <w:ind w:firstLine="709"/>
        <w:spacing w:lineRule="auto" w:line="24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tbl>
      <w:tblPr>
        <w:tblStyle w:val="597"/>
        <w:tblW w:w="7885" w:type="dxa"/>
        <w:jc w:val="center"/>
        <w:tblBorders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66"/>
        <w:gridCol w:w="2348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  <w:lang w:val="ru-RU" w:eastAsia="ru-RU"/>
              </w:rPr>
              <w:t xml:space="preserve">№ п/п</w:t>
            </w:r>
            <w:r>
              <w:rPr>
                <w:b w:val="false"/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  <w:lang w:val="ru-RU" w:eastAsia="ru-RU"/>
              </w:rPr>
              <w:t xml:space="preserve">Витрати</w:t>
            </w:r>
            <w:r>
              <w:rPr>
                <w:b w:val="false"/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/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  <w:lang w:val="ru-RU" w:eastAsia="ru-RU"/>
              </w:rPr>
              <w:t xml:space="preserve">Сума </w:t>
            </w:r>
            <w:r>
              <w:rPr>
                <w:b w:val="false"/>
                <w:color w:val="000000" w:themeColor="text1"/>
                <w:sz w:val="18"/>
              </w:rPr>
            </w:r>
          </w:p>
          <w:p>
            <w:pPr>
              <w:ind w:right="-108"/>
              <w:jc w:val="center"/>
              <w:spacing w:lineRule="auto" w:line="240"/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  <w:lang w:val="ru-RU" w:eastAsia="ru-RU"/>
              </w:rPr>
              <w:t xml:space="preserve">(на </w:t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  <w:lang w:val="ru-RU" w:eastAsia="ru-RU"/>
              </w:rPr>
              <w:t xml:space="preserve">одиницю</w:t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2"/>
                <w:szCs w:val="28"/>
                <w:lang w:val="ru-RU" w:eastAsia="ru-RU"/>
              </w:rPr>
              <w:t xml:space="preserve">),</w:t>
            </w:r>
            <w:r>
              <w:rPr>
                <w:rFonts w:ascii="Times New Roman" w:hAnsi="Times New Roman" w:cs="Times New Roman"/>
                <w:b w:val="false"/>
                <w:i w:val="false"/>
                <w:color w:val="000000" w:themeColor="text1"/>
                <w:sz w:val="22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i w:val="false"/>
                <w:color w:val="000000" w:themeColor="text1"/>
                <w:sz w:val="22"/>
                <w:szCs w:val="28"/>
                <w:lang w:val="ru-RU" w:eastAsia="ru-RU"/>
              </w:rPr>
              <w:t xml:space="preserve">грн</w:t>
            </w:r>
            <w:r>
              <w:rPr>
                <w:b w:val="false"/>
                <w:color w:val="000000" w:themeColor="text1"/>
                <w:sz w:val="18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Прямі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витрати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1.1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Матеріальні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1.2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На оплату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праці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1.3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ЄСВ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1.4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Амортизаційні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Розподілені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витрати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Усього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витрат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firstLine="709"/>
        <w:spacing w:lineRule="auto" w:line="240"/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</w:r>
      <w:r>
        <w:rPr>
          <w:color w:val="000000" w:themeColor="text1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789" w:hanging="108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429"/>
    <w:link w:val="420"/>
    <w:uiPriority w:val="9"/>
    <w:rPr>
      <w:rFonts w:ascii="Arial" w:hAnsi="Arial" w:cs="Arial" w:eastAsia="Arial"/>
      <w:sz w:val="40"/>
      <w:szCs w:val="40"/>
    </w:rPr>
  </w:style>
  <w:style w:type="character" w:styleId="405">
    <w:name w:val="Heading 2 Char"/>
    <w:basedOn w:val="429"/>
    <w:link w:val="421"/>
    <w:uiPriority w:val="9"/>
    <w:rPr>
      <w:rFonts w:ascii="Arial" w:hAnsi="Arial" w:cs="Arial" w:eastAsia="Arial"/>
      <w:sz w:val="34"/>
    </w:rPr>
  </w:style>
  <w:style w:type="character" w:styleId="406">
    <w:name w:val="Heading 3 Char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07">
    <w:name w:val="Heading 4 Char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08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09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10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12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13">
    <w:name w:val="Title Char"/>
    <w:basedOn w:val="429"/>
    <w:link w:val="442"/>
    <w:uiPriority w:val="10"/>
    <w:rPr>
      <w:sz w:val="48"/>
      <w:szCs w:val="48"/>
    </w:rPr>
  </w:style>
  <w:style w:type="character" w:styleId="414">
    <w:name w:val="Subtitle Char"/>
    <w:basedOn w:val="429"/>
    <w:link w:val="444"/>
    <w:uiPriority w:val="11"/>
    <w:rPr>
      <w:sz w:val="24"/>
      <w:szCs w:val="24"/>
    </w:rPr>
  </w:style>
  <w:style w:type="character" w:styleId="415">
    <w:name w:val="Quote Char"/>
    <w:link w:val="446"/>
    <w:uiPriority w:val="29"/>
    <w:rPr>
      <w:i/>
    </w:rPr>
  </w:style>
  <w:style w:type="character" w:styleId="416">
    <w:name w:val="Intense Quote Char"/>
    <w:link w:val="448"/>
    <w:uiPriority w:val="30"/>
    <w:rPr>
      <w:i/>
    </w:rPr>
  </w:style>
  <w:style w:type="character" w:styleId="417">
    <w:name w:val="Header Char"/>
    <w:basedOn w:val="429"/>
    <w:link w:val="450"/>
    <w:uiPriority w:val="99"/>
  </w:style>
  <w:style w:type="character" w:styleId="418">
    <w:name w:val="Footer Char"/>
    <w:basedOn w:val="429"/>
    <w:link w:val="452"/>
    <w:uiPriority w:val="99"/>
  </w:style>
  <w:style w:type="paragraph" w:styleId="419" w:default="1">
    <w:name w:val="Normal"/>
    <w:qFormat/>
    <w:rPr>
      <w:rFonts w:cs="Calibri"/>
      <w:sz w:val="22"/>
      <w:lang w:val="uk-UA" w:eastAsia="en-US"/>
    </w:rPr>
  </w:style>
  <w:style w:type="paragraph" w:styleId="420">
    <w:name w:val="Heading 1"/>
    <w:basedOn w:val="419"/>
    <w:next w:val="419"/>
    <w:link w:val="4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1">
    <w:name w:val="Heading 2"/>
    <w:basedOn w:val="419"/>
    <w:next w:val="419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2">
    <w:name w:val="Heading 3"/>
    <w:basedOn w:val="419"/>
    <w:next w:val="419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3">
    <w:name w:val="Heading 4"/>
    <w:basedOn w:val="419"/>
    <w:next w:val="419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4">
    <w:name w:val="Heading 5"/>
    <w:basedOn w:val="419"/>
    <w:next w:val="419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5">
    <w:name w:val="Heading 6"/>
    <w:basedOn w:val="419"/>
    <w:next w:val="419"/>
    <w:link w:val="4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6">
    <w:name w:val="Heading 7"/>
    <w:basedOn w:val="419"/>
    <w:next w:val="419"/>
    <w:link w:val="4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7">
    <w:name w:val="Heading 8"/>
    <w:basedOn w:val="419"/>
    <w:next w:val="419"/>
    <w:link w:val="4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8">
    <w:name w:val="Heading 9"/>
    <w:basedOn w:val="419"/>
    <w:next w:val="419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Заголовок 1 Знак"/>
    <w:basedOn w:val="429"/>
    <w:link w:val="420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basedOn w:val="429"/>
    <w:link w:val="421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</w:style>
  <w:style w:type="paragraph" w:styleId="442">
    <w:name w:val="Title"/>
    <w:basedOn w:val="419"/>
    <w:next w:val="419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Назва Знак"/>
    <w:basedOn w:val="429"/>
    <w:link w:val="442"/>
    <w:uiPriority w:val="10"/>
    <w:rPr>
      <w:sz w:val="48"/>
      <w:szCs w:val="48"/>
    </w:rPr>
  </w:style>
  <w:style w:type="paragraph" w:styleId="444">
    <w:name w:val="Subtitle"/>
    <w:basedOn w:val="419"/>
    <w:next w:val="419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ідзаголовок Знак"/>
    <w:basedOn w:val="429"/>
    <w:link w:val="444"/>
    <w:uiPriority w:val="11"/>
    <w:rPr>
      <w:sz w:val="24"/>
      <w:szCs w:val="24"/>
    </w:rPr>
  </w:style>
  <w:style w:type="paragraph" w:styleId="446">
    <w:name w:val="Quote"/>
    <w:basedOn w:val="419"/>
    <w:next w:val="419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Знак"/>
    <w:link w:val="446"/>
    <w:uiPriority w:val="29"/>
    <w:rPr>
      <w:i/>
    </w:rPr>
  </w:style>
  <w:style w:type="paragraph" w:styleId="448">
    <w:name w:val="Intense Quote"/>
    <w:basedOn w:val="419"/>
    <w:next w:val="419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Насичена цитата Знак"/>
    <w:link w:val="448"/>
    <w:uiPriority w:val="30"/>
    <w:rPr>
      <w:i/>
    </w:rPr>
  </w:style>
  <w:style w:type="paragraph" w:styleId="450">
    <w:name w:val="Header"/>
    <w:basedOn w:val="419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ій колонтитул Знак"/>
    <w:basedOn w:val="429"/>
    <w:link w:val="450"/>
    <w:uiPriority w:val="99"/>
  </w:style>
  <w:style w:type="paragraph" w:styleId="452">
    <w:name w:val="Footer"/>
    <w:basedOn w:val="419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ій колонтитул Знак"/>
    <w:basedOn w:val="429"/>
    <w:link w:val="452"/>
    <w:uiPriority w:val="99"/>
  </w:style>
  <w:style w:type="table" w:styleId="454" w:customStyle="1">
    <w:name w:val="Table Grid Light"/>
    <w:basedOn w:val="4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5">
    <w:name w:val="Plain Table 1"/>
    <w:basedOn w:val="4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2"/>
    <w:basedOn w:val="43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3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>
    <w:name w:val="Plain Table 4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Plain Table 5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>
    <w:name w:val="Grid Table 1 Light"/>
    <w:basedOn w:val="43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1"/>
    <w:basedOn w:val="43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2"/>
    <w:basedOn w:val="43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3"/>
    <w:basedOn w:val="43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4"/>
    <w:basedOn w:val="43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5"/>
    <w:basedOn w:val="43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6"/>
    <w:basedOn w:val="43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2"/>
    <w:basedOn w:val="4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1"/>
    <w:basedOn w:val="4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2"/>
    <w:basedOn w:val="4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3"/>
    <w:basedOn w:val="4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4"/>
    <w:basedOn w:val="4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5"/>
    <w:basedOn w:val="4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6"/>
    <w:basedOn w:val="4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"/>
    <w:basedOn w:val="4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1"/>
    <w:basedOn w:val="4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2"/>
    <w:basedOn w:val="4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3"/>
    <w:basedOn w:val="4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4"/>
    <w:basedOn w:val="4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5"/>
    <w:basedOn w:val="4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6"/>
    <w:basedOn w:val="4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4"/>
    <w:basedOn w:val="43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 w:customStyle="1">
    <w:name w:val="Grid Table 4 - Accent 1"/>
    <w:basedOn w:val="43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3" w:customStyle="1">
    <w:name w:val="Grid Table 4 - Accent 2"/>
    <w:basedOn w:val="43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4" w:customStyle="1">
    <w:name w:val="Grid Table 4 - Accent 3"/>
    <w:basedOn w:val="43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5" w:customStyle="1">
    <w:name w:val="Grid Table 4 - Accent 4"/>
    <w:basedOn w:val="43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6" w:customStyle="1">
    <w:name w:val="Grid Table 4 - Accent 5"/>
    <w:basedOn w:val="43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7" w:customStyle="1">
    <w:name w:val="Grid Table 4 - Accent 6"/>
    <w:basedOn w:val="43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8">
    <w:name w:val="Grid Table 5 Dark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1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2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3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4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5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6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5">
    <w:name w:val="Grid Table 6 Colorful"/>
    <w:basedOn w:val="43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6" w:customStyle="1">
    <w:name w:val="Grid Table 6 Colorful - Accent 1"/>
    <w:basedOn w:val="43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7" w:customStyle="1">
    <w:name w:val="Grid Table 6 Colorful - Accent 2"/>
    <w:basedOn w:val="4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8" w:customStyle="1">
    <w:name w:val="Grid Table 6 Colorful - Accent 3"/>
    <w:basedOn w:val="43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9" w:customStyle="1">
    <w:name w:val="Grid Table 6 Colorful - Accent 4"/>
    <w:basedOn w:val="4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0" w:customStyle="1">
    <w:name w:val="Grid Table 6 Colorful - Accent 5"/>
    <w:basedOn w:val="43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1" w:customStyle="1">
    <w:name w:val="Grid Table 6 Colorful - Accent 6"/>
    <w:basedOn w:val="43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2">
    <w:name w:val="Grid Table 7 Colorful"/>
    <w:basedOn w:val="43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1"/>
    <w:basedOn w:val="43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2"/>
    <w:basedOn w:val="43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3"/>
    <w:basedOn w:val="43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4"/>
    <w:basedOn w:val="43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5"/>
    <w:basedOn w:val="43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6"/>
    <w:basedOn w:val="43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1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2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3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4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5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6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2"/>
    <w:basedOn w:val="43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7" w:customStyle="1">
    <w:name w:val="List Table 2 - Accent 1"/>
    <w:basedOn w:val="43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8" w:customStyle="1">
    <w:name w:val="List Table 2 - Accent 2"/>
    <w:basedOn w:val="43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9" w:customStyle="1">
    <w:name w:val="List Table 2 - Accent 3"/>
    <w:basedOn w:val="43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0" w:customStyle="1">
    <w:name w:val="List Table 2 - Accent 4"/>
    <w:basedOn w:val="43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1" w:customStyle="1">
    <w:name w:val="List Table 2 - Accent 5"/>
    <w:basedOn w:val="43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2" w:customStyle="1">
    <w:name w:val="List Table 2 - Accent 6"/>
    <w:basedOn w:val="43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3">
    <w:name w:val="List Table 3"/>
    <w:basedOn w:val="4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1"/>
    <w:basedOn w:val="43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2"/>
    <w:basedOn w:val="4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3"/>
    <w:basedOn w:val="43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4"/>
    <w:basedOn w:val="4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5"/>
    <w:basedOn w:val="43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6"/>
    <w:basedOn w:val="43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"/>
    <w:basedOn w:val="4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1"/>
    <w:basedOn w:val="43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2"/>
    <w:basedOn w:val="43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3"/>
    <w:basedOn w:val="43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4"/>
    <w:basedOn w:val="43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5"/>
    <w:basedOn w:val="43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6"/>
    <w:basedOn w:val="43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5 Dark"/>
    <w:basedOn w:val="43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1"/>
    <w:basedOn w:val="43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2"/>
    <w:basedOn w:val="43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3"/>
    <w:basedOn w:val="43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4"/>
    <w:basedOn w:val="43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5"/>
    <w:basedOn w:val="43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6"/>
    <w:basedOn w:val="43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>
    <w:name w:val="List Table 6 Colorful"/>
    <w:basedOn w:val="43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5" w:customStyle="1">
    <w:name w:val="List Table 6 Colorful - Accent 1"/>
    <w:basedOn w:val="43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6" w:customStyle="1">
    <w:name w:val="List Table 6 Colorful - Accent 2"/>
    <w:basedOn w:val="43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7" w:customStyle="1">
    <w:name w:val="List Table 6 Colorful - Accent 3"/>
    <w:basedOn w:val="43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8" w:customStyle="1">
    <w:name w:val="List Table 6 Colorful - Accent 4"/>
    <w:basedOn w:val="43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9" w:customStyle="1">
    <w:name w:val="List Table 6 Colorful - Accent 5"/>
    <w:basedOn w:val="43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0" w:customStyle="1">
    <w:name w:val="List Table 6 Colorful - Accent 6"/>
    <w:basedOn w:val="43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1">
    <w:name w:val="List Table 7 Colorful"/>
    <w:basedOn w:val="43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1"/>
    <w:basedOn w:val="43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2"/>
    <w:basedOn w:val="43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3"/>
    <w:basedOn w:val="43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4"/>
    <w:basedOn w:val="43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5"/>
    <w:basedOn w:val="43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6"/>
    <w:basedOn w:val="43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ned - Accent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Lined - Accent 1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Lined - Accent 2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Lined - Accent 3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Lined - Accent 4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Lined - Accent 5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Lined - Accent 6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 &amp; Lined - Accent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Bordered &amp; Lined - Accent 1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7" w:customStyle="1">
    <w:name w:val="Bordered &amp; Lined - Accent 2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8" w:customStyle="1">
    <w:name w:val="Bordered &amp; Lined - Accent 3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9" w:customStyle="1">
    <w:name w:val="Bordered &amp; Lined - Accent 4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0" w:customStyle="1">
    <w:name w:val="Bordered &amp; Lined - Accent 5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1" w:customStyle="1">
    <w:name w:val="Bordered &amp; Lined - Accent 6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2" w:customStyle="1">
    <w:name w:val="Bordered"/>
    <w:basedOn w:val="43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3" w:customStyle="1">
    <w:name w:val="Bordered - Accent 1"/>
    <w:basedOn w:val="43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4" w:customStyle="1">
    <w:name w:val="Bordered - Accent 2"/>
    <w:basedOn w:val="43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5" w:customStyle="1">
    <w:name w:val="Bordered - Accent 3"/>
    <w:basedOn w:val="43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6" w:customStyle="1">
    <w:name w:val="Bordered - Accent 4"/>
    <w:basedOn w:val="43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7" w:customStyle="1">
    <w:name w:val="Bordered - Accent 5"/>
    <w:basedOn w:val="43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8" w:customStyle="1">
    <w:name w:val="Bordered - Accent 6"/>
    <w:basedOn w:val="43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character" w:styleId="580" w:customStyle="1">
    <w:name w:val="Footnote Text Char"/>
    <w:uiPriority w:val="99"/>
    <w:rPr>
      <w:sz w:val="18"/>
    </w:rPr>
  </w:style>
  <w:style w:type="paragraph" w:styleId="581">
    <w:name w:val="toc 1"/>
    <w:basedOn w:val="419"/>
    <w:next w:val="419"/>
    <w:uiPriority w:val="39"/>
    <w:unhideWhenUsed/>
    <w:pPr>
      <w:spacing w:after="57"/>
    </w:pPr>
  </w:style>
  <w:style w:type="paragraph" w:styleId="582">
    <w:name w:val="toc 2"/>
    <w:basedOn w:val="419"/>
    <w:next w:val="419"/>
    <w:uiPriority w:val="39"/>
    <w:unhideWhenUsed/>
    <w:pPr>
      <w:ind w:left="283"/>
      <w:spacing w:after="57"/>
    </w:pPr>
  </w:style>
  <w:style w:type="paragraph" w:styleId="583">
    <w:name w:val="toc 3"/>
    <w:basedOn w:val="419"/>
    <w:next w:val="419"/>
    <w:uiPriority w:val="39"/>
    <w:unhideWhenUsed/>
    <w:pPr>
      <w:ind w:left="567"/>
      <w:spacing w:after="57"/>
    </w:pPr>
  </w:style>
  <w:style w:type="paragraph" w:styleId="584">
    <w:name w:val="toc 4"/>
    <w:basedOn w:val="419"/>
    <w:next w:val="419"/>
    <w:uiPriority w:val="39"/>
    <w:unhideWhenUsed/>
    <w:pPr>
      <w:ind w:left="850"/>
      <w:spacing w:after="57"/>
    </w:pPr>
  </w:style>
  <w:style w:type="paragraph" w:styleId="585">
    <w:name w:val="toc 5"/>
    <w:basedOn w:val="419"/>
    <w:next w:val="419"/>
    <w:uiPriority w:val="39"/>
    <w:unhideWhenUsed/>
    <w:pPr>
      <w:ind w:left="1134"/>
      <w:spacing w:after="57"/>
    </w:pPr>
  </w:style>
  <w:style w:type="paragraph" w:styleId="586">
    <w:name w:val="toc 6"/>
    <w:basedOn w:val="419"/>
    <w:next w:val="419"/>
    <w:uiPriority w:val="39"/>
    <w:unhideWhenUsed/>
    <w:pPr>
      <w:ind w:left="1417"/>
      <w:spacing w:after="57"/>
    </w:pPr>
  </w:style>
  <w:style w:type="paragraph" w:styleId="587">
    <w:name w:val="toc 7"/>
    <w:basedOn w:val="419"/>
    <w:next w:val="419"/>
    <w:uiPriority w:val="39"/>
    <w:unhideWhenUsed/>
    <w:pPr>
      <w:ind w:left="1701"/>
      <w:spacing w:after="57"/>
    </w:pPr>
  </w:style>
  <w:style w:type="paragraph" w:styleId="588">
    <w:name w:val="toc 8"/>
    <w:basedOn w:val="419"/>
    <w:next w:val="419"/>
    <w:uiPriority w:val="39"/>
    <w:unhideWhenUsed/>
    <w:pPr>
      <w:ind w:left="1984"/>
      <w:spacing w:after="57"/>
    </w:pPr>
  </w:style>
  <w:style w:type="paragraph" w:styleId="589">
    <w:name w:val="toc 9"/>
    <w:basedOn w:val="419"/>
    <w:next w:val="419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paragraph" w:styleId="591">
    <w:name w:val="List Paragraph"/>
    <w:basedOn w:val="419"/>
    <w:qFormat/>
    <w:uiPriority w:val="99"/>
    <w:rPr>
      <w:rFonts w:ascii="Times New Roman" w:hAnsi="Times New Roman" w:cs="Times New Roman" w:eastAsia="Times New Roman"/>
      <w:sz w:val="28"/>
      <w:szCs w:val="28"/>
      <w:lang w:val="ru-RU" w:eastAsia="ru-RU"/>
    </w:rPr>
    <w:pPr>
      <w:ind w:left="720" w:firstLine="709"/>
    </w:pPr>
  </w:style>
  <w:style w:type="paragraph" w:styleId="592">
    <w:name w:val="footnote text"/>
    <w:basedOn w:val="419"/>
    <w:link w:val="593"/>
    <w:uiPriority w:val="99"/>
    <w:semiHidden/>
    <w:rPr>
      <w:rFonts w:ascii="Times New Roman" w:hAnsi="Times New Roman" w:cs="Times New Roman"/>
      <w:sz w:val="20"/>
      <w:szCs w:val="20"/>
      <w:lang w:eastAsia="ru-RU"/>
    </w:rPr>
    <w:pPr>
      <w:ind w:firstLine="709"/>
    </w:pPr>
  </w:style>
  <w:style w:type="character" w:styleId="593" w:customStyle="1">
    <w:name w:val="Текст виноски Знак"/>
    <w:link w:val="592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594">
    <w:name w:val="footnote reference"/>
    <w:uiPriority w:val="99"/>
    <w:semiHidden/>
    <w:rPr>
      <w:vertAlign w:val="superscript"/>
    </w:rPr>
  </w:style>
  <w:style w:type="character" w:styleId="595" w:customStyle="1">
    <w:name w:val="rvts23"/>
    <w:basedOn w:val="429"/>
    <w:uiPriority w:val="99"/>
  </w:style>
  <w:style w:type="paragraph" w:styleId="596" w:customStyle="1">
    <w:name w:val="Знак"/>
    <w:basedOn w:val="419"/>
    <w:uiPriority w:val="99"/>
    <w:rPr>
      <w:rFonts w:ascii="Verdana" w:hAnsi="Verdana" w:cs="Verdana" w:eastAsia="Times New Roman"/>
      <w:sz w:val="20"/>
      <w:szCs w:val="20"/>
      <w:lang w:val="en-US"/>
    </w:rPr>
  </w:style>
  <w:style w:type="table" w:styleId="597">
    <w:name w:val="Table Grid"/>
    <w:basedOn w:val="430"/>
    <w:uiPriority w:val="39"/>
    <w:rPr>
      <w:rFonts w:eastAsia="Times New Roman"/>
      <w:sz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98" w:customStyle="1">
    <w:name w:val="docdata"/>
    <w:basedOn w:val="419"/>
    <w:rPr>
      <w:rFonts w:ascii="Times New Roman" w:hAnsi="Times New Roman" w:cs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9">
    <w:name w:val="Normal (Web)"/>
    <w:basedOn w:val="41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600" w:customStyle="1">
    <w:name w:val="Обычный1"/>
    <w:rPr>
      <w:sz w:val="22"/>
      <w:lang w:eastAsia="en-US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9</cp:revision>
  <dcterms:created xsi:type="dcterms:W3CDTF">2021-05-13T12:56:00Z</dcterms:created>
  <dcterms:modified xsi:type="dcterms:W3CDTF">2021-06-01T15:36:28Z</dcterms:modified>
</cp:coreProperties>
</file>