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66"/>
        <w:tblpPr w:horzAnchor="margin" w:tblpXSpec="left" w:vertAnchor="page" w:tblpY="826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5993"/>
      </w:tblGrid>
      <w:tr>
        <w:trPr>
          <w:trHeight w:val="976"/>
        </w:trPr>
        <w:tc>
          <w:tcPr>
            <w:gridSpan w:val="3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none" w:color="000000" w:sz="4" w:space="0"/>
            </w:tcBorders>
            <w:tcW w:w="9962" w:type="dxa"/>
            <w:textDirection w:val="lrTb"/>
            <w:noWrap/>
          </w:tcPr>
          <w:p>
            <w:pPr>
              <w:ind w:left="5954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Додаток 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до рішення сесії Менської міської ради 8 скликання від 31.05.2020 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245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Про внесення змін до Переліку адміністративних послуг, які надаються через відділ «Центр надання адміністра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»</w:t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/>
            <w:bookmarkStart w:id="0" w:name="_Hlk7180010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ІНФОРМАЦІЙНА КАРТКА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>
            <w:r/>
          </w:p>
          <w:p>
            <w:pPr>
              <w:pStyle w:val="568"/>
              <w:jc w:val="center"/>
              <w:rPr>
                <w:rFonts w:ascii="Times New Roman" w:hAnsi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Відділ охорони здоров’я та соціального захисту населення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</w:tcBorders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центр надання адміністративної послуги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15600, Чернігівська область, 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вул. Героїв АТО, 6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щодо режиму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роботи 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Понеділок, вівторок, середа: 08:30-16:30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Четвер: 08:30-20:00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П’ятниця, субота: 08:30-15:30</w:t>
            </w:r>
            <w:r/>
          </w:p>
          <w:p>
            <w:pPr>
              <w:pStyle w:val="56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Вихідний: неділя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(довідки),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електронної пошти та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веб-сайт: 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</w:t>
            </w:r>
            <w:r>
              <w:rPr>
                <w:sz w:val="28"/>
                <w:szCs w:val="28"/>
              </w:rPr>
              <w:t xml:space="preserve">. (04644)2-16-81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</w:t>
            </w:r>
            <w:hyperlink r:id="rId8" w:history="1">
              <w:r>
                <w:rPr>
                  <w:rStyle w:val="567"/>
                  <w:sz w:val="28"/>
                  <w:szCs w:val="28"/>
                </w:rPr>
                <w:t xml:space="preserve">cnapradamena@cg.gov.ua</w:t>
              </w:r>
            </w:hyperlink>
            <w:r/>
            <w:r/>
          </w:p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Веб-сайт: </w:t>
            </w:r>
            <w:hyperlink r:id="rId9" w:history="1">
              <w:r>
                <w:rPr>
                  <w:rStyle w:val="567"/>
                  <w:sz w:val="28"/>
                  <w:szCs w:val="28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Нормативні акти, якими регламентується надання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адміністративної послуги</w:t>
            </w:r>
            <w:r/>
          </w:p>
        </w:tc>
      </w:tr>
      <w:tr>
        <w:trPr>
          <w:trHeight w:val="554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 ОМС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сесії Менської міської ради від 26.12.2019 № 683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Комплексну програму підтримки сім’ї, запобігання домашньому насильству, гендерної рівності та протидії торгівлі людьми на період до 2022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</w:t>
            </w:r>
            <w:r/>
          </w:p>
        </w:tc>
      </w:tr>
      <w:tr>
        <w:trPr/>
        <w:tc>
          <w:tcPr>
            <w:gridSpan w:val="3"/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одержання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одного із батьків дитини;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подається не пізніше ніж через 6 календарних місяців після народження дитини.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для отримання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 послуги, а також вимоги до них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одного із батьків;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Свідоцтво про народження дитини;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Копія паспорта одного з батьків або іншого документа, що посвідчує особу, та реєстраційного номера облікової картки платника податків з пред’явленням оригіналу;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особовий рахунок, відкритий в АТ КБ “Приватбанк” на ім’я заявника;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подаються особисто або через уповноважену особу.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Платність (безоплатність)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Строк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послуги 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протязі 30 днів з дня подачі заяви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Надано неповний пакет документів;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Дитині більше ніж 6 календарних місяців після народження;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проживання особи не є Менська міська територіальна громада.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надання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грошової допомоги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Способи отримання відповіді (результату)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грошової допомоги на особовий рахунок, відкритий в уповноваженій банківській установі на ім’я заявника. 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pStyle w:val="565"/>
        <w:contextualSpacing w:val="true"/>
        <w:shd w:val="clear" w:color="auto" w:fill="FFFFFF"/>
        <w:rPr>
          <w:b/>
          <w:color w:val="292B2C"/>
          <w:sz w:val="28"/>
          <w:szCs w:val="28"/>
        </w:rPr>
      </w:pPr>
      <w:r>
        <w:rPr>
          <w:b/>
          <w:color w:val="292B2C"/>
          <w:sz w:val="28"/>
          <w:szCs w:val="28"/>
        </w:rPr>
      </w:r>
      <w:r/>
    </w:p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565"/>
        <w:contextualSpacing w:val="true"/>
        <w:ind w:left="-107"/>
        <w:jc w:val="center"/>
        <w:shd w:val="clear" w:color="auto" w:fill="FFFFFF"/>
        <w:rPr>
          <w:b/>
          <w:sz w:val="28"/>
          <w:szCs w:val="28"/>
        </w:rPr>
        <w:pBdr>
          <w:bottom w:val="none" w:color="000000" w:sz="4" w:space="1"/>
        </w:pBdr>
      </w:pPr>
      <w:r>
        <w:rPr>
          <w:b/>
          <w:sz w:val="28"/>
          <w:szCs w:val="28"/>
        </w:rPr>
        <w:t xml:space="preserve">ТЕХНОЛОГІЧНА КАРТКА АДМІНІСТРАТИВНОЇ ПОСЛУГИ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Надання одноразової грошової допомоги при народженні дитини жителям Менської міської територіальної громади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Відділ охорони здоров’я та соціального захисту населення </w:t>
      </w:r>
      <w:r>
        <w:rPr>
          <w:rFonts w:ascii="Times New Roman" w:hAnsi="Times New Roman" w:eastAsia="Times New Roman"/>
          <w:b/>
          <w:sz w:val="28"/>
          <w:szCs w:val="24"/>
        </w:rPr>
        <w:t xml:space="preserve">Менської міської ради</w:t>
      </w:r>
      <w:r>
        <w:rPr>
          <w:rFonts w:ascii="Times New Roman" w:hAnsi="Times New Roman" w:eastAsia="Times New Roman"/>
          <w:b/>
          <w:sz w:val="28"/>
          <w:szCs w:val="24"/>
        </w:rPr>
      </w:r>
      <w:r/>
    </w:p>
    <w:tbl>
      <w:tblPr>
        <w:tblStyle w:val="566"/>
        <w:tblW w:w="9712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642"/>
        <w:gridCol w:w="4354"/>
        <w:gridCol w:w="2591"/>
        <w:gridCol w:w="567"/>
        <w:gridCol w:w="1558"/>
      </w:tblGrid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№</w:t>
            </w:r>
            <w:r>
              <w:rPr>
                <w:sz w:val="22"/>
              </w:rPr>
            </w:r>
            <w:r/>
          </w:p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п/п</w:t>
            </w:r>
            <w:r>
              <w:rPr>
                <w:sz w:val="22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Етапи послуги</w:t>
            </w:r>
            <w:r>
              <w:rPr>
                <w:sz w:val="22"/>
              </w:rPr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Відповідальна посадова </w:t>
            </w:r>
            <w:r>
              <w:rPr>
                <w:color w:val="000000" w:themeColor="text1"/>
                <w:sz w:val="22"/>
              </w:rPr>
              <w:t xml:space="preserve">особа і структурний підрозділ</w:t>
            </w:r>
            <w:r>
              <w:rPr>
                <w:sz w:val="22"/>
              </w:rPr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Дія</w:t>
            </w:r>
            <w:r>
              <w:rPr>
                <w:sz w:val="22"/>
              </w:rPr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Термін виконання (днів)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Прийом і перевірка повноти пакету документів, реєстрація заяви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Передача пакету документів відділу охорони здоров’я та соціального захисту населення Менської міської ради для ознайомлення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перевірка відповідності пакету документів, які подані для отримання </w:t>
            </w:r>
            <w:r>
              <w:rPr>
                <w:color w:val="000000" w:themeColor="text1"/>
                <w:sz w:val="28"/>
                <w:szCs w:val="28"/>
              </w:rPr>
              <w:t xml:space="preserve">адмінпослуги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/>
        <w:tc>
          <w:tcPr>
            <w:shd w:val="clear" w:color="auto" w:fill="auto"/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Підготовка </w:t>
            </w:r>
            <w:r>
              <w:rPr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color w:val="000000" w:themeColor="text1"/>
                <w:sz w:val="28"/>
                <w:szCs w:val="28"/>
              </w:rPr>
              <w:t xml:space="preserve"> розпорядження міського голови про надання </w:t>
            </w:r>
            <w:r>
              <w:rPr>
                <w:sz w:val="28"/>
                <w:szCs w:val="28"/>
              </w:rPr>
              <w:t xml:space="preserve">одноразової грошової допомоги при народженні дитини</w:t>
            </w:r>
            <w:r/>
          </w:p>
        </w:tc>
        <w:tc>
          <w:tcPr>
            <w:shd w:val="clear" w:color="auto" w:fill="auto"/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auto"/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підписання розпорядження про надання </w:t>
            </w:r>
            <w:r>
              <w:rPr>
                <w:sz w:val="28"/>
                <w:szCs w:val="28"/>
              </w:rPr>
              <w:t xml:space="preserve">одноразової грошової допомоги при народженні дитини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Міський голова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необхідної кількості завірених копій розпорядження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3 днів після підписання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завірених копій рішення адміністратору ЦНАП для його подальшої передачі особисто або надіслання поштою суб'єкту звернення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Видача рішення заявнику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30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</w:t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Механізм оскарження результату надання адміністративної послуги</w:t>
            </w:r>
            <w:r/>
          </w:p>
        </w:tc>
        <w:tc>
          <w:tcPr>
            <w:gridSpan w:val="3"/>
            <w:tcW w:w="4716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Суб’єкт звернення протягом 30-ти днів з моменту отримання результату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право подати скаргу до відділу «Центр надання адміністративних послуг» Менської міської ради, безпосередньо до суб’єкта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до вищого органу відносно того органу, що вирішив справу.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(передбачена законодавством)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30</w:t>
            </w:r>
            <w:bookmarkEnd w:id="0"/>
            <w:r/>
            <w:r/>
          </w:p>
        </w:tc>
      </w:tr>
    </w:tbl>
    <w:p>
      <w:pPr>
        <w:shd w:val="nil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/>
    </w:p>
    <w:p>
      <w:pPr>
        <w:pStyle w:val="565"/>
        <w:contextualSpacing w:val="true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tbl>
      <w:tblPr>
        <w:tblStyle w:val="566"/>
        <w:tblpPr w:horzAnchor="margin" w:tblpXSpec="left" w:vertAnchor="page" w:tblpY="826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803"/>
      </w:tblGrid>
      <w:tr>
        <w:trPr>
          <w:trHeight w:val="976"/>
        </w:trPr>
        <w:tc>
          <w:tcPr>
            <w:gridSpan w:val="3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 w:themeColor="text1"/>
            </w:tcBorders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ІНФОРМАЦІЙНА КАРТКА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охорони здоров’я та соціального захисту населення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 w:themeColor="text1"/>
            </w:tcBorders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центр надання адміністративної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15600,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Чернігівська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область, м. Мена,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АТО, 6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Понеділок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вівторок, середа: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08:30-16:30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08:30-20:00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П’ятниця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субота: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08:30-15:30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Вихідний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неділя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Телефон/факс (довідки),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електронної пошти та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веб-сайт: 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(04644)2-16-81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hyperlink r:id="rId10" w:history="1"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cnapradamena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@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cg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gov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Веб-сайт: </w:t>
            </w:r>
            <w:hyperlink r:id="rId11" w:history="1"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>
          <w:trHeight w:val="894"/>
        </w:trPr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місцеве самоврядування в України», Закон України «Про поховання та похоронну справу», постанова КМУ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 від 31.01.2007 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ОМС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Менської міської ради від 26.12.2019  № 694 «Про затвердження Програми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досягли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працювали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перебували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зареєстровані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центрі зайнятості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безробітні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</w:t>
            </w:r>
            <w:r/>
          </w:p>
        </w:tc>
      </w:tr>
      <w:tr>
        <w:trPr/>
        <w:tc>
          <w:tcPr>
            <w:gridSpan w:val="3"/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одержання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виконавця волевиявлення померлого або особи, яка зобов’язалася поховати померлого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необхідних для 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адміністративної  послуги, а також вимоги до них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заява;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паспорта або іншого документа, що посвідчує особу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реєстраційного номера облікової картки платника податків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свідоцтва про смерть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ригінал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Витягу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Державного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реєстру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цивільного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смерть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отримання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 довідка з Управління пенсійного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фонду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отримувала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пенсію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овідка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захисту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отримувала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допомогу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ЗУ «Про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допомогу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особам,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мають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пенсію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 особам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інвалідністю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овідка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центру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перебувала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обліку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як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безробітна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копія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трудової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книжки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померлої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(перша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сторінка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останній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запис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відомості про особовий рахунок, відкритий в АТ КБ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«Приватбанк»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ім’я заявника.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особисто або через уповноважену особу.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 надання адміністративної послуги 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протязі 30 днів з дня подачі заяви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подано неповний пакет документів;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місцем проживання померлої особи не є Менська міська територіальна громада.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оформлення поданих документів не відповідає встановленим вимогам;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має бути отримання в іншому органі;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звернення за допомогою не пізніше  шести місяців  після смерті особи.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грошової допомоги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отримання відповіді (результату)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Надходження грошової допомоги на особовий рахунок, відкритий в уповноваженій банківській установі на ім’я заявника. 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</w:t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565"/>
        <w:contextualSpacing w:val="true"/>
        <w:ind w:left="-10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ТЕХНОЛОГІЧНА КАРТКА АДМІНІСТРАТИВНОЇ ПОСЛУГИ</w:t>
      </w:r>
      <w:r/>
    </w:p>
    <w:p>
      <w:pPr>
        <w:pStyle w:val="569"/>
        <w:jc w:val="center"/>
        <w:spacing w:after="113" w:afterAutospacing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Надання матеріальної допомоги на поховання деяких категорій громадян Менської міської територіальної громади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Відділ охорони здоров’я та соціального захисту населення 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Менської міської ради</w:t>
      </w:r>
      <w:r>
        <w:rPr>
          <w:rFonts w:ascii="Times New Roman" w:hAnsi="Times New Roman" w:eastAsia="Times New Roman"/>
          <w:b/>
          <w:sz w:val="28"/>
          <w:szCs w:val="24"/>
        </w:rPr>
      </w:r>
      <w:r/>
    </w:p>
    <w:tbl>
      <w:tblPr>
        <w:tblStyle w:val="566"/>
        <w:tblW w:w="10029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642"/>
        <w:gridCol w:w="4001"/>
        <w:gridCol w:w="2944"/>
        <w:gridCol w:w="567"/>
        <w:gridCol w:w="1875"/>
      </w:tblGrid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 xml:space="preserve">п/п</w:t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Етапи послуги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Відповідальна посадова </w:t>
            </w:r>
            <w:r>
              <w:rPr>
                <w:color w:val="000000" w:themeColor="text1"/>
              </w:rPr>
              <w:t xml:space="preserve">особа і структурний підрозділ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Дія </w:t>
            </w:r>
            <w:r>
              <w:rPr>
                <w:color w:val="000000"/>
              </w:rPr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Прийом і перевірка повноти пакету документів, реєстрація заяви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Передача пакету документів відділу охорони здоров’я та соціального захисту населення Менської міської ради для ознайомлення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перевірка відповідності пакету документів, які подані для отримання </w:t>
            </w:r>
            <w:r>
              <w:rPr>
                <w:color w:val="000000" w:themeColor="text1"/>
                <w:sz w:val="28"/>
                <w:szCs w:val="28"/>
              </w:rPr>
              <w:t xml:space="preserve">адмінпослуги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/>
        <w:tc>
          <w:tcPr>
            <w:shd w:val="clear" w:color="auto" w:fill="auto"/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Підготовка </w:t>
            </w:r>
            <w:r>
              <w:rPr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color w:val="000000" w:themeColor="text1"/>
                <w:sz w:val="28"/>
                <w:szCs w:val="28"/>
              </w:rPr>
              <w:t xml:space="preserve"> розпорядження міського голови про надання матеріальної </w:t>
            </w:r>
            <w:r>
              <w:rPr>
                <w:sz w:val="28"/>
                <w:szCs w:val="28"/>
              </w:rPr>
              <w:t xml:space="preserve">допомоги на поховання</w:t>
            </w:r>
            <w:r/>
          </w:p>
        </w:tc>
        <w:tc>
          <w:tcPr>
            <w:shd w:val="clear" w:color="auto" w:fill="auto"/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auto"/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підписання розпорядження про надання </w:t>
            </w:r>
            <w:r>
              <w:rPr>
                <w:sz w:val="28"/>
                <w:szCs w:val="28"/>
              </w:rPr>
              <w:t xml:space="preserve">матеріальної допомоги поховання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Міський голова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необхідної кількості завірених копій розпорядження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ind w:left="-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Протягом3днів після підписання</w:t>
            </w:r>
            <w:r/>
          </w:p>
        </w:tc>
      </w:tr>
      <w:tr>
        <w:trPr>
          <w:trHeight w:val="1701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завірених копій рішення адміністратору ЦНАП для його подальшої передачі особисто або надіслання поштою суб'єкту звернення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Видача рішення заявнику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30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</w:t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Механізм оскарження результату надання адміністративної послуги</w:t>
            </w:r>
            <w:r/>
          </w:p>
        </w:tc>
        <w:tc>
          <w:tcPr>
            <w:gridSpan w:val="3"/>
            <w:tcW w:w="5386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Суб’єкт звернення протягом 30-ти днів з моменту отримання результату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право подати скаргу до відділу «Центр надання адміністративних послуг» Менської міської ради, безпосередньо до суб’єкта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до вищого органу відносно того органу, що вирішив справу.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надання послуги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(передбачена законодавством)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0"/>
    <w:next w:val="560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1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0"/>
    <w:next w:val="56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1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0"/>
    <w:next w:val="560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1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1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1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1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0"/>
    <w:next w:val="560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1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1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0"/>
    <w:next w:val="560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1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1"/>
    <w:link w:val="418"/>
    <w:uiPriority w:val="99"/>
  </w:style>
  <w:style w:type="paragraph" w:styleId="420">
    <w:name w:val="Footer"/>
    <w:basedOn w:val="560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1"/>
    <w:link w:val="420"/>
    <w:uiPriority w:val="99"/>
  </w:style>
  <w:style w:type="table" w:styleId="422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1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5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List Paragraph"/>
    <w:basedOn w:val="560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Normal (Web)"/>
    <w:basedOn w:val="56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566">
    <w:name w:val="Table Grid"/>
    <w:basedOn w:val="562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7">
    <w:name w:val="Hyperlink"/>
    <w:unhideWhenUsed/>
    <w:rPr>
      <w:color w:val="0563C1" w:themeColor="hyperlink"/>
      <w:u w:val="single"/>
    </w:rPr>
  </w:style>
  <w:style w:type="paragraph" w:styleId="568" w:customStyle="1">
    <w:name w:val="Без интервала1"/>
    <w:rPr>
      <w:rFonts w:ascii="Calibri" w:hAnsi="Calibri" w:cs="Times New Roman" w:eastAsia="Calibri"/>
    </w:rPr>
    <w:pPr>
      <w:spacing w:lineRule="auto" w:line="240" w:after="0"/>
    </w:pPr>
  </w:style>
  <w:style w:type="paragraph" w:styleId="569">
    <w:name w:val="No Spacing"/>
    <w:qFormat/>
    <w:uiPriority w:val="1"/>
    <w:rPr>
      <w:rFonts w:ascii="Calibri" w:hAnsi="Calibri" w:cs="Calibri" w:eastAsia="Calibri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mailto:cnapradamena@cg.gov.ua" TargetMode="External"/><Relationship Id="rId9" Type="http://schemas.openxmlformats.org/officeDocument/2006/relationships/hyperlink" Target="http://mena.cg.gov.ua/" TargetMode="External"/><Relationship Id="rId10" Type="http://schemas.openxmlformats.org/officeDocument/2006/relationships/hyperlink" Target="mailto:cnapradamena@cg.gov.ua" TargetMode="External"/><Relationship Id="rId11" Type="http://schemas.openxmlformats.org/officeDocument/2006/relationships/hyperlink" Target="http://mena.cg.gov.ua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</cp:revision>
  <dcterms:created xsi:type="dcterms:W3CDTF">2021-05-14T12:42:00Z</dcterms:created>
  <dcterms:modified xsi:type="dcterms:W3CDTF">2021-06-01T15:10:18Z</dcterms:modified>
</cp:coreProperties>
</file>