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rPr>
          <w:b/>
          <w:sz w:val="28"/>
          <w:lang w:val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2"/>
          <w:szCs w:val="28"/>
        </w:rP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</w:pPr>
      <w:r>
        <w:rPr>
          <w:color w:val="000000"/>
          <w:sz w:val="16"/>
        </w:rPr>
        <w:t xml:space="preserve"> </w:t>
      </w:r>
      <w:r/>
    </w:p>
    <w:p>
      <w:pPr>
        <w:jc w:val="center"/>
      </w:pPr>
      <w:r>
        <w:rPr>
          <w:b/>
          <w:color w:val="000000"/>
          <w:sz w:val="28"/>
        </w:rPr>
        <w:t xml:space="preserve">РОЗПОРЯДЖЕННЯ </w:t>
      </w:r>
      <w:r/>
    </w:p>
    <w:p>
      <w:pPr>
        <w:pStyle w:val="59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95"/>
        <w:tabs>
          <w:tab w:val="left" w:pos="425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27 травня</w:t>
      </w:r>
      <w:r>
        <w:rPr>
          <w:sz w:val="28"/>
          <w:szCs w:val="28"/>
          <w:lang w:val="uk-UA"/>
        </w:rPr>
        <w:t xml:space="preserve">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178</w:t>
      </w:r>
      <w:r/>
      <w:r>
        <w:rPr>
          <w:sz w:val="28"/>
          <w:szCs w:val="28"/>
          <w:lang w:val="uk-UA"/>
        </w:rPr>
      </w:r>
      <w:r/>
    </w:p>
    <w:p>
      <w:pPr>
        <w:pStyle w:val="595"/>
        <w:tabs>
          <w:tab w:val="left" w:pos="425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595"/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bookmarkStart w:id="0" w:name="_Hlk19715953"/>
      <w:r/>
      <w:bookmarkStart w:id="1" w:name="_Hlk19718785"/>
      <w:r>
        <w:rPr>
          <w:b/>
          <w:sz w:val="28"/>
          <w:szCs w:val="28"/>
          <w:lang w:val="uk-UA"/>
        </w:rPr>
        <w:t xml:space="preserve">оприлюднення наборів даних, які підлягають оприлюдненню у формі відкритих даних</w:t>
      </w:r>
      <w:bookmarkEnd w:id="0"/>
      <w:r/>
      <w:bookmarkEnd w:id="1"/>
      <w:r/>
      <w:r/>
    </w:p>
    <w:p>
      <w:pPr>
        <w:pStyle w:val="59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95"/>
        <w:ind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статті 10 -1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21 жовтня 2015 р. № 835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shd w:val="clear" w:color="auto" w:fill="FFFFFF"/>
          <w:lang w:val="uk-UA"/>
        </w:rPr>
        <w:t xml:space="preserve">Про затвердження Положення про набори даних, які підлягають оприлюдненню у формі відкритих даних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ефективної роботи Менської міської ради з питань оприлюднення відкритих даних на </w:t>
      </w:r>
      <w:r>
        <w:rPr>
          <w:sz w:val="28"/>
          <w:szCs w:val="28"/>
          <w:shd w:val="clear" w:color="auto" w:fill="FFFFFF"/>
          <w:lang w:val="uk-UA"/>
        </w:rPr>
        <w:t xml:space="preserve">Єдино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державно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веб-портал</w:t>
      </w:r>
      <w:r>
        <w:rPr>
          <w:sz w:val="28"/>
          <w:szCs w:val="28"/>
          <w:shd w:val="clear" w:color="auto" w:fill="FFFFFF"/>
          <w:lang w:val="uk-UA"/>
        </w:rPr>
        <w:t xml:space="preserve">і</w:t>
      </w:r>
      <w:r>
        <w:rPr>
          <w:sz w:val="28"/>
          <w:szCs w:val="28"/>
          <w:shd w:val="clear" w:color="auto" w:fill="FFFFFF"/>
          <w:lang w:val="uk-UA"/>
        </w:rPr>
        <w:t xml:space="preserve"> відкритих даних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керуючись п. 20 ст. 42 Закону України «Про місцеве самоврядування в Україні».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595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567" w:leader="none"/>
          <w:tab w:val="left" w:pos="1134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 xml:space="preserve">керівників </w:t>
      </w:r>
      <w:bookmarkStart w:id="2" w:name="_Hlk72332607"/>
      <w:r>
        <w:rPr>
          <w:sz w:val="28"/>
          <w:szCs w:val="28"/>
          <w:lang w:val="uk-UA"/>
        </w:rPr>
        <w:t xml:space="preserve">виконавчих органів Менської міської ради (</w:t>
      </w:r>
      <w:r>
        <w:rPr>
          <w:sz w:val="28"/>
          <w:szCs w:val="28"/>
          <w:lang w:val="uk-UA"/>
        </w:rPr>
        <w:t xml:space="preserve">окрім відділів освіти і культури</w:t>
      </w:r>
      <w:r>
        <w:rPr>
          <w:sz w:val="28"/>
          <w:szCs w:val="28"/>
          <w:lang w:val="uk-UA"/>
        </w:rPr>
        <w:t xml:space="preserve">) </w:t>
      </w:r>
      <w:bookmarkEnd w:id="2"/>
      <w:r>
        <w:rPr>
          <w:sz w:val="28"/>
          <w:szCs w:val="28"/>
          <w:lang w:val="uk-UA"/>
        </w:rPr>
        <w:t xml:space="preserve">відповідальни</w:t>
      </w:r>
      <w:r>
        <w:rPr>
          <w:sz w:val="28"/>
          <w:szCs w:val="28"/>
          <w:lang w:val="uk-UA"/>
        </w:rPr>
        <w:t xml:space="preserve">ми</w:t>
      </w:r>
      <w:r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 xml:space="preserve">обами</w:t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оприлюднення </w:t>
      </w:r>
      <w:r>
        <w:rPr>
          <w:sz w:val="28"/>
          <w:szCs w:val="28"/>
          <w:lang w:val="uk-UA"/>
        </w:rPr>
        <w:t xml:space="preserve">наборів даних, які підлягають оприлюдненню у формі відкритих даних, згідно додатку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shd w:val="clear" w:color="auto" w:fill="FFFFFF"/>
          <w:lang w:val="uk-UA"/>
        </w:rPr>
        <w:t xml:space="preserve">Єдино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державно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веб-портал</w:t>
      </w:r>
      <w:r>
        <w:rPr>
          <w:sz w:val="28"/>
          <w:szCs w:val="28"/>
          <w:shd w:val="clear" w:color="auto" w:fill="FFFFFF"/>
          <w:lang w:val="uk-UA"/>
        </w:rPr>
        <w:t xml:space="preserve">і</w:t>
      </w:r>
      <w:r>
        <w:rPr>
          <w:sz w:val="28"/>
          <w:szCs w:val="28"/>
          <w:shd w:val="clear" w:color="auto" w:fill="FFFFFF"/>
          <w:lang w:val="uk-UA"/>
        </w:rPr>
        <w:t xml:space="preserve"> відкритих даних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595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567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керівників </w:t>
      </w:r>
      <w:r>
        <w:rPr>
          <w:sz w:val="28"/>
          <w:szCs w:val="28"/>
          <w:lang w:val="uk-UA"/>
        </w:rPr>
        <w:t xml:space="preserve">відділу освіти, відділу культури </w:t>
      </w:r>
      <w:r>
        <w:rPr>
          <w:sz w:val="28"/>
          <w:szCs w:val="28"/>
          <w:lang w:val="uk-UA"/>
        </w:rPr>
        <w:t xml:space="preserve">та керівників комунальних підприємств Менської міської територіальної громади зареєструватися на </w:t>
      </w:r>
      <w:r>
        <w:rPr>
          <w:sz w:val="28"/>
          <w:szCs w:val="28"/>
          <w:shd w:val="clear" w:color="auto" w:fill="FFFFFF"/>
          <w:lang w:val="uk-UA"/>
        </w:rPr>
        <w:t xml:space="preserve">Єдино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державно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веб-портал</w:t>
      </w:r>
      <w:r>
        <w:rPr>
          <w:sz w:val="28"/>
          <w:szCs w:val="28"/>
          <w:shd w:val="clear" w:color="auto" w:fill="FFFFFF"/>
          <w:lang w:val="uk-UA"/>
        </w:rPr>
        <w:t xml:space="preserve">і </w:t>
      </w:r>
      <w:r>
        <w:rPr>
          <w:sz w:val="28"/>
          <w:szCs w:val="28"/>
          <w:shd w:val="clear" w:color="auto" w:fill="FFFFFF"/>
          <w:lang w:val="uk-UA"/>
        </w:rPr>
        <w:t xml:space="preserve">відкритих даних</w:t>
      </w:r>
      <w:r>
        <w:rPr>
          <w:sz w:val="28"/>
          <w:szCs w:val="28"/>
          <w:shd w:val="clear" w:color="auto" w:fill="FFFFFF"/>
          <w:lang w:val="uk-UA"/>
        </w:rPr>
        <w:t xml:space="preserve">, визначити відповідальних осіб </w:t>
      </w:r>
      <w:r>
        <w:rPr>
          <w:sz w:val="28"/>
          <w:szCs w:val="28"/>
          <w:shd w:val="clear" w:color="auto" w:fill="FFFFFF"/>
          <w:lang w:val="uk-UA"/>
        </w:rPr>
        <w:t xml:space="preserve">та забезпечити оприлюднення </w:t>
      </w:r>
      <w:r>
        <w:rPr>
          <w:sz w:val="28"/>
          <w:szCs w:val="28"/>
          <w:lang w:val="uk-UA"/>
        </w:rPr>
        <w:t xml:space="preserve">наборів даних, які підлягають оприлюдненню у формі відкритих даних, згідно додатку.</w:t>
      </w:r>
      <w:r/>
    </w:p>
    <w:p>
      <w:pPr>
        <w:pStyle w:val="595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567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ідповідальним особам</w:t>
      </w:r>
      <w:r>
        <w:rPr>
          <w:sz w:val="28"/>
          <w:szCs w:val="28"/>
          <w:lang w:val="uk-UA"/>
        </w:rPr>
        <w:t xml:space="preserve">, зазначеним в пункті 1 розпорядження, </w:t>
      </w:r>
      <w:r>
        <w:rPr>
          <w:sz w:val="28"/>
          <w:szCs w:val="28"/>
          <w:lang w:val="uk-UA"/>
        </w:rPr>
        <w:t xml:space="preserve">забезпечити протягом місяц</w:t>
      </w:r>
      <w:r>
        <w:rPr>
          <w:sz w:val="28"/>
          <w:szCs w:val="28"/>
          <w:lang w:val="uk-UA"/>
        </w:rPr>
        <w:t xml:space="preserve"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відділу цифров</w:t>
      </w:r>
      <w:r>
        <w:rPr>
          <w:color w:val="000000" w:themeColor="text1"/>
          <w:sz w:val="28"/>
          <w:szCs w:val="28"/>
          <w:lang w:val="uk-UA"/>
        </w:rPr>
        <w:t xml:space="preserve">их трансформацій </w:t>
      </w:r>
      <w:r>
        <w:rPr>
          <w:sz w:val="28"/>
          <w:szCs w:val="28"/>
          <w:lang w:val="uk-UA"/>
        </w:rPr>
        <w:t xml:space="preserve">та комунікацій </w:t>
      </w:r>
      <w:r>
        <w:rPr>
          <w:sz w:val="28"/>
          <w:szCs w:val="28"/>
          <w:lang w:val="uk-UA"/>
        </w:rPr>
        <w:t xml:space="preserve">інформації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оприлюднення </w:t>
      </w:r>
      <w:r>
        <w:rPr>
          <w:sz w:val="28"/>
          <w:szCs w:val="28"/>
          <w:lang w:val="uk-UA"/>
        </w:rPr>
        <w:t xml:space="preserve">наборів даних згідно додатку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самостійно здійснювати їх </w:t>
      </w:r>
      <w:r>
        <w:rPr>
          <w:sz w:val="28"/>
          <w:szCs w:val="28"/>
          <w:lang w:val="uk-UA"/>
        </w:rPr>
        <w:t xml:space="preserve">подальше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оновлення на </w:t>
      </w:r>
      <w:r>
        <w:rPr>
          <w:sz w:val="28"/>
          <w:szCs w:val="28"/>
          <w:shd w:val="clear" w:color="auto" w:fill="FFFFFF"/>
          <w:lang w:val="uk-UA"/>
        </w:rPr>
        <w:t xml:space="preserve">Єдино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державно</w:t>
      </w:r>
      <w:r>
        <w:rPr>
          <w:sz w:val="28"/>
          <w:szCs w:val="28"/>
          <w:shd w:val="clear" w:color="auto" w:fill="FFFFFF"/>
          <w:lang w:val="uk-UA"/>
        </w:rPr>
        <w:t xml:space="preserve">му</w:t>
      </w:r>
      <w:r>
        <w:rPr>
          <w:sz w:val="28"/>
          <w:szCs w:val="28"/>
          <w:shd w:val="clear" w:color="auto" w:fill="FFFFFF"/>
          <w:lang w:val="uk-UA"/>
        </w:rPr>
        <w:t xml:space="preserve"> веб-портал</w:t>
      </w:r>
      <w:r>
        <w:rPr>
          <w:sz w:val="28"/>
          <w:szCs w:val="28"/>
          <w:shd w:val="clear" w:color="auto" w:fill="FFFFFF"/>
          <w:lang w:val="uk-UA"/>
        </w:rPr>
        <w:t xml:space="preserve">і </w:t>
      </w:r>
      <w:r>
        <w:rPr>
          <w:sz w:val="28"/>
          <w:szCs w:val="28"/>
          <w:shd w:val="clear" w:color="auto" w:fill="FFFFFF"/>
          <w:lang w:val="uk-UA"/>
        </w:rPr>
        <w:t xml:space="preserve">відкритих даних.</w:t>
      </w:r>
      <w:r/>
    </w:p>
    <w:p>
      <w:pPr>
        <w:pStyle w:val="595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567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цифров</w:t>
      </w:r>
      <w:r>
        <w:rPr>
          <w:color w:val="000000" w:themeColor="text1"/>
          <w:sz w:val="28"/>
          <w:szCs w:val="28"/>
          <w:lang w:val="uk-UA"/>
        </w:rPr>
        <w:t xml:space="preserve">их трансформацій </w:t>
      </w:r>
      <w:r>
        <w:rPr>
          <w:sz w:val="28"/>
          <w:szCs w:val="28"/>
          <w:lang w:val="uk-UA"/>
        </w:rPr>
        <w:t xml:space="preserve">та комунікацій Менської міської ради</w:t>
      </w:r>
      <w:r>
        <w:rPr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595"/>
        <w:ind w:firstLine="709"/>
        <w:jc w:val="both"/>
        <w:spacing w:lineRule="auto" w:line="276"/>
        <w:tabs>
          <w:tab w:val="left" w:pos="0" w:leader="none"/>
          <w:tab w:val="left" w:pos="567" w:leader="none"/>
          <w:tab w:val="left" w:pos="992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оординацію роботи по оприлюдненню</w:t>
      </w:r>
      <w:r>
        <w:rPr>
          <w:bCs/>
          <w:sz w:val="28"/>
          <w:szCs w:val="28"/>
          <w:lang w:val="uk-UA"/>
        </w:rPr>
        <w:t xml:space="preserve"> </w:t>
      </w:r>
      <w:bookmarkStart w:id="3" w:name="_Hlk72240155"/>
      <w:r>
        <w:rPr>
          <w:bCs/>
          <w:sz w:val="28"/>
          <w:szCs w:val="28"/>
          <w:lang w:val="uk-UA"/>
        </w:rPr>
        <w:t xml:space="preserve">наборів даних, які підлягають оприлюдненню у формі відкритих даних</w:t>
      </w:r>
      <w:r>
        <w:rPr>
          <w:bCs/>
          <w:sz w:val="28"/>
          <w:szCs w:val="28"/>
          <w:lang w:val="uk-UA"/>
        </w:rPr>
        <w:t xml:space="preserve"> </w:t>
      </w:r>
      <w:bookmarkEnd w:id="3"/>
      <w:r>
        <w:rPr>
          <w:bCs/>
          <w:sz w:val="28"/>
          <w:szCs w:val="28"/>
          <w:lang w:val="uk-UA"/>
        </w:rPr>
        <w:t xml:space="preserve">та надання методичної допомоги відповідальним особам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604"/>
        <w:ind w:firstLine="708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4.2.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Реєстрацію на </w:t>
      </w:r>
      <w:r>
        <w:rPr>
          <w:sz w:val="28"/>
          <w:szCs w:val="28"/>
          <w:shd w:val="clear" w:color="auto" w:fill="FFFFFF"/>
          <w:lang w:val="uk-UA"/>
        </w:rPr>
        <w:t xml:space="preserve">Єдиному державному веб-порталі відкритих даних  та завантаження наборів даних, </w:t>
      </w:r>
      <w:r>
        <w:rPr>
          <w:sz w:val="28"/>
          <w:szCs w:val="28"/>
          <w:shd w:val="clear" w:color="auto" w:fill="FFFFFF"/>
          <w:lang w:val="uk-UA"/>
        </w:rPr>
        <w:t xml:space="preserve">на підставі інформації відповідальних осіб</w:t>
      </w:r>
      <w:r>
        <w:rPr>
          <w:sz w:val="28"/>
          <w:szCs w:val="28"/>
          <w:lang w:val="uk-UA"/>
        </w:rPr>
        <w:t xml:space="preserve">, з розміщенням на сторінці кожного набору даних: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4" w:name="n495"/>
      <w:r/>
      <w:bookmarkEnd w:id="4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паспорту набору даних шляхом відображення на веб-сторінці (для перегляду за допомогою веб-браузера) та шляхом розміщення файла у відкритому машиночитаному форматі, який може бути завантажений або доступний за допомогою інтерфейсу прикладного програмування;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5" w:name="n496"/>
      <w:r/>
      <w:bookmarkEnd w:id="5"/>
      <w:r>
        <w:rPr>
          <w:sz w:val="28"/>
          <w:szCs w:val="28"/>
          <w:lang w:val="uk-UA"/>
        </w:rPr>
        <w:t xml:space="preserve">- структури набору даних у відкритому машиночитаному форматі (електронний файл, який може бути завантажений, або інтерфейс прикладного програмування);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6" w:name="n497"/>
      <w:r/>
      <w:bookmarkEnd w:id="6"/>
      <w:r>
        <w:rPr>
          <w:sz w:val="28"/>
          <w:szCs w:val="28"/>
          <w:lang w:val="uk-UA"/>
        </w:rPr>
        <w:t xml:space="preserve">- набору даних в одному чи кількох форматах, визначених вищевказаним Положенням;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7" w:name="n498"/>
      <w:r/>
      <w:bookmarkEnd w:id="7"/>
      <w:r>
        <w:rPr>
          <w:sz w:val="28"/>
          <w:szCs w:val="28"/>
          <w:lang w:val="uk-UA"/>
        </w:rPr>
        <w:t xml:space="preserve">- форми для зворотного зв’язку користувачів;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8" w:name="n499"/>
      <w:r/>
      <w:bookmarkEnd w:id="8"/>
      <w:r>
        <w:rPr>
          <w:sz w:val="28"/>
          <w:szCs w:val="28"/>
          <w:lang w:val="uk-UA"/>
        </w:rPr>
        <w:t xml:space="preserve">- інформації про подальше використання набору даних;</w:t>
      </w:r>
      <w:r/>
    </w:p>
    <w:p>
      <w:pPr>
        <w:pStyle w:val="604"/>
        <w:ind w:firstLine="851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9" w:name="n500"/>
      <w:r/>
      <w:bookmarkEnd w:id="9"/>
      <w:r>
        <w:rPr>
          <w:sz w:val="28"/>
          <w:szCs w:val="28"/>
          <w:lang w:val="uk-UA"/>
        </w:rPr>
        <w:t xml:space="preserve">- інформації про умови використання відкритої ліцензії.</w:t>
      </w:r>
      <w:r/>
    </w:p>
    <w:p>
      <w:pPr>
        <w:pStyle w:val="595"/>
        <w:ind w:firstLine="709"/>
        <w:jc w:val="both"/>
        <w:spacing w:lineRule="auto" w:line="276"/>
        <w:tabs>
          <w:tab w:val="left" w:pos="0" w:leader="none"/>
          <w:tab w:val="left" w:pos="567" w:leader="none"/>
          <w:tab w:val="left" w:pos="992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</w:t>
      </w:r>
      <w:r>
        <w:rPr>
          <w:sz w:val="28"/>
          <w:szCs w:val="28"/>
          <w:shd w:val="clear" w:color="auto" w:fill="FFFFFF"/>
          <w:lang w:val="uk-UA"/>
        </w:rPr>
        <w:t xml:space="preserve">онтроль за оприлюдненням та оновленням </w:t>
      </w:r>
      <w:r>
        <w:rPr>
          <w:bCs/>
          <w:sz w:val="28"/>
          <w:szCs w:val="28"/>
          <w:lang w:val="uk-UA"/>
        </w:rPr>
        <w:t xml:space="preserve">наборів даних, які підлягають оприлюдненню у формі відкритих даних.</w:t>
      </w:r>
      <w:r/>
    </w:p>
    <w:p>
      <w:pPr>
        <w:pStyle w:val="595"/>
        <w:numPr>
          <w:ilvl w:val="0"/>
          <w:numId w:val="3"/>
        </w:numPr>
        <w:ind w:left="0" w:firstLine="708"/>
        <w:jc w:val="both"/>
        <w:spacing w:lineRule="auto" w:line="276"/>
        <w:tabs>
          <w:tab w:val="left" w:pos="0" w:leader="none"/>
          <w:tab w:val="left" w:pos="567" w:leader="none"/>
          <w:tab w:val="left" w:pos="992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Визнати таким, що втратило чинність розпорядження міського голови від 16 вересня 2019 року № 255 «Про визначення відповідальних осіб за оприлюднення наборів даних, які підлягають оприлюдненню у формі відкритих даних».</w:t>
      </w:r>
      <w:r/>
    </w:p>
    <w:p>
      <w:pPr>
        <w:pStyle w:val="595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5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залишаю за собою.  </w:t>
      </w:r>
      <w:r/>
    </w:p>
    <w:p>
      <w:pPr>
        <w:pStyle w:val="595"/>
        <w:ind w:firstLine="567"/>
        <w:spacing w:lineRule="auto" w:line="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95"/>
        <w:ind w:firstLine="567"/>
        <w:spacing w:lineRule="auto" w:line="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95"/>
        <w:spacing w:lineRule="auto" w:line="276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/>
    </w:p>
    <w:p>
      <w:pPr>
        <w:ind w:left="5103"/>
        <w:jc w:val="both"/>
        <w:tabs>
          <w:tab w:val="left" w:pos="6946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розпорядження міського голови </w:t>
      </w:r>
      <w:r/>
    </w:p>
    <w:p>
      <w:pPr>
        <w:pStyle w:val="595"/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27  травня 2021 року № 178 </w:t>
      </w:r>
      <w:r/>
    </w:p>
    <w:p>
      <w:pPr>
        <w:pStyle w:val="595"/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</w:t>
      </w:r>
      <w:r>
        <w:rPr>
          <w:bCs/>
          <w:sz w:val="28"/>
          <w:szCs w:val="28"/>
          <w:lang w:val="uk-UA"/>
        </w:rPr>
        <w:t xml:space="preserve">Про оприлюднення наборів даних, які підлягають оприлюдненню у формі відкритих даних</w:t>
      </w:r>
      <w:r>
        <w:rPr>
          <w:sz w:val="28"/>
          <w:lang w:val="uk-UA"/>
        </w:rPr>
        <w:t xml:space="preserve">»</w:t>
      </w:r>
      <w:r/>
    </w:p>
    <w:p>
      <w:pPr>
        <w:pStyle w:val="595"/>
        <w:ind w:left="5387"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95"/>
        <w:jc w:val="center"/>
        <w:spacing w:lineRule="auto" w:line="276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ерелік наборів даних, які підлягають оприлюдненню </w:t>
      </w:r>
      <w:r/>
    </w:p>
    <w:p>
      <w:pPr>
        <w:pStyle w:val="595"/>
        <w:jc w:val="center"/>
        <w:spacing w:lineRule="auto" w:line="276"/>
        <w:rPr>
          <w:b/>
          <w:bCs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формі відкритих даних</w:t>
      </w:r>
      <w:r/>
    </w:p>
    <w:p>
      <w:pPr>
        <w:pStyle w:val="595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tbl>
      <w:tblPr>
        <w:tblStyle w:val="455"/>
        <w:tblW w:w="98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5661"/>
        <w:gridCol w:w="3685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pStyle w:val="604"/>
              <w:jc w:val="both"/>
              <w:spacing w:after="60" w:afterAutospacing="0" w:before="60" w:beforeAutospacing="0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Довідник підприємств, установ, організацій та територіальних органів розпорядника інформації та організацій, що</w:t>
            </w:r>
            <w:r>
              <w:rPr>
                <w:lang w:val="uk-UA"/>
              </w:rPr>
              <w:t xml:space="preserve">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  <w:bookmarkStart w:id="10" w:name="n2654"/>
            <w:r/>
            <w:bookmarkStart w:id="11" w:name="n2655"/>
            <w:r/>
            <w:bookmarkStart w:id="12" w:name="n2656"/>
            <w:r/>
            <w:bookmarkStart w:id="13" w:name="n2657"/>
            <w:r/>
            <w:bookmarkStart w:id="14" w:name="n2658"/>
            <w:r/>
            <w:bookmarkStart w:id="15" w:name="n2659"/>
            <w:r/>
            <w:bookmarkStart w:id="16" w:name="n2660"/>
            <w:r/>
            <w:bookmarkStart w:id="17" w:name="n2661"/>
            <w:r/>
            <w:bookmarkStart w:id="18" w:name="n2662"/>
            <w:r/>
            <w:bookmarkStart w:id="19" w:name="n2663"/>
            <w:r/>
            <w:bookmarkStart w:id="20" w:name="n2664"/>
            <w:r/>
            <w:bookmarkStart w:id="21" w:name="n2665"/>
            <w:r/>
            <w:bookmarkStart w:id="22" w:name="n2666"/>
            <w:r/>
            <w:bookmarkStart w:id="23" w:name="n2667"/>
            <w:r/>
            <w:bookmarkStart w:id="24" w:name="n2668"/>
            <w:r/>
            <w:bookmarkEnd w:id="10"/>
            <w:r/>
            <w:bookmarkEnd w:id="11"/>
            <w:r/>
            <w:bookmarkEnd w:id="12"/>
            <w:r/>
            <w:bookmarkEnd w:id="13"/>
            <w:r/>
            <w:bookmarkEnd w:id="14"/>
            <w:r/>
            <w:bookmarkEnd w:id="15"/>
            <w:r/>
            <w:bookmarkEnd w:id="16"/>
            <w:r/>
            <w:bookmarkEnd w:id="17"/>
            <w:r/>
            <w:bookmarkEnd w:id="18"/>
            <w:r/>
            <w:bookmarkEnd w:id="19"/>
            <w:r/>
            <w:bookmarkEnd w:id="20"/>
            <w:r/>
            <w:bookmarkEnd w:id="21"/>
            <w:r/>
            <w:bookmarkEnd w:id="22"/>
            <w:r/>
            <w:bookmarkEnd w:id="23"/>
            <w:r/>
            <w:bookmarkEnd w:id="24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про структуру (організаційну структуру) розпорядника інформації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Сектор кадрової роботи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Нормативи, що затверджуються та підлягають оприлюдненню відповідно до закону розпорядником інформації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Звіти, у тому числі щодо задоволення запитів на інформацію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Реєстр наборів даних, що перебувають у володінні розпорядника інформації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/>
          </w:p>
        </w:tc>
      </w:tr>
      <w:tr>
        <w:trPr>
          <w:trHeight w:val="974"/>
        </w:trPr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pStyle w:val="604"/>
              <w:jc w:val="both"/>
              <w:spacing w:after="60" w:afterAutospacing="0" w:before="60" w:beforeAutospacing="0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</w:t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604"/>
              <w:spacing w:after="60" w:afterAutospacing="0" w:before="60" w:beforeAutospacing="0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Відділ </w:t>
            </w:r>
            <w:r>
              <w:rPr>
                <w:bCs/>
                <w:iCs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діяльності з підготовки проектів регуляторни</w:t>
            </w:r>
            <w:r>
              <w:rPr>
                <w:sz w:val="24"/>
                <w:szCs w:val="24"/>
                <w:lang w:val="uk-UA"/>
              </w:rPr>
              <w:t xml:space="preserve">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про нормативно-правові засади діяльності розпорядника інформації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Юридичний відділ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Фінансова звітність суб’єктів господарювання комунального сектору економіки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Комунальні підприємства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Річні зведені основні фінансові показники виконання фінансових планів підприємств комунального сектору економіки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Комунальні підприємства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про отримане майно (обладнання, програмне забезпечення) у рамках міжнародної технічної допомоги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із системи обліку публічної інформації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Результати інформаційного аудиту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pStyle w:val="604"/>
              <w:jc w:val="both"/>
              <w:spacing w:after="150" w:afterAutospacing="0" w:before="0" w:beforeAutospacing="0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Перелік об’єктів комунальної власності</w:t>
            </w:r>
            <w:bookmarkStart w:id="25" w:name="n3657"/>
            <w:r/>
            <w:bookmarkStart w:id="26" w:name="n3658"/>
            <w:r/>
            <w:bookmarkStart w:id="27" w:name="n3659"/>
            <w:r/>
            <w:bookmarkStart w:id="28" w:name="n3660"/>
            <w:r/>
            <w:bookmarkStart w:id="29" w:name="n3661"/>
            <w:r/>
            <w:bookmarkEnd w:id="25"/>
            <w:r/>
            <w:bookmarkEnd w:id="26"/>
            <w:r/>
            <w:bookmarkEnd w:id="27"/>
            <w:r/>
            <w:bookmarkEnd w:id="28"/>
            <w:r/>
            <w:bookmarkEnd w:id="29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Звіти про виконання фінансових планів комунальних підприємств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Комунальні підприємства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Титульні списки на проведення капітального та поточного ремонту, будівництва, реконструкції та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благоустрою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містобудування,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про рекламні засоби (дані про місце розміщення рекламного засобу, його вид і розміри, н</w:t>
            </w:r>
            <w:r>
              <w:rPr>
                <w:sz w:val="24"/>
                <w:szCs w:val="24"/>
                <w:lang w:val="uk-UA"/>
              </w:rPr>
              <w:t xml:space="preserve">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об’єкти та засоби торгівлі (пересувної, сезонної тощо)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  <w:bookmarkStart w:id="30" w:name="n3663"/>
            <w:r/>
            <w:bookmarkStart w:id="31" w:name="n3664"/>
            <w:r/>
            <w:bookmarkStart w:id="32" w:name="n3665"/>
            <w:r/>
            <w:bookmarkStart w:id="33" w:name="n3666"/>
            <w:r/>
            <w:bookmarkStart w:id="34" w:name="n3667"/>
            <w:r/>
            <w:bookmarkStart w:id="35" w:name="n3668"/>
            <w:r/>
            <w:bookmarkStart w:id="36" w:name="n3669"/>
            <w:r/>
            <w:bookmarkStart w:id="37" w:name="n3670"/>
            <w:r/>
            <w:bookmarkStart w:id="38" w:name="n3671"/>
            <w:r/>
            <w:bookmarkStart w:id="39" w:name="n3672"/>
            <w:r/>
            <w:bookmarkEnd w:id="30"/>
            <w:r/>
            <w:bookmarkEnd w:id="31"/>
            <w:r/>
            <w:bookmarkEnd w:id="32"/>
            <w:r/>
            <w:bookmarkEnd w:id="33"/>
            <w:r/>
            <w:bookmarkEnd w:id="34"/>
            <w:r/>
            <w:bookmarkEnd w:id="35"/>
            <w:r/>
            <w:bookmarkEnd w:id="36"/>
            <w:r/>
            <w:bookmarkEnd w:id="37"/>
            <w:r/>
            <w:bookmarkEnd w:id="38"/>
            <w:r/>
            <w:bookmarkEnd w:id="39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залучення, розрахунок розміру і використання коштів пайової участі у розвитку інфраструктури населеного пункту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 розміщення зупинок міського електричного та автомобільного транспорту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охорони здоров’я та соціального захисту населення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Поіменні результати голосування депутатів на пленарних засіданнях органу місцевого самоврядування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депутатів місцевих рад, у тому числі контактну інформацію та графік прийому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зелені насадження, що підлягають видаленню, відповідно до виданих актів обстеження зелених насаджень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доступність будівель для осіб з інвалідністю та інших маломобільних груп населення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охорони здоров’я та соціального захисту населення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надходження звернень на телефонні “гарячі лінії”, в аварійно-диспетчерські служби, телефонні центри тощо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документування та забезпечення діяльності апарату ради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електронні петиції, у тому числі осіб, що їх підписали, та результати розгляду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Дані громадського бюджету, бюджету участі тощо, у тому числі про проекти, результати голосування, реалізацію підтриманих проектів</w:t>
            </w:r>
            <w:bookmarkStart w:id="40" w:name="n3674"/>
            <w:r/>
            <w:bookmarkStart w:id="41" w:name="n3675"/>
            <w:r/>
            <w:bookmarkStart w:id="42" w:name="n3676"/>
            <w:r/>
            <w:bookmarkStart w:id="43" w:name="n3677"/>
            <w:r/>
            <w:bookmarkStart w:id="44" w:name="n3678"/>
            <w:r/>
            <w:bookmarkStart w:id="45" w:name="n3679"/>
            <w:r/>
            <w:bookmarkStart w:id="46" w:name="n3680"/>
            <w:r/>
            <w:bookmarkStart w:id="47" w:name="n3681"/>
            <w:r/>
            <w:bookmarkStart w:id="48" w:name="n3682"/>
            <w:r/>
            <w:bookmarkStart w:id="49" w:name="n3683"/>
            <w:r/>
            <w:bookmarkStart w:id="50" w:name="n3684"/>
            <w:r/>
            <w:bookmarkStart w:id="51" w:name="n3685"/>
            <w:r/>
            <w:bookmarkStart w:id="52" w:name="n3686"/>
            <w:r/>
            <w:bookmarkStart w:id="53" w:name="n3687"/>
            <w:r/>
            <w:bookmarkStart w:id="54" w:name="n3688"/>
            <w:r/>
            <w:bookmarkEnd w:id="40"/>
            <w:r/>
            <w:bookmarkEnd w:id="41"/>
            <w:r/>
            <w:bookmarkEnd w:id="42"/>
            <w:r/>
            <w:bookmarkEnd w:id="43"/>
            <w:r/>
            <w:bookmarkEnd w:id="44"/>
            <w:r/>
            <w:bookmarkEnd w:id="45"/>
            <w:r/>
            <w:bookmarkEnd w:id="46"/>
            <w:r/>
            <w:bookmarkEnd w:id="47"/>
            <w:r/>
            <w:bookmarkEnd w:id="48"/>
            <w:r/>
            <w:bookmarkEnd w:id="49"/>
            <w:r/>
            <w:bookmarkEnd w:id="50"/>
            <w:r/>
            <w:bookmarkEnd w:id="51"/>
            <w:r/>
            <w:bookmarkEnd w:id="52"/>
            <w:r/>
            <w:bookmarkEnd w:id="53"/>
            <w:r/>
            <w:bookmarkEnd w:id="54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паркування, у тому числі розміщення майданчиків, їх операторів, обладнання та функціонування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Адресний реєстр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надані адміністративні послуги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“Центр надання адміністративних послуг”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видані будівельні паспорти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медичне обладнання комунальних закладів охорони здоров’я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Комунальні </w:t>
            </w:r>
            <w:r>
              <w:rPr>
                <w:sz w:val="24"/>
                <w:szCs w:val="24"/>
                <w:lang w:val="uk-UA"/>
              </w:rPr>
              <w:t xml:space="preserve">заклад</w:t>
            </w:r>
            <w:r>
              <w:rPr>
                <w:sz w:val="24"/>
                <w:szCs w:val="24"/>
                <w:lang w:val="uk-UA"/>
              </w:rPr>
              <w:t xml:space="preserve">и</w:t>
            </w:r>
            <w:r>
              <w:rPr>
                <w:sz w:val="24"/>
                <w:szCs w:val="24"/>
                <w:lang w:val="uk-UA"/>
              </w:rPr>
              <w:t xml:space="preserve"> охорони здоров’я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черги дітей у дошкільні навчальні заклади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Території обслуговування загальноосвітніх навчальних закладів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містобудівного кадастру, у тому числі геопросторові дані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видані дозволи на порушення об’єктів благоустрою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облік громадян, які потребують поліпшення житлових умов (квартирний облік)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bookmarkStart w:id="55" w:name="_GoBack"/>
            <w:r/>
            <w:bookmarkEnd w:id="55"/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Надходження і використання благодійної допомоги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Розпорядники бюджетних коштів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бухгалтерського обліку та звітності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фінансове управління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орендодавці за договорами 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 </w:t>
            </w:r>
            <w:hyperlink w:tooltip="Current Document" w:anchor="n476" w:history="1">
              <w:r>
                <w:rPr>
                  <w:rStyle w:val="581"/>
                  <w:rFonts w:eastAsia="Arial"/>
                  <w:color w:val="auto"/>
                  <w:sz w:val="24"/>
                  <w:szCs w:val="24"/>
                  <w:lang w:val="uk-UA"/>
                </w:rPr>
                <w:t xml:space="preserve">пунктом 6</w:t>
              </w:r>
            </w:hyperlink>
            <w:r>
              <w:rPr>
                <w:sz w:val="24"/>
                <w:szCs w:val="24"/>
                <w:lang w:val="uk-UA"/>
              </w:rPr>
              <w:t xml:space="preserve"> розділу “Прикінцеві та перехідні положення” Закону України “Про оренду державного та комунального майна”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об’єктів комунальної власності, які можуть бути передані в оренду (до дати, визначеної </w:t>
            </w:r>
            <w:hyperlink w:tooltip="Current Document" w:anchor="n460" w:history="1">
              <w:r>
                <w:rPr>
                  <w:rStyle w:val="581"/>
                  <w:rFonts w:eastAsia="Arial"/>
                  <w:color w:val="auto"/>
                  <w:sz w:val="24"/>
                  <w:szCs w:val="24"/>
                  <w:lang w:val="uk-UA"/>
                </w:rPr>
                <w:t xml:space="preserve">підпунктом 1</w:t>
              </w:r>
            </w:hyperlink>
            <w:r>
              <w:rPr>
                <w:sz w:val="24"/>
                <w:szCs w:val="24"/>
                <w:lang w:val="uk-UA"/>
              </w:rPr>
              <w:t xml:space="preserve"> пункту 1 розділу “Прикінцеві та перехідні положення” Закону України “Про оренду державного та комунального майна”)</w:t>
            </w:r>
            <w:bookmarkStart w:id="56" w:name="n3690"/>
            <w:r/>
            <w:bookmarkStart w:id="57" w:name="n3691"/>
            <w:r/>
            <w:bookmarkStart w:id="58" w:name="n3692"/>
            <w:r/>
            <w:bookmarkStart w:id="59" w:name="n3693"/>
            <w:r/>
            <w:bookmarkStart w:id="60" w:name="n3694"/>
            <w:r/>
            <w:bookmarkStart w:id="61" w:name="n3695"/>
            <w:r/>
            <w:bookmarkStart w:id="62" w:name="n3696"/>
            <w:r/>
            <w:bookmarkStart w:id="63" w:name="n3697"/>
            <w:r/>
            <w:bookmarkStart w:id="64" w:name="n3698"/>
            <w:r/>
            <w:bookmarkStart w:id="65" w:name="n3699"/>
            <w:r/>
            <w:bookmarkStart w:id="66" w:name="n3700"/>
            <w:r/>
            <w:bookmarkEnd w:id="56"/>
            <w:r/>
            <w:bookmarkEnd w:id="57"/>
            <w:r/>
            <w:bookmarkEnd w:id="58"/>
            <w:r/>
            <w:bookmarkEnd w:id="59"/>
            <w:r/>
            <w:bookmarkEnd w:id="60"/>
            <w:r/>
            <w:bookmarkEnd w:id="61"/>
            <w:r/>
            <w:bookmarkEnd w:id="62"/>
            <w:r/>
            <w:bookmarkEnd w:id="63"/>
            <w:r/>
            <w:bookmarkEnd w:id="64"/>
            <w:r/>
            <w:bookmarkEnd w:id="65"/>
            <w:r/>
            <w:bookmarkEnd w:id="66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розміщення громадських вбиралень комунальної власності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Розклад руху міського електричного та автомобільного транспорту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земельних відносин, агропромислового комплексу та екології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орендарів, з якими укладено договори оренди землі комунальної власності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земельних відносин, агропромислового комплексу та екології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Дані щодо ремонту автомобільних доріг місцевого значення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Реєстр містобудівних умов та обмежень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тарифи на комунальні послуги, які затверджуються органом місцевого самоврядування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економічного розвитку та інвестицій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цільових місцевих програм, змін до цільових місцевих програм та звітів про виконання цільових місцевих програм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Відділ 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цифрових трансформацій та комунікацій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відповідальні виконавці програм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заяв щодо безоплатної приватизації земельних ділянок громадянами</w:t>
            </w:r>
            <w:bookmarkStart w:id="67" w:name="n3702"/>
            <w:r/>
            <w:bookmarkStart w:id="68" w:name="n3703"/>
            <w:r/>
            <w:bookmarkStart w:id="69" w:name="n3704"/>
            <w:r/>
            <w:bookmarkStart w:id="70" w:name="n3705"/>
            <w:r/>
            <w:bookmarkStart w:id="71" w:name="n3706"/>
            <w:r/>
            <w:bookmarkStart w:id="72" w:name="n3707"/>
            <w:r/>
            <w:bookmarkStart w:id="73" w:name="n3708"/>
            <w:r/>
            <w:bookmarkStart w:id="74" w:name="n3709"/>
            <w:r/>
            <w:bookmarkStart w:id="75" w:name="n3710"/>
            <w:r/>
            <w:bookmarkStart w:id="76" w:name="n3711"/>
            <w:r/>
            <w:bookmarkEnd w:id="67"/>
            <w:r/>
            <w:bookmarkEnd w:id="68"/>
            <w:r/>
            <w:bookmarkEnd w:id="69"/>
            <w:r/>
            <w:bookmarkEnd w:id="70"/>
            <w:r/>
            <w:bookmarkEnd w:id="71"/>
            <w:r/>
            <w:bookmarkEnd w:id="72"/>
            <w:r/>
            <w:bookmarkEnd w:id="73"/>
            <w:r/>
            <w:bookmarkEnd w:id="74"/>
            <w:r/>
            <w:bookmarkEnd w:id="75"/>
            <w:r/>
            <w:bookmarkEnd w:id="76"/>
            <w:r/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“Центр надання адміністративних послуг”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61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розміщення тимчасових споруд для провадження підприємницької діяльності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архітектури та містобудування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62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виконавці послуг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63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місцезнаходження комунальних об’єктів управління відходами, їх площі та обсяги надходжень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вилов, стерилізацію та ідентифікацію безпритульних тварин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65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дитячі, спортивні та інші майданчики для дозвілля та відпочинку, що перебувають у комунальній власності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, сектор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сім’ї, молоді та спорту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66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накладені штрафи за порушення правил паркування транспортних засобів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67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місцезнаходження зон для вигулу домашніх тварин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68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щодо місцезнаходження камер відеоспостереження, що перебувають у комунальній власності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69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розташування захисних споруд цивільного захисту комунальної власності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Сектор з питань цивільного захисту населення та роботи з правоохоронними органами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70</w:t>
            </w:r>
            <w:r/>
          </w:p>
        </w:tc>
        <w:tc>
          <w:tcPr>
            <w:tcW w:w="5661" w:type="dxa"/>
            <w:textDirection w:val="lrTb"/>
            <w:noWrap w:val="false"/>
          </w:tcPr>
          <w:p>
            <w:pPr>
              <w:jc w:val="both"/>
              <w:spacing w:after="60"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Дані про місцезнаходження зарядних станцій для електричного транспорту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60" w:before="6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Відділ житлово-комунального господарства, енергоефектив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-</w:t>
            </w:r>
            <w:r>
              <w:rPr>
                <w:bCs/>
                <w:iCs/>
                <w:sz w:val="24"/>
                <w:szCs w:val="24"/>
                <w:highlight w:val="white"/>
                <w:lang w:val="uk-UA"/>
              </w:rPr>
              <w:t xml:space="preserve">ності та комунального майна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5"/>
        <w:spacing w:lineRule="auto" w:line="2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/>
    </w:p>
    <w:sectPr>
      <w:footnotePr/>
      <w:type w:val="nextPage"/>
      <w:pgSz w:w="11906" w:h="16838" w:orient="portrait"/>
      <w:pgMar w:top="1276" w:right="567" w:bottom="851" w:left="1843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</w:lvl>
    <w:lvl w:ilvl="1">
      <w:start w:val="1"/>
      <w:numFmt w:val="bullet"/>
      <w:isLgl w:val="false"/>
      <w:suff w:val="tab"/>
      <w:lvlText w:val="-"/>
      <w:lvlJc w:val="left"/>
      <w:pPr>
        <w:ind w:left="1968" w:hanging="54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left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left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left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left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left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left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left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left" w:pos="666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35" w:hanging="495"/>
        <w:tabs>
          <w:tab w:val="left" w:pos="10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60" w:hanging="720"/>
        <w:tabs>
          <w:tab w:val="left" w:pos="12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  <w:tabs>
          <w:tab w:val="left" w:pos="12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20" w:hanging="1080"/>
        <w:tabs>
          <w:tab w:val="left" w:pos="16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620" w:hanging="1080"/>
        <w:tabs>
          <w:tab w:val="left" w:pos="16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20" w:hanging="1080"/>
        <w:tabs>
          <w:tab w:val="left" w:pos="16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80" w:hanging="1440"/>
        <w:tabs>
          <w:tab w:val="left" w:pos="19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980" w:hanging="1440"/>
        <w:tabs>
          <w:tab w:val="left" w:pos="19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3"/>
    <w:uiPriority w:val="10"/>
    <w:rPr>
      <w:sz w:val="48"/>
      <w:szCs w:val="48"/>
    </w:rPr>
  </w:style>
  <w:style w:type="character" w:styleId="413">
    <w:name w:val="Subtitle Char"/>
    <w:basedOn w:val="429"/>
    <w:link w:val="445"/>
    <w:uiPriority w:val="11"/>
    <w:rPr>
      <w:sz w:val="24"/>
      <w:szCs w:val="24"/>
    </w:rPr>
  </w:style>
  <w:style w:type="character" w:styleId="414">
    <w:name w:val="Quote Char"/>
    <w:link w:val="447"/>
    <w:uiPriority w:val="29"/>
    <w:rPr>
      <w:i/>
    </w:rPr>
  </w:style>
  <w:style w:type="character" w:styleId="415">
    <w:name w:val="Intense Quote Char"/>
    <w:link w:val="449"/>
    <w:uiPriority w:val="30"/>
    <w:rPr>
      <w:i/>
    </w:rPr>
  </w:style>
  <w:style w:type="character" w:styleId="416">
    <w:name w:val="Header Char"/>
    <w:basedOn w:val="429"/>
    <w:link w:val="451"/>
    <w:uiPriority w:val="99"/>
  </w:style>
  <w:style w:type="character" w:styleId="417">
    <w:name w:val="Footer Char"/>
    <w:basedOn w:val="429"/>
    <w:link w:val="453"/>
    <w:uiPriority w:val="99"/>
  </w:style>
  <w:style w:type="character" w:styleId="418">
    <w:name w:val="Footnote Text Char"/>
    <w:link w:val="582"/>
    <w:uiPriority w:val="99"/>
    <w:rPr>
      <w:sz w:val="18"/>
    </w:rPr>
  </w:style>
  <w:style w:type="paragraph" w:styleId="419" w:default="1">
    <w:name w:val="Normal"/>
    <w:rPr>
      <w:rFonts w:ascii="Times New Roman" w:hAnsi="Times New Roman" w:eastAsia="Times New Roman"/>
      <w:lang w:bidi="ar-SA" w:eastAsia="ru-RU"/>
    </w:rPr>
  </w:style>
  <w:style w:type="paragraph" w:styleId="420">
    <w:name w:val="Heading 1"/>
    <w:basedOn w:val="595"/>
    <w:next w:val="595"/>
    <w:link w:val="599"/>
    <w:rPr>
      <w:sz w:val="32"/>
      <w:lang w:val="en-US" w:eastAsia="ru-RU"/>
    </w:rPr>
    <w:pPr>
      <w:jc w:val="center"/>
      <w:keepNext/>
      <w:outlineLvl w:val="0"/>
    </w:pPr>
  </w:style>
  <w:style w:type="paragraph" w:styleId="421">
    <w:name w:val="Heading 2"/>
    <w:basedOn w:val="595"/>
    <w:next w:val="595"/>
    <w:link w:val="600"/>
    <w:semiHidden/>
    <w:rPr>
      <w:b/>
      <w:sz w:val="28"/>
      <w:lang w:val="uk-UA" w:eastAsia="ru-RU"/>
    </w:rPr>
    <w:pPr>
      <w:jc w:val="center"/>
      <w:keepNext/>
      <w:outlineLvl w:val="1"/>
    </w:pPr>
  </w:style>
  <w:style w:type="paragraph" w:styleId="422">
    <w:name w:val="Heading 3"/>
    <w:basedOn w:val="595"/>
    <w:next w:val="595"/>
    <w:link w:val="601"/>
    <w:semiHidden/>
    <w:rPr>
      <w:b/>
      <w:sz w:val="32"/>
      <w:lang w:val="uk-UA" w:eastAsia="ru-RU"/>
    </w:rPr>
    <w:pPr>
      <w:jc w:val="center"/>
      <w:keepNext/>
      <w:outlineLvl w:val="2"/>
    </w:pPr>
  </w:style>
  <w:style w:type="paragraph" w:styleId="423">
    <w:name w:val="Heading 4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link w:val="4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6">
    <w:name w:val="Heading 7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7">
    <w:name w:val="Heading 8"/>
    <w:link w:val="4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8">
    <w:name w:val="Heading 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Heading 2 Char"/>
    <w:uiPriority w:val="9"/>
    <w:rPr>
      <w:rFonts w:ascii="Arial" w:hAnsi="Arial" w:cs="Arial" w:eastAsia="Arial"/>
      <w:sz w:val="34"/>
    </w:rPr>
  </w:style>
  <w:style w:type="character" w:styleId="43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List Paragraph"/>
    <w:qFormat/>
    <w:uiPriority w:val="34"/>
    <w:pPr>
      <w:contextualSpacing w:val="true"/>
      <w:ind w:left="720"/>
    </w:pPr>
  </w:style>
  <w:style w:type="paragraph" w:styleId="442">
    <w:name w:val="No Spacing"/>
    <w:qFormat/>
    <w:uiPriority w:val="1"/>
  </w:style>
  <w:style w:type="paragraph" w:styleId="443">
    <w:name w:val="Title"/>
    <w:link w:val="4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4" w:customStyle="1">
    <w:name w:val="Назва Знак"/>
    <w:link w:val="443"/>
    <w:uiPriority w:val="10"/>
    <w:rPr>
      <w:sz w:val="48"/>
      <w:szCs w:val="48"/>
    </w:rPr>
  </w:style>
  <w:style w:type="paragraph" w:styleId="445">
    <w:name w:val="Subtitle"/>
    <w:link w:val="446"/>
    <w:qFormat/>
    <w:uiPriority w:val="11"/>
    <w:rPr>
      <w:sz w:val="24"/>
      <w:szCs w:val="24"/>
    </w:rPr>
    <w:pPr>
      <w:spacing w:after="200" w:before="200"/>
    </w:pPr>
  </w:style>
  <w:style w:type="character" w:styleId="446" w:customStyle="1">
    <w:name w:val="Підзаголовок Знак"/>
    <w:link w:val="445"/>
    <w:uiPriority w:val="11"/>
    <w:rPr>
      <w:sz w:val="24"/>
      <w:szCs w:val="24"/>
    </w:rPr>
  </w:style>
  <w:style w:type="paragraph" w:styleId="447">
    <w:name w:val="Quote"/>
    <w:link w:val="448"/>
    <w:qFormat/>
    <w:uiPriority w:val="29"/>
    <w:rPr>
      <w:i/>
    </w:rPr>
    <w:pPr>
      <w:ind w:left="720" w:right="720"/>
    </w:pPr>
  </w:style>
  <w:style w:type="character" w:styleId="448" w:customStyle="1">
    <w:name w:val="Цитата Знак"/>
    <w:link w:val="447"/>
    <w:uiPriority w:val="29"/>
    <w:rPr>
      <w:i/>
    </w:rPr>
  </w:style>
  <w:style w:type="paragraph" w:styleId="449">
    <w:name w:val="Intense Quote"/>
    <w:link w:val="4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0" w:customStyle="1">
    <w:name w:val="Насичена цитата Знак"/>
    <w:link w:val="449"/>
    <w:uiPriority w:val="30"/>
    <w:rPr>
      <w:i/>
    </w:rPr>
  </w:style>
  <w:style w:type="paragraph" w:styleId="451">
    <w:name w:val="Header"/>
    <w:link w:val="4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2" w:customStyle="1">
    <w:name w:val="Верхній колонтитул Знак"/>
    <w:link w:val="451"/>
    <w:uiPriority w:val="99"/>
  </w:style>
  <w:style w:type="paragraph" w:styleId="453">
    <w:name w:val="Footer"/>
    <w:link w:val="4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4" w:customStyle="1">
    <w:name w:val="Нижній колонтитул Знак"/>
    <w:link w:val="453"/>
    <w:uiPriority w:val="99"/>
  </w:style>
  <w:style w:type="table" w:styleId="455">
    <w:name w:val="Table Grid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Обычный"/>
    <w:link w:val="595"/>
    <w:rPr>
      <w:rFonts w:ascii="Times New Roman" w:hAnsi="Times New Roman" w:eastAsia="Times New Roman"/>
      <w:lang w:bidi="ar-SA" w:eastAsia="uk-UA"/>
    </w:rPr>
  </w:style>
  <w:style w:type="character" w:styleId="596" w:customStyle="1">
    <w:name w:val="Основной шрифт абзаца"/>
  </w:style>
  <w:style w:type="table" w:styleId="597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8" w:customStyle="1">
    <w:name w:val="Нет списка"/>
    <w:semiHidden/>
  </w:style>
  <w:style w:type="character" w:styleId="599" w:customStyle="1">
    <w:name w:val="Заголовок 1 Знак"/>
    <w:link w:val="420"/>
    <w:rPr>
      <w:rFonts w:ascii="Times New Roman" w:hAnsi="Times New Roman" w:eastAsia="Times New Roman"/>
      <w:sz w:val="32"/>
      <w:szCs w:val="20"/>
      <w:lang w:eastAsia="ru-RU"/>
    </w:rPr>
  </w:style>
  <w:style w:type="character" w:styleId="600" w:customStyle="1">
    <w:name w:val="Заголовок 2 Знак"/>
    <w:link w:val="421"/>
    <w:semiHidden/>
    <w:rPr>
      <w:rFonts w:ascii="Times New Roman" w:hAnsi="Times New Roman" w:eastAsia="Times New Roman"/>
      <w:b/>
      <w:sz w:val="28"/>
      <w:szCs w:val="20"/>
      <w:lang w:val="uk-UA" w:eastAsia="ru-RU"/>
    </w:rPr>
  </w:style>
  <w:style w:type="character" w:styleId="601" w:customStyle="1">
    <w:name w:val="Заголовок 3 Знак"/>
    <w:link w:val="422"/>
    <w:semiHidden/>
    <w:rPr>
      <w:rFonts w:ascii="Times New Roman" w:hAnsi="Times New Roman" w:eastAsia="Times New Roman"/>
      <w:b/>
      <w:sz w:val="32"/>
      <w:szCs w:val="20"/>
      <w:lang w:val="uk-UA" w:eastAsia="ru-RU"/>
    </w:rPr>
  </w:style>
  <w:style w:type="paragraph" w:styleId="602" w:customStyle="1">
    <w:name w:val="Текст выноски"/>
    <w:basedOn w:val="595"/>
    <w:link w:val="603"/>
    <w:semiHidden/>
    <w:rPr>
      <w:rFonts w:ascii="Tahoma" w:hAnsi="Tahoma"/>
      <w:sz w:val="16"/>
      <w:szCs w:val="16"/>
      <w:lang w:val="en-US"/>
    </w:rPr>
  </w:style>
  <w:style w:type="character" w:styleId="603" w:customStyle="1">
    <w:name w:val="Текст выноски Знак"/>
    <w:link w:val="602"/>
    <w:semiHidden/>
    <w:rPr>
      <w:rFonts w:ascii="Tahoma" w:hAnsi="Tahoma" w:eastAsia="Times New Roman"/>
      <w:sz w:val="16"/>
      <w:szCs w:val="16"/>
      <w:lang w:eastAsia="uk-UA"/>
    </w:rPr>
  </w:style>
  <w:style w:type="paragraph" w:styleId="604" w:customStyle="1">
    <w:name w:val="rvps2"/>
    <w:basedOn w:val="419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05">
    <w:name w:val="Balloon Text"/>
    <w:basedOn w:val="419"/>
    <w:link w:val="606"/>
    <w:uiPriority w:val="99"/>
    <w:semiHidden/>
    <w:unhideWhenUsed/>
    <w:rPr>
      <w:rFonts w:ascii="Arial" w:hAnsi="Arial" w:cs="Arial"/>
      <w:sz w:val="18"/>
      <w:szCs w:val="18"/>
    </w:rPr>
  </w:style>
  <w:style w:type="character" w:styleId="606" w:customStyle="1">
    <w:name w:val="Текст у виносці Знак"/>
    <w:basedOn w:val="429"/>
    <w:link w:val="605"/>
    <w:uiPriority w:val="99"/>
    <w:semiHidden/>
    <w:rPr>
      <w:rFonts w:ascii="Arial" w:hAnsi="Arial" w:cs="Arial" w:eastAsia="Times New Roman"/>
      <w:sz w:val="18"/>
      <w:szCs w:val="18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23</cp:revision>
  <dcterms:created xsi:type="dcterms:W3CDTF">2021-05-18T10:34:00Z</dcterms:created>
  <dcterms:modified xsi:type="dcterms:W3CDTF">2021-05-27T05:21:59Z</dcterms:modified>
</cp:coreProperties>
</file>