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566"/>
        <w:tblpPr w:horzAnchor="margin" w:tblpXSpec="left" w:vertAnchor="page" w:tblpY="826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94"/>
        <w:gridCol w:w="5993"/>
      </w:tblGrid>
      <w:tr>
        <w:trPr>
          <w:trHeight w:val="976"/>
        </w:trPr>
        <w:tc>
          <w:tcPr>
            <w:gridSpan w:val="3"/>
            <w:tcBorders>
              <w:left w:val="single" w:color="FFFFFF" w:sz="4" w:space="0" w:themeColor="background1"/>
              <w:top w:val="single" w:color="FFFFFF" w:sz="4" w:space="0" w:themeColor="background1"/>
              <w:right w:val="single" w:color="FFFFFF" w:sz="4" w:space="0" w:themeColor="background1"/>
              <w:bottom w:val="none" w:color="000000" w:sz="4" w:space="0"/>
            </w:tcBorders>
            <w:tcW w:w="9962" w:type="dxa"/>
            <w:textDirection w:val="lrTb"/>
            <w:noWrap/>
          </w:tcPr>
          <w:p>
            <w:pPr>
              <w:ind w:left="5954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Додаток 4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до рішення сесії Менської міської ради 8 скликання від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05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.2020 № Про внесення змін до Переліку адміністративних послуг, які надаються через відділ «Центр надання адміністра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тивних послуг», затвердження Переліку адміністративних послуг, які надаються через ВРМ відділу «Центр надання адміністративних послуг» та затвердження інформаційних і технологічних карток, які надаються через відділ «Центр надання адміністративних послуг»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976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6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/>
            <w:bookmarkStart w:id="0" w:name="_Hlk71800107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ІНФОРМАЦІЙНА КАРТКА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Надання одноразової грошової допомоги при народженні дитини жителям Менської міської територіальної громади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r>
            <w:r/>
          </w:p>
          <w:p>
            <w:pPr>
              <w:pStyle w:val="568"/>
              <w:jc w:val="center"/>
              <w:rPr>
                <w:rFonts w:ascii="Times New Roman" w:hAnsi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/>
                <w:b/>
                <w:sz w:val="28"/>
                <w:szCs w:val="24"/>
              </w:rPr>
              <w:t xml:space="preserve">Відділ охорони здоров’я та соціального захисту населення Менської міської ради</w:t>
            </w:r>
            <w:r/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</w:tcBorders>
            <w:tcW w:w="996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центр надання адміністративної послуги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Місцезнаходження: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ЦНАП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15600, Чернігівська область, м.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Мена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вул. Героїв АТО, 6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щодо режиму </w:t>
            </w:r>
            <w:r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роботи ЦНАП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pStyle w:val="565"/>
              <w:contextualSpacing w:val="true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Понеділок, вівторок, середа: 08:30-16:30</w:t>
            </w:r>
            <w:r/>
          </w:p>
          <w:p>
            <w:pPr>
              <w:pStyle w:val="565"/>
              <w:contextualSpacing w:val="true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Четвер: 08:30-20:00</w:t>
            </w:r>
            <w:r/>
          </w:p>
          <w:p>
            <w:pPr>
              <w:pStyle w:val="565"/>
              <w:contextualSpacing w:val="true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П’ятниця, субота: 08:30-15:30</w:t>
            </w:r>
            <w:r/>
          </w:p>
          <w:p>
            <w:pPr>
              <w:pStyle w:val="565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Вихідний: неділя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Телефон/факс (довідки),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 електронної пошти та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веб-сайт: ЦНАП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pStyle w:val="565"/>
              <w:contextualSpacing w:val="true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</w:t>
            </w:r>
            <w:r>
              <w:rPr>
                <w:sz w:val="28"/>
                <w:szCs w:val="28"/>
              </w:rPr>
              <w:t xml:space="preserve">. (04644)2-16-81</w:t>
            </w:r>
            <w:r/>
          </w:p>
          <w:p>
            <w:pPr>
              <w:pStyle w:val="565"/>
              <w:contextualSpacing w:val="true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e-mail:</w:t>
            </w:r>
            <w:hyperlink r:id="rId8" w:history="1">
              <w:r>
                <w:rPr>
                  <w:rStyle w:val="567"/>
                  <w:sz w:val="28"/>
                  <w:szCs w:val="28"/>
                </w:rPr>
                <w:t xml:space="preserve">cnapradamena@cg.gov.ua</w:t>
              </w:r>
            </w:hyperlink>
            <w:r/>
            <w:r/>
          </w:p>
          <w:p>
            <w:pPr>
              <w:pStyle w:val="565"/>
              <w:contextualSpacing w:val="true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Веб-сайт: </w:t>
            </w:r>
            <w:hyperlink r:id="rId9" w:history="1">
              <w:r>
                <w:rPr>
                  <w:rStyle w:val="567"/>
                  <w:sz w:val="28"/>
                  <w:szCs w:val="28"/>
                </w:rPr>
                <w:t xml:space="preserve">http://mena.cg.gov.ua/</w:t>
              </w:r>
            </w:hyperlink>
            <w:r/>
            <w:r/>
          </w:p>
        </w:tc>
      </w:tr>
      <w:tr>
        <w:trPr/>
        <w:tc>
          <w:tcPr>
            <w:gridSpan w:val="3"/>
            <w:tcW w:w="996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Нормативні акти, якими регламентується надання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адміністративної послуги</w:t>
            </w:r>
            <w:r/>
          </w:p>
        </w:tc>
      </w:tr>
      <w:tr>
        <w:trPr>
          <w:trHeight w:val="554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Закони України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місцеве самоврядування в України», Бюджетний кодекс України.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 ОМС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Рішення сесії Менської міської ради від 26.12.2019 № 683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Комплексну програму підтримки сім’ї, запобігання домашньому насильству, гендерної рівності та протидії торгівлі людьми на період до 2022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</w:t>
            </w:r>
            <w:r/>
          </w:p>
        </w:tc>
      </w:tr>
      <w:tr>
        <w:trPr/>
        <w:tc>
          <w:tcPr>
            <w:gridSpan w:val="3"/>
            <w:tcW w:w="996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Умови отримання адміністративної послуги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Підстава для одержання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адміністративної послуги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Звернення одного із батьків дитини;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Звернення подається не пізніше ніж через 6 календарних місяців після народження дитини.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документів,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необхідних для отримання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адміністративної  послуги, а також вимоги до них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pStyle w:val="564"/>
              <w:numPr>
                <w:ilvl w:val="0"/>
                <w:numId w:val="1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Заява одного із батьків;</w:t>
            </w:r>
            <w:r/>
          </w:p>
          <w:p>
            <w:pPr>
              <w:pStyle w:val="564"/>
              <w:numPr>
                <w:ilvl w:val="0"/>
                <w:numId w:val="1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Свідоцтво про народження дитини;</w:t>
            </w:r>
            <w:r/>
          </w:p>
          <w:p>
            <w:pPr>
              <w:pStyle w:val="564"/>
              <w:numPr>
                <w:ilvl w:val="0"/>
                <w:numId w:val="1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Копія паспорта одного з батьків або іншого документа, що посвідчує особу, та реєстраційного номера облікової картки платника податків з пред’явленням оригіналу;</w:t>
            </w:r>
            <w:r/>
          </w:p>
          <w:p>
            <w:pPr>
              <w:pStyle w:val="564"/>
              <w:numPr>
                <w:ilvl w:val="0"/>
                <w:numId w:val="1"/>
              </w:numPr>
              <w:ind w:left="0" w:firstLine="0"/>
              <w:jc w:val="both"/>
              <w:spacing w:lineRule="auto" w:line="240" w:after="0"/>
              <w:tabs>
                <w:tab w:val="left" w:pos="28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Відомості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особовий рахунок, відкритий в АТ КБ “Приватбанк” на ім’я заявника;</w:t>
            </w:r>
            <w:r/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976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та спосіб подання документів, необхідних для отримання адміністративної послуги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Документи подаються особисто або через уповноважену особу.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Платність (безоплатність) </w:t>
            </w:r>
            <w:r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адміністративної послуги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Строк надання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адміністративної послуги 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протязі 30 днів з дня подачі заяви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підстав для відмови у наданні адміністративної послуги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Надано неповний пакет документів;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Дитині більше ніж 6 календарних місяців після народження;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проживання особи не є Менська міська територіальна громада.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надання адміністративної послуги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Отримання грошової допомоги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Способи отримання відповіді (результату)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Надходження грошової допомоги на особовий рахунок, відкритий в уповноваженій банківській установі на ім’я заявника. 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</w:t>
            </w:r>
            <w:r/>
          </w:p>
        </w:tc>
        <w:tc>
          <w:tcPr>
            <w:tcW w:w="32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Примітка</w:t>
            </w:r>
            <w:r/>
          </w:p>
        </w:tc>
        <w:tc>
          <w:tcPr>
            <w:tcW w:w="599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/>
          </w:p>
        </w:tc>
      </w:tr>
    </w:tbl>
    <w:p>
      <w:pPr>
        <w:pStyle w:val="565"/>
        <w:contextualSpacing w:val="true"/>
        <w:shd w:val="clear" w:color="auto" w:fill="FFFFFF"/>
        <w:rPr>
          <w:b/>
          <w:color w:val="292B2C"/>
          <w:sz w:val="28"/>
          <w:szCs w:val="28"/>
        </w:rPr>
      </w:pPr>
      <w:r>
        <w:rPr>
          <w:b/>
          <w:color w:val="292B2C"/>
          <w:sz w:val="28"/>
          <w:szCs w:val="28"/>
        </w:rPr>
      </w:r>
      <w:r/>
    </w:p>
    <w:p>
      <w:pPr>
        <w:shd w:val="nil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p>
      <w:pPr>
        <w:pStyle w:val="565"/>
        <w:contextualSpacing w:val="true"/>
        <w:ind w:left="-107"/>
        <w:jc w:val="center"/>
        <w:shd w:val="clear" w:color="auto" w:fill="FFFFFF"/>
        <w:rPr>
          <w:b/>
          <w:sz w:val="28"/>
          <w:szCs w:val="28"/>
        </w:rPr>
        <w:pBdr>
          <w:bottom w:val="none" w:color="000000" w:sz="4" w:space="1"/>
        </w:pBdr>
      </w:pPr>
      <w:r>
        <w:rPr>
          <w:b/>
          <w:sz w:val="28"/>
          <w:szCs w:val="28"/>
        </w:rPr>
        <w:t xml:space="preserve">ТЕХНОЛОГІЧНА КАРТКА АДМІНІСТРАТИВНОЇ ПОСЛУГИ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Надання одноразової грошової допомоги при народженні дитини жителям Менської міської територіальної громади</w:t>
      </w:r>
      <w:r/>
    </w:p>
    <w:p>
      <w:pPr>
        <w:pStyle w:val="568"/>
        <w:jc w:val="center"/>
        <w:rPr>
          <w:rFonts w:ascii="Times New Roman" w:hAnsi="Times New Roman" w:eastAsia="Times New Roman"/>
          <w:b/>
          <w:sz w:val="28"/>
          <w:szCs w:val="24"/>
        </w:rPr>
      </w:pPr>
      <w:r>
        <w:rPr>
          <w:rFonts w:ascii="Times New Roman" w:hAnsi="Times New Roman" w:eastAsia="Times New Roman"/>
          <w:b/>
          <w:sz w:val="28"/>
          <w:szCs w:val="24"/>
        </w:rPr>
        <w:t xml:space="preserve">Відділ охорони здоров’я та соціального захисту населення </w:t>
      </w:r>
      <w:r/>
      <w:r>
        <w:rPr>
          <w:rFonts w:ascii="Times New Roman" w:hAnsi="Times New Roman" w:eastAsia="Times New Roman"/>
          <w:b/>
          <w:sz w:val="28"/>
          <w:szCs w:val="24"/>
        </w:rPr>
        <w:t xml:space="preserve">Менської міської ради</w:t>
      </w:r>
      <w:r/>
      <w:r>
        <w:rPr>
          <w:rFonts w:ascii="Times New Roman" w:hAnsi="Times New Roman" w:eastAsia="Times New Roman"/>
          <w:b/>
          <w:sz w:val="28"/>
          <w:szCs w:val="24"/>
        </w:rPr>
      </w:r>
      <w:r/>
    </w:p>
    <w:tbl>
      <w:tblPr>
        <w:tblStyle w:val="566"/>
        <w:tblW w:w="9712" w:type="dxa"/>
        <w:tblInd w:w="-107" w:type="dxa"/>
        <w:tblLayout w:type="fixed"/>
        <w:tblLook w:val="04A0" w:firstRow="1" w:lastRow="0" w:firstColumn="1" w:lastColumn="0" w:noHBand="0" w:noVBand="1"/>
      </w:tblPr>
      <w:tblGrid>
        <w:gridCol w:w="642"/>
        <w:gridCol w:w="4354"/>
        <w:gridCol w:w="2591"/>
        <w:gridCol w:w="567"/>
        <w:gridCol w:w="1558"/>
      </w:tblGrid>
      <w:tr>
        <w:trPr/>
        <w:tc>
          <w:tcPr>
            <w:tcW w:w="642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№</w:t>
            </w:r>
            <w:r>
              <w:rPr>
                <w:sz w:val="22"/>
              </w:rPr>
            </w:r>
          </w:p>
          <w:p>
            <w:pPr>
              <w:pStyle w:val="565"/>
              <w:contextualSpacing w:val="true"/>
              <w:jc w:val="center"/>
              <w:rPr>
                <w:color w:val="000000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п/п</w:t>
            </w:r>
            <w:r>
              <w:rPr>
                <w:sz w:val="22"/>
              </w:rPr>
            </w:r>
          </w:p>
        </w:tc>
        <w:tc>
          <w:tcPr>
            <w:tcW w:w="4354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Етапи послуги</w:t>
            </w:r>
            <w:r>
              <w:rPr>
                <w:sz w:val="22"/>
              </w:rPr>
            </w:r>
          </w:p>
        </w:tc>
        <w:tc>
          <w:tcPr>
            <w:tcW w:w="2591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Відповідальна посадова </w:t>
            </w:r>
            <w:r>
              <w:rPr>
                <w:sz w:val="22"/>
              </w:rPr>
            </w:r>
            <w:r>
              <w:rPr>
                <w:color w:val="000000" w:themeColor="text1"/>
                <w:sz w:val="22"/>
              </w:rPr>
              <w:t xml:space="preserve">особа і структурний підрозділ</w:t>
            </w:r>
            <w:r>
              <w:rPr>
                <w:sz w:val="22"/>
              </w:rPr>
            </w:r>
          </w:p>
        </w:tc>
        <w:tc>
          <w:tcPr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Дія</w:t>
            </w:r>
            <w:r>
              <w:rPr>
                <w:sz w:val="22"/>
              </w:rPr>
            </w:r>
            <w:r>
              <w:rPr>
                <w:color w:val="000000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558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Термін виконання (днів)</w:t>
            </w:r>
            <w:r>
              <w:rPr>
                <w:sz w:val="22"/>
              </w:rPr>
            </w:r>
          </w:p>
        </w:tc>
      </w:tr>
      <w:tr>
        <w:trPr/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2"/>
              </w:numPr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3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Прийом і перевірка повноти пакету документів, реєстрація заяви</w:t>
            </w:r>
            <w:r/>
          </w:p>
        </w:tc>
        <w:tc>
          <w:tcPr>
            <w:tcW w:w="2591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tcW w:w="1558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Протягом 1 дня</w:t>
            </w:r>
            <w:r/>
          </w:p>
        </w:tc>
      </w:tr>
      <w:tr>
        <w:trPr/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2"/>
              </w:numPr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3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Формування адміністративної справи, занесення даних до реєстру</w:t>
            </w:r>
            <w:r/>
          </w:p>
        </w:tc>
        <w:tc>
          <w:tcPr>
            <w:tcW w:w="259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1 дня</w:t>
            </w:r>
            <w:r/>
          </w:p>
        </w:tc>
      </w:tr>
      <w:tr>
        <w:trPr/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2"/>
              </w:numPr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3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Передача пакету документів відділу охорони здоров’я та соціального захисту населення Менської міської ради для ознайомлення</w:t>
            </w:r>
            <w:r/>
          </w:p>
        </w:tc>
        <w:tc>
          <w:tcPr>
            <w:tcW w:w="259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1 дня</w:t>
            </w:r>
            <w:r/>
          </w:p>
        </w:tc>
      </w:tr>
      <w:tr>
        <w:trPr/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2"/>
              </w:numPr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3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Розгляд та перевірка відповідності пакету документів, які подані для отримання </w:t>
            </w:r>
            <w:r>
              <w:rPr>
                <w:color w:val="000000" w:themeColor="text1"/>
                <w:sz w:val="28"/>
                <w:szCs w:val="28"/>
              </w:rPr>
              <w:t xml:space="preserve">адмінпослуги</w:t>
            </w:r>
            <w:r/>
          </w:p>
        </w:tc>
        <w:tc>
          <w:tcPr>
            <w:tcW w:w="2591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Посадова особа </w:t>
            </w:r>
            <w:r/>
            <w:r>
              <w:rPr>
                <w:color w:val="000000" w:themeColor="text1"/>
                <w:sz w:val="28"/>
                <w:szCs w:val="28"/>
              </w:rPr>
              <w:t xml:space="preserve">відділу охорони здоров’я та соціального захисту населення Менської міської ради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3-7 днів</w:t>
            </w:r>
            <w:r/>
          </w:p>
        </w:tc>
      </w:tr>
      <w:tr>
        <w:trPr/>
        <w:tc>
          <w:tcPr>
            <w:shd w:val="clear" w:color="auto" w:fill="auto"/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2"/>
              </w:numPr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3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Підготовка </w:t>
            </w:r>
            <w:r>
              <w:rPr>
                <w:color w:val="000000" w:themeColor="text1"/>
                <w:sz w:val="28"/>
                <w:szCs w:val="28"/>
              </w:rPr>
              <w:t xml:space="preserve">проєкту</w:t>
            </w:r>
            <w:r>
              <w:rPr>
                <w:color w:val="000000" w:themeColor="text1"/>
                <w:sz w:val="28"/>
                <w:szCs w:val="28"/>
              </w:rPr>
              <w:t xml:space="preserve"> розпорядження міського голови про надання </w:t>
            </w:r>
            <w:r>
              <w:rPr>
                <w:sz w:val="28"/>
                <w:szCs w:val="28"/>
              </w:rPr>
              <w:t xml:space="preserve">одноразової грошової допомоги при народженні дитини</w:t>
            </w:r>
            <w:r/>
          </w:p>
        </w:tc>
        <w:tc>
          <w:tcPr>
            <w:shd w:val="clear" w:color="auto" w:fill="auto"/>
            <w:tcW w:w="2591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Посадова особа </w:t>
            </w:r>
            <w:r/>
            <w:r>
              <w:rPr>
                <w:color w:val="000000" w:themeColor="text1"/>
                <w:sz w:val="28"/>
                <w:szCs w:val="28"/>
              </w:rPr>
              <w:t xml:space="preserve">відділу охорони здоров’я та соціального захисту населення Менської міської ради</w:t>
            </w:r>
            <w:r/>
          </w:p>
        </w:tc>
        <w:tc>
          <w:tcPr>
            <w:shd w:val="clear" w:color="auto" w:fill="auto"/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shd w:val="clear" w:color="auto" w:fill="auto"/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3-7 днів</w:t>
            </w:r>
            <w:r/>
          </w:p>
        </w:tc>
      </w:tr>
      <w:tr>
        <w:trPr>
          <w:trHeight w:val="148"/>
        </w:trPr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2"/>
              </w:numPr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3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Розгляд та підписання розпорядження про надання </w:t>
            </w:r>
            <w:r>
              <w:rPr>
                <w:sz w:val="28"/>
                <w:szCs w:val="28"/>
              </w:rPr>
              <w:t xml:space="preserve">одноразової грошової допомоги при народженні дитини</w:t>
            </w:r>
            <w:r/>
          </w:p>
        </w:tc>
        <w:tc>
          <w:tcPr>
            <w:tcW w:w="2591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Міський голова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7 днів</w:t>
            </w:r>
            <w:r/>
          </w:p>
        </w:tc>
      </w:tr>
      <w:tr>
        <w:trPr>
          <w:trHeight w:val="148"/>
        </w:trPr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2"/>
              </w:numPr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3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необхідної кількості завірених копій розпорядження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91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  <w:shd w:val="clear" w:color="auto" w:fill="FFFFFF"/>
              </w:rPr>
              <w:t xml:space="preserve">Відділ документування та забезпечення діяльності апарату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Протягом 3 днів після підписання</w:t>
            </w:r>
            <w:r/>
          </w:p>
        </w:tc>
      </w:tr>
      <w:tr>
        <w:trPr>
          <w:trHeight w:val="148"/>
        </w:trPr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2"/>
              </w:numPr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354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завірених копій рішення адміністратору ЦНАП для його подальшої передачі особисто або надіслання поштою суб'єкту звернення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91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  <w:shd w:val="clear" w:color="auto" w:fill="FFFFFF"/>
              </w:rPr>
              <w:t xml:space="preserve">Відділ документування та забезпечення діяльності апарату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Протягом 1 дня</w:t>
            </w:r>
            <w:r/>
          </w:p>
        </w:tc>
      </w:tr>
      <w:tr>
        <w:trPr>
          <w:trHeight w:val="148"/>
        </w:trPr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2"/>
              </w:numPr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3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Видача рішення заявнику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91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Адміністратор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30 днів</w:t>
            </w:r>
            <w:r/>
          </w:p>
        </w:tc>
      </w:tr>
      <w:tr>
        <w:trPr>
          <w:trHeight w:val="148"/>
        </w:trPr>
        <w:tc>
          <w:tcPr>
            <w:tcW w:w="642" w:type="dxa"/>
            <w:textDirection w:val="lrTb"/>
            <w:noWrap/>
          </w:tcPr>
          <w:p>
            <w:pPr>
              <w:pStyle w:val="565"/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10.</w:t>
            </w:r>
            <w:r/>
          </w:p>
        </w:tc>
        <w:tc>
          <w:tcPr>
            <w:tcW w:w="43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Механізм оскарження результату надання адміністративної послуги</w:t>
            </w:r>
            <w:r/>
          </w:p>
        </w:tc>
        <w:tc>
          <w:tcPr>
            <w:gridSpan w:val="3"/>
            <w:tcW w:w="4716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Суб’єкт звернення протягом 30-ти днів з моменту отримання результату надання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адмінпослуги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має право подати скаргу до відділу «Центр надання адміністративних послуг» Менської міської ради, безпосередньо до суб’єкта надання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адмінпослуги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або до вищого органу відносно того органу, що вирішив справу.</w:t>
            </w:r>
            <w:r/>
          </w:p>
        </w:tc>
      </w:tr>
      <w:tr>
        <w:trPr>
          <w:trHeight w:val="148"/>
        </w:trPr>
        <w:tc>
          <w:tcPr>
            <w:gridSpan w:val="4"/>
            <w:tcW w:w="8154" w:type="dxa"/>
            <w:textDirection w:val="lrTb"/>
            <w:noWrap/>
          </w:tcPr>
          <w:p>
            <w:pPr>
              <w:pStyle w:val="565"/>
              <w:contextualSpacing w:val="tru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Загальна кількість днів надання послуги</w:t>
            </w:r>
            <w:r/>
          </w:p>
        </w:tc>
        <w:tc>
          <w:tcPr>
            <w:tcW w:w="1558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30</w:t>
            </w:r>
            <w:r/>
          </w:p>
        </w:tc>
      </w:tr>
      <w:tr>
        <w:trPr>
          <w:trHeight w:val="148"/>
        </w:trPr>
        <w:tc>
          <w:tcPr>
            <w:gridSpan w:val="4"/>
            <w:tcW w:w="8154" w:type="dxa"/>
            <w:textDirection w:val="lrTb"/>
            <w:noWrap/>
          </w:tcPr>
          <w:p>
            <w:pPr>
              <w:pStyle w:val="565"/>
              <w:contextualSpacing w:val="true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Загальна кількість днів (передбачена законодавством)</w:t>
            </w:r>
            <w:r/>
          </w:p>
        </w:tc>
        <w:tc>
          <w:tcPr>
            <w:tcW w:w="1558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30</w:t>
            </w:r>
            <w:bookmarkEnd w:id="0"/>
            <w:r/>
            <w:r/>
          </w:p>
        </w:tc>
      </w:tr>
    </w:tbl>
    <w:p>
      <w:pPr>
        <w:shd w:val="nil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/>
    </w:p>
    <w:p>
      <w:pPr>
        <w:pStyle w:val="565"/>
        <w:contextualSpacing w:val="true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tbl>
      <w:tblPr>
        <w:tblStyle w:val="566"/>
        <w:tblpPr w:horzAnchor="margin" w:tblpXSpec="left" w:vertAnchor="page" w:tblpY="826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6803"/>
      </w:tblGrid>
      <w:tr>
        <w:trPr>
          <w:trHeight w:val="976"/>
        </w:trPr>
        <w:tc>
          <w:tcPr>
            <w:gridSpan w:val="3"/>
            <w:tcBorders>
              <w:left w:val="single" w:color="FFFFFF" w:sz="4" w:space="0" w:themeColor="background1"/>
              <w:top w:val="single" w:color="FFFFFF" w:sz="4" w:space="0" w:themeColor="background1"/>
              <w:right w:val="single" w:color="FFFFFF" w:sz="4" w:space="0" w:themeColor="background1"/>
              <w:bottom w:val="single" w:color="000000" w:sz="4" w:space="0" w:themeColor="text1"/>
            </w:tcBorders>
            <w:tcW w:w="9922" w:type="dxa"/>
            <w:textDirection w:val="lrTb"/>
            <w:noWrap/>
          </w:tcPr>
          <w:p>
            <w:pPr>
              <w:pStyle w:val="5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ІНФОРМАЦІЙНА КАРТКА</w:t>
            </w:r>
            <w:r/>
          </w:p>
          <w:p>
            <w:pPr>
              <w:pStyle w:val="5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r>
            <w:r/>
          </w:p>
          <w:p>
            <w:pPr>
              <w:pStyle w:val="5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Надання матеріальної допомоги на поховання деяких категорій громадян Менської міської територіальної громади</w:t>
            </w:r>
            <w:r/>
          </w:p>
          <w:p>
            <w:pPr>
              <w:pStyle w:val="5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r>
            <w:r/>
          </w:p>
          <w:p>
            <w:pPr>
              <w:pStyle w:val="5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Відділ охорони здоров’я та соціального захисту населення</w:t>
            </w:r>
            <w:r/>
          </w:p>
          <w:p>
            <w:pPr>
              <w:pStyle w:val="5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Менської міської ради</w:t>
            </w:r>
            <w:r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 w:themeColor="text1"/>
            </w:tcBorders>
            <w:tcW w:w="9922" w:type="dxa"/>
            <w:textDirection w:val="lrTb"/>
            <w:noWrap/>
          </w:tcPr>
          <w:p>
            <w:pPr>
              <w:pStyle w:val="5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 про центр надання адміністративної послуги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Місцезнаходження </w:t>
            </w:r>
            <w:r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ЦНАП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15600,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Чернігівська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область, м. Мена,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Героїв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АТО, 6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щодо режиму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 ЦНАП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Понеділок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вівторок, середа: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08:30-16:30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08:30-20:00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П’ятниця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субота: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08:30-15:30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Вихідний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неділя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Телефон/факс (довідки),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 електронної пошти та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веб-сайт: ЦНАП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(04644)2-16-81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hyperlink r:id="rId10" w:history="1">
              <w:r>
                <w:rPr>
                  <w:rStyle w:val="567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cnapradamena</w:t>
              </w:r>
              <w:r>
                <w:rPr>
                  <w:rStyle w:val="567"/>
                  <w:rFonts w:ascii="Times New Roman" w:hAnsi="Times New Roman" w:cs="Times New Roman"/>
                  <w:sz w:val="28"/>
                  <w:szCs w:val="28"/>
                </w:rPr>
                <w:t xml:space="preserve">@</w:t>
              </w:r>
              <w:r>
                <w:rPr>
                  <w:rStyle w:val="567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cg</w:t>
              </w:r>
              <w:r>
                <w:rPr>
                  <w:rStyle w:val="567"/>
                  <w:rFonts w:ascii="Times New Roman" w:hAnsi="Times New Roman" w:cs="Times New Roman"/>
                  <w:sz w:val="28"/>
                  <w:szCs w:val="28"/>
                </w:rPr>
                <w:t xml:space="preserve">.</w:t>
              </w:r>
              <w:r>
                <w:rPr>
                  <w:rStyle w:val="567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gov</w:t>
              </w:r>
              <w:r>
                <w:rPr>
                  <w:rStyle w:val="567"/>
                  <w:rFonts w:ascii="Times New Roman" w:hAnsi="Times New Roman" w:cs="Times New Roman"/>
                  <w:sz w:val="28"/>
                  <w:szCs w:val="28"/>
                </w:rPr>
                <w:t xml:space="preserve">.</w:t>
              </w:r>
              <w:r>
                <w:rPr>
                  <w:rStyle w:val="567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ua</w:t>
              </w:r>
            </w:hyperlink>
            <w:r/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Веб-сайт: </w:t>
            </w:r>
            <w:hyperlink r:id="rId11" w:history="1">
              <w:r>
                <w:rPr>
                  <w:rStyle w:val="567"/>
                  <w:rFonts w:ascii="Times New Roman" w:hAnsi="Times New Roman" w:cs="Times New Roman"/>
                  <w:sz w:val="28"/>
                  <w:szCs w:val="28"/>
                </w:rPr>
                <w:t xml:space="preserve">http://mena.cg.gov.ua/</w:t>
              </w:r>
            </w:hyperlink>
            <w:r/>
            <w:r/>
          </w:p>
        </w:tc>
      </w:tr>
      <w:tr>
        <w:trPr/>
        <w:tc>
          <w:tcPr>
            <w:gridSpan w:val="3"/>
            <w:tcW w:w="9922" w:type="dxa"/>
            <w:textDirection w:val="lrTb"/>
            <w:noWrap/>
          </w:tcPr>
          <w:p>
            <w:pPr>
              <w:pStyle w:val="5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Нормативні акти, якими регламентується надання адміністративної послуги</w:t>
            </w:r>
            <w:r/>
          </w:p>
        </w:tc>
      </w:tr>
      <w:tr>
        <w:trPr>
          <w:trHeight w:val="894"/>
        </w:trPr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Закони України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місцеве самоврядування в України», Закон України «Про поховання та похоронну справу», постанова КМУ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 від 31.01.2007  №99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 ОМС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сесії Менської міської ради від 26.12.2019  № 694 «Про затвердження Програми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матеріальної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допомоги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осіб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досягли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пенсійного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на момент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смерті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працювали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перебували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зареєстровані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центрі зайнятості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безробітні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2020-2022 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</w:t>
            </w:r>
            <w:r/>
          </w:p>
        </w:tc>
      </w:tr>
      <w:tr>
        <w:trPr/>
        <w:tc>
          <w:tcPr>
            <w:gridSpan w:val="3"/>
            <w:tcW w:w="9922" w:type="dxa"/>
            <w:textDirection w:val="lrTb"/>
            <w:noWrap/>
          </w:tcPr>
          <w:p>
            <w:pPr>
              <w:pStyle w:val="5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Умови отримання адміністративної послуги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 для одержання </w:t>
            </w:r>
            <w:r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адміністративної послуги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Звернення виконавця волевиявлення померлого або особи, яка зобов’язалася поховати померлого </w:t>
            </w:r>
            <w:r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документів, необхідних для отримання </w:t>
            </w:r>
            <w:r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адміністративної  послуги, а також вимоги до них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заява;</w:t>
            </w:r>
            <w:r/>
          </w:p>
          <w:p>
            <w:pPr>
              <w:pStyle w:val="569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копія паспорта або іншого документа, що посвідчує особу з пред’явленням оригіналу;</w:t>
            </w:r>
            <w:r/>
          </w:p>
          <w:p>
            <w:pPr>
              <w:pStyle w:val="569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копія реєстраційного номера облікової картки платника податків з пред’явленням оригіналу;</w:t>
            </w:r>
            <w:r/>
          </w:p>
          <w:p>
            <w:pPr>
              <w:pStyle w:val="569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копія свідоцтва про смерть з пред’явленням оригіналу;</w:t>
            </w:r>
            <w:r/>
          </w:p>
          <w:p>
            <w:pPr>
              <w:pStyle w:val="569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ригінал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Витягу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Державного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реєстру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актів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цивільного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стану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громадян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смерть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отримання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допомоги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поховання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;</w:t>
            </w:r>
            <w:r/>
          </w:p>
          <w:p>
            <w:pPr>
              <w:pStyle w:val="569"/>
              <w:ind w:left="86"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 довідка з Управління пенсійного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фонду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те,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що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померла особа не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отримувала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пенсію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;</w:t>
            </w:r>
            <w:r/>
          </w:p>
          <w:p>
            <w:pPr>
              <w:pStyle w:val="569"/>
              <w:ind w:left="86"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овідка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управління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соціального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захисту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населення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померла особа 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отримувала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державну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соціальну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допомогу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відповідно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ЗУ «Про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державну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соціальну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допомогу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особам,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мають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права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пенсію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та особам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інвалідністю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</w:t>
            </w:r>
            <w:r/>
          </w:p>
          <w:p>
            <w:pPr>
              <w:pStyle w:val="569"/>
              <w:ind w:left="86"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- 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овідка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центру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зайнятості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те,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що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померла особа не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перебувала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обліку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як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безробітна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;</w:t>
            </w:r>
            <w:r/>
          </w:p>
          <w:p>
            <w:pPr>
              <w:pStyle w:val="569"/>
              <w:ind w:left="86"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-  копія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трудової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книжки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померлої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особи (перша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сторінка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останній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запис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);</w:t>
            </w:r>
            <w:r/>
          </w:p>
          <w:p>
            <w:pPr>
              <w:pStyle w:val="569"/>
              <w:ind w:left="86"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відомості про особовий рахунок, відкритий в АТ КБ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«Приватбанк»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ім’я заявника.</w:t>
            </w:r>
            <w:r/>
          </w:p>
          <w:p>
            <w:pPr>
              <w:pStyle w:val="569"/>
              <w:ind w:left="86"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разі, коли до заяви не додані всі необхідні документи, або надані документи оформлені не належним чином, вони повинні бути подані додатково не пізніше ніж у двотижневий термін із дня подання заяви.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подаються особисто або через уповноважену особу.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Платність (безоплатність) </w:t>
            </w:r>
            <w:r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адміністративної послуги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Строк надання адміністративної послуги 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протязі 30 днів з дня подачі заяви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підстав для відмови у наданні адміністративної послуги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подано неповний пакет документів;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місцем проживання померлої особи не є Менська міська територіальна громада.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оформлення поданих документів не відповідає встановленим вимогам;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допомога має бути отримання в іншому органі;</w:t>
            </w:r>
            <w:r/>
          </w:p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звернення за допомогою не пізніше  шести місяців  після смерті особи.</w:t>
            </w:r>
            <w:r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 надання адміністративної послуги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грошової допомоги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Способи отримання відповіді (результату)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Надходження грошової допомоги на особовий рахунок, відкритий в уповноваженій банківській установі на ім’я заявника. 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Примітка</w:t>
            </w:r>
            <w:r/>
          </w:p>
        </w:tc>
        <w:tc>
          <w:tcPr>
            <w:tcW w:w="6803" w:type="dxa"/>
            <w:textDirection w:val="lrTb"/>
            <w:noWrap/>
          </w:tcPr>
          <w:p>
            <w:pPr>
              <w:pStyle w:val="5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</w:t>
            </w:r>
            <w:r/>
          </w:p>
        </w:tc>
      </w:tr>
    </w:tbl>
    <w:p>
      <w:pPr>
        <w:shd w:val="nil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p>
      <w:pPr>
        <w:pStyle w:val="565"/>
        <w:contextualSpacing w:val="true"/>
        <w:ind w:left="-107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ТЕХНОЛОГІЧНА КАРТКА АДМІНІСТРАТИВНОЇ ПОСЛУГИ</w:t>
      </w:r>
      <w:r/>
    </w:p>
    <w:p>
      <w:pPr>
        <w:pStyle w:val="569"/>
        <w:jc w:val="center"/>
        <w:spacing w:after="113" w:afterAutospacing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Надання матеріальної допомоги на поховання деяких категорій громадян Менської міської територіальної громади</w:t>
      </w:r>
      <w:r/>
    </w:p>
    <w:p>
      <w:pPr>
        <w:pStyle w:val="568"/>
        <w:jc w:val="center"/>
        <w:rPr>
          <w:rFonts w:ascii="Times New Roman" w:hAnsi="Times New Roman" w:eastAsia="Times New Roman"/>
          <w:b/>
          <w:sz w:val="28"/>
          <w:szCs w:val="24"/>
        </w:rPr>
      </w:pPr>
      <w:r>
        <w:rPr>
          <w:rFonts w:ascii="Times New Roman" w:hAnsi="Times New Roman" w:eastAsia="Times New Roman"/>
          <w:b/>
          <w:sz w:val="28"/>
          <w:szCs w:val="24"/>
        </w:rPr>
        <w:t xml:space="preserve">Відділ охорони здоров’я та соціального захисту населення </w:t>
      </w:r>
      <w:r/>
    </w:p>
    <w:p>
      <w:pPr>
        <w:pStyle w:val="568"/>
        <w:jc w:val="center"/>
        <w:rPr>
          <w:rFonts w:ascii="Times New Roman" w:hAnsi="Times New Roman" w:eastAsia="Times New Roman"/>
          <w:b/>
          <w:sz w:val="28"/>
          <w:szCs w:val="24"/>
        </w:rPr>
      </w:pPr>
      <w:r>
        <w:rPr>
          <w:rFonts w:ascii="Times New Roman" w:hAnsi="Times New Roman" w:eastAsia="Times New Roman"/>
          <w:b/>
          <w:sz w:val="28"/>
          <w:szCs w:val="24"/>
        </w:rPr>
        <w:t xml:space="preserve">Менської міської ради</w:t>
      </w:r>
      <w:r/>
      <w:r>
        <w:rPr>
          <w:rFonts w:ascii="Times New Roman" w:hAnsi="Times New Roman" w:eastAsia="Times New Roman"/>
          <w:b/>
          <w:sz w:val="28"/>
          <w:szCs w:val="24"/>
        </w:rPr>
      </w:r>
      <w:r/>
    </w:p>
    <w:tbl>
      <w:tblPr>
        <w:tblStyle w:val="566"/>
        <w:tblW w:w="10029" w:type="dxa"/>
        <w:tblInd w:w="-107" w:type="dxa"/>
        <w:tblLayout w:type="fixed"/>
        <w:tblLook w:val="04A0" w:firstRow="1" w:lastRow="0" w:firstColumn="1" w:lastColumn="0" w:noHBand="0" w:noVBand="1"/>
      </w:tblPr>
      <w:tblGrid>
        <w:gridCol w:w="642"/>
        <w:gridCol w:w="4001"/>
        <w:gridCol w:w="2944"/>
        <w:gridCol w:w="567"/>
        <w:gridCol w:w="1875"/>
      </w:tblGrid>
      <w:tr>
        <w:trPr/>
        <w:tc>
          <w:tcPr>
            <w:tcW w:w="642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№ </w:t>
            </w:r>
            <w:r/>
            <w:r>
              <w:rPr>
                <w:color w:val="000000" w:themeColor="text1"/>
              </w:rPr>
              <w:t xml:space="preserve">п/п</w:t>
            </w:r>
            <w:r/>
          </w:p>
        </w:tc>
        <w:tc>
          <w:tcPr>
            <w:tcW w:w="4001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Етапи послуги</w:t>
            </w:r>
            <w:r/>
          </w:p>
        </w:tc>
        <w:tc>
          <w:tcPr>
            <w:tcW w:w="2944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Відповідальна посадова </w:t>
            </w:r>
            <w:r/>
            <w:r>
              <w:rPr>
                <w:color w:val="000000" w:themeColor="text1"/>
              </w:rPr>
              <w:t xml:space="preserve">особа і структурний підрозділ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Дія </w:t>
            </w:r>
            <w:r/>
            <w:r>
              <w:rPr>
                <w:color w:val="000000"/>
              </w:rPr>
            </w:r>
            <w:r/>
          </w:p>
        </w:tc>
        <w:tc>
          <w:tcPr>
            <w:tcW w:w="1875" w:type="dxa"/>
            <w:textDirection w:val="lrTb"/>
            <w:noWrap/>
          </w:tcPr>
          <w:p>
            <w:pPr>
              <w:pStyle w:val="565"/>
              <w:contextualSpacing w:val="true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Термін виконання (днів)</w:t>
            </w:r>
            <w:r/>
          </w:p>
        </w:tc>
      </w:tr>
      <w:tr>
        <w:trPr/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3"/>
              </w:numPr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001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Прийом і перевірка повноти пакету документів, реєстрація заяви</w:t>
            </w:r>
            <w:r/>
          </w:p>
        </w:tc>
        <w:tc>
          <w:tcPr>
            <w:tcW w:w="294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tcW w:w="1875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Протягом 1 дня</w:t>
            </w:r>
            <w:r/>
          </w:p>
        </w:tc>
      </w:tr>
      <w:tr>
        <w:trPr/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3"/>
              </w:numPr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001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Формування адміністративної справи, занесення даних до реєстру</w:t>
            </w:r>
            <w:r/>
          </w:p>
        </w:tc>
        <w:tc>
          <w:tcPr>
            <w:tcW w:w="2944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tcW w:w="187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1 дня</w:t>
            </w:r>
            <w:r/>
          </w:p>
        </w:tc>
      </w:tr>
      <w:tr>
        <w:trPr/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3"/>
              </w:numPr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001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Передача пакету документів відділу охорони здоров’я та соціального захисту населення Менської міської ради для ознайомлення</w:t>
            </w:r>
            <w:r/>
          </w:p>
        </w:tc>
        <w:tc>
          <w:tcPr>
            <w:tcW w:w="2944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tcW w:w="187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1 дня</w:t>
            </w:r>
            <w:r/>
          </w:p>
        </w:tc>
      </w:tr>
      <w:tr>
        <w:trPr/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3"/>
              </w:numPr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001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Розгляд та перевірка відповідності пакету документів, які подані для отримання </w:t>
            </w:r>
            <w:r>
              <w:rPr>
                <w:color w:val="000000" w:themeColor="text1"/>
                <w:sz w:val="28"/>
                <w:szCs w:val="28"/>
              </w:rPr>
              <w:t xml:space="preserve">адмінпослуги</w:t>
            </w:r>
            <w:r/>
          </w:p>
        </w:tc>
        <w:tc>
          <w:tcPr>
            <w:tcW w:w="294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Посадова особа </w:t>
            </w:r>
            <w:r/>
            <w:r>
              <w:rPr>
                <w:color w:val="000000" w:themeColor="text1"/>
                <w:sz w:val="28"/>
                <w:szCs w:val="28"/>
              </w:rPr>
              <w:t xml:space="preserve">відділу охорони здоров’я та соціального захисту населення Менської міської ради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tcW w:w="187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3-7 днів</w:t>
            </w:r>
            <w:r/>
          </w:p>
        </w:tc>
      </w:tr>
      <w:tr>
        <w:trPr/>
        <w:tc>
          <w:tcPr>
            <w:shd w:val="clear" w:color="auto" w:fill="auto"/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3"/>
              </w:numPr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001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Підготовка </w:t>
            </w:r>
            <w:r>
              <w:rPr>
                <w:color w:val="000000" w:themeColor="text1"/>
                <w:sz w:val="28"/>
                <w:szCs w:val="28"/>
              </w:rPr>
              <w:t xml:space="preserve">проєкту</w:t>
            </w:r>
            <w:r>
              <w:rPr>
                <w:color w:val="000000" w:themeColor="text1"/>
                <w:sz w:val="28"/>
                <w:szCs w:val="28"/>
              </w:rPr>
              <w:t xml:space="preserve"> розпорядження міського голови про надання матеріальної </w:t>
            </w:r>
            <w:r>
              <w:rPr>
                <w:sz w:val="28"/>
                <w:szCs w:val="28"/>
              </w:rPr>
              <w:t xml:space="preserve">допомоги на поховання</w:t>
            </w:r>
            <w:r/>
          </w:p>
        </w:tc>
        <w:tc>
          <w:tcPr>
            <w:shd w:val="clear" w:color="auto" w:fill="auto"/>
            <w:tcW w:w="294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Посадова особа </w:t>
            </w:r>
            <w:r/>
            <w:r>
              <w:rPr>
                <w:color w:val="000000" w:themeColor="text1"/>
                <w:sz w:val="28"/>
                <w:szCs w:val="28"/>
              </w:rPr>
              <w:t xml:space="preserve">відділу охорони здоров’я та соціального захисту населення Менської міської ради</w:t>
            </w:r>
            <w:r/>
          </w:p>
        </w:tc>
        <w:tc>
          <w:tcPr>
            <w:shd w:val="clear" w:color="auto" w:fill="auto"/>
            <w:tcW w:w="567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shd w:val="clear" w:color="auto" w:fill="auto"/>
            <w:tcW w:w="187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3-7 днів</w:t>
            </w:r>
            <w:r/>
          </w:p>
        </w:tc>
      </w:tr>
      <w:tr>
        <w:trPr>
          <w:trHeight w:val="148"/>
        </w:trPr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3"/>
              </w:numPr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001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Розгляд та підписання розпорядження про надання </w:t>
            </w:r>
            <w:r>
              <w:rPr>
                <w:sz w:val="28"/>
                <w:szCs w:val="28"/>
              </w:rPr>
              <w:t xml:space="preserve">матеріальної допомоги поховання</w:t>
            </w:r>
            <w:r/>
          </w:p>
        </w:tc>
        <w:tc>
          <w:tcPr>
            <w:tcW w:w="294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Міський голова</w:t>
            </w:r>
            <w:r/>
          </w:p>
        </w:tc>
        <w:tc>
          <w:tcPr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</w:t>
            </w:r>
            <w:r/>
          </w:p>
        </w:tc>
        <w:tc>
          <w:tcPr>
            <w:tcW w:w="187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7 днів</w:t>
            </w:r>
            <w:r/>
          </w:p>
        </w:tc>
      </w:tr>
      <w:tr>
        <w:trPr>
          <w:trHeight w:val="148"/>
        </w:trPr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3"/>
              </w:numPr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001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необхідної кількості завірених копій розпорядження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94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  <w:shd w:val="clear" w:color="auto" w:fill="FFFFFF"/>
              </w:rPr>
              <w:t xml:space="preserve">Відділ документування та забезпечення діяльності апарату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5" w:type="dxa"/>
            <w:textDirection w:val="lrTb"/>
            <w:noWrap/>
          </w:tcPr>
          <w:p>
            <w:pPr>
              <w:ind w:left="-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Протягом3днів після підписання</w:t>
            </w:r>
            <w:r/>
          </w:p>
        </w:tc>
      </w:tr>
      <w:tr>
        <w:trPr>
          <w:trHeight w:val="1701"/>
        </w:trPr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3"/>
              </w:numPr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00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завірених копій рішення адміністратору ЦНАП для його подальшої передачі особисто або надіслання поштою суб'єкту звернення</w:t>
            </w:r>
            <w:r/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94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  <w:shd w:val="clear" w:color="auto" w:fill="FFFFFF"/>
              </w:rPr>
              <w:t xml:space="preserve">Відділ документування та забезпечення діяльності апарату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Протягом 1 дня</w:t>
            </w:r>
            <w:r/>
          </w:p>
        </w:tc>
      </w:tr>
      <w:tr>
        <w:trPr>
          <w:trHeight w:val="148"/>
        </w:trPr>
        <w:tc>
          <w:tcPr>
            <w:tcW w:w="642" w:type="dxa"/>
            <w:textDirection w:val="lrTb"/>
            <w:noWrap/>
          </w:tcPr>
          <w:p>
            <w:pPr>
              <w:pStyle w:val="565"/>
              <w:numPr>
                <w:ilvl w:val="0"/>
                <w:numId w:val="3"/>
              </w:numPr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001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Видача рішення заявнику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94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Адміністратор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67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30 днів</w:t>
            </w:r>
            <w:r/>
          </w:p>
        </w:tc>
      </w:tr>
      <w:tr>
        <w:trPr>
          <w:trHeight w:val="148"/>
        </w:trPr>
        <w:tc>
          <w:tcPr>
            <w:tcW w:w="642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10.</w:t>
            </w:r>
            <w:r/>
          </w:p>
        </w:tc>
        <w:tc>
          <w:tcPr>
            <w:tcW w:w="4001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Механізм оскарження результату надання адміністративної послуги</w:t>
            </w:r>
            <w:r/>
          </w:p>
        </w:tc>
        <w:tc>
          <w:tcPr>
            <w:gridSpan w:val="3"/>
            <w:tcW w:w="5386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Суб’єкт звернення протягом 30-ти днів з моменту отримання результату надання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адмінпослуги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має право подати скаргу до відділу «Центр надання адміністративних послуг» Менської міської ради, безпосередньо до суб’єкта надання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адмінпослуги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або до вищого органу відносно того органу, що вирішив справу.</w:t>
            </w:r>
            <w:r/>
          </w:p>
        </w:tc>
      </w:tr>
      <w:tr>
        <w:trPr>
          <w:trHeight w:val="148"/>
        </w:trPr>
        <w:tc>
          <w:tcPr>
            <w:gridSpan w:val="4"/>
            <w:tcW w:w="81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Загальна кількість днів надання послуги</w:t>
            </w:r>
            <w:r/>
          </w:p>
        </w:tc>
        <w:tc>
          <w:tcPr>
            <w:tcW w:w="1875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30</w:t>
            </w:r>
            <w:r/>
          </w:p>
        </w:tc>
      </w:tr>
      <w:tr>
        <w:trPr>
          <w:trHeight w:val="148"/>
        </w:trPr>
        <w:tc>
          <w:tcPr>
            <w:gridSpan w:val="4"/>
            <w:tcW w:w="8154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Загальна кількість днів (передбачена законодавством)</w:t>
            </w:r>
            <w:r/>
          </w:p>
        </w:tc>
        <w:tc>
          <w:tcPr>
            <w:tcW w:w="1875" w:type="dxa"/>
            <w:textDirection w:val="lrTb"/>
            <w:noWrap/>
          </w:tcPr>
          <w:p>
            <w:pPr>
              <w:pStyle w:val="565"/>
              <w:contextualSpacing w:val="true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30</w:t>
            </w:r>
            <w:r/>
          </w:p>
        </w:tc>
      </w:tr>
    </w:tbl>
    <w:p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0"/>
    <w:next w:val="560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1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0"/>
    <w:next w:val="560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1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0"/>
    <w:next w:val="560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1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1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1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0"/>
    <w:next w:val="560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1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0"/>
    <w:next w:val="560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1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0"/>
    <w:next w:val="560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1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0"/>
    <w:next w:val="560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1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Title"/>
    <w:basedOn w:val="560"/>
    <w:next w:val="560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1"/>
    <w:link w:val="410"/>
    <w:uiPriority w:val="10"/>
    <w:rPr>
      <w:sz w:val="48"/>
      <w:szCs w:val="48"/>
    </w:rPr>
  </w:style>
  <w:style w:type="paragraph" w:styleId="412">
    <w:name w:val="Subtitle"/>
    <w:basedOn w:val="560"/>
    <w:next w:val="560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1"/>
    <w:link w:val="412"/>
    <w:uiPriority w:val="11"/>
    <w:rPr>
      <w:sz w:val="24"/>
      <w:szCs w:val="24"/>
    </w:rPr>
  </w:style>
  <w:style w:type="paragraph" w:styleId="414">
    <w:name w:val="Quote"/>
    <w:basedOn w:val="560"/>
    <w:next w:val="560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0"/>
    <w:next w:val="560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1"/>
    <w:link w:val="418"/>
    <w:uiPriority w:val="99"/>
  </w:style>
  <w:style w:type="paragraph" w:styleId="420">
    <w:name w:val="Footer"/>
    <w:basedOn w:val="560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1"/>
    <w:link w:val="420"/>
    <w:uiPriority w:val="99"/>
  </w:style>
  <w:style w:type="table" w:styleId="422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1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2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3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4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5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6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>
    <w:name w:val="List Paragraph"/>
    <w:basedOn w:val="560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5">
    <w:name w:val="Normal (Web)"/>
    <w:basedOn w:val="560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table" w:styleId="566">
    <w:name w:val="Table Grid"/>
    <w:basedOn w:val="562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567">
    <w:name w:val="Hyperlink"/>
    <w:unhideWhenUsed/>
    <w:rPr>
      <w:color w:val="0563C1" w:themeColor="hyperlink"/>
      <w:u w:val="single"/>
    </w:rPr>
  </w:style>
  <w:style w:type="paragraph" w:styleId="568" w:customStyle="1">
    <w:name w:val="Без интервала1"/>
    <w:rPr>
      <w:rFonts w:ascii="Calibri" w:hAnsi="Calibri" w:cs="Times New Roman" w:eastAsia="Calibri"/>
    </w:rPr>
    <w:pPr>
      <w:spacing w:lineRule="auto" w:line="240" w:after="0"/>
    </w:pPr>
  </w:style>
  <w:style w:type="paragraph" w:styleId="569">
    <w:name w:val="No Spacing"/>
    <w:qFormat/>
    <w:uiPriority w:val="1"/>
    <w:rPr>
      <w:rFonts w:ascii="Calibri" w:hAnsi="Calibri" w:cs="Calibri" w:eastAsia="Calibri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mailto:cnapradamena@cg.gov.ua" TargetMode="External"/><Relationship Id="rId9" Type="http://schemas.openxmlformats.org/officeDocument/2006/relationships/hyperlink" Target="http://mena.cg.gov.ua/" TargetMode="External"/><Relationship Id="rId10" Type="http://schemas.openxmlformats.org/officeDocument/2006/relationships/hyperlink" Target="mailto:cnapradamena@cg.gov.ua" TargetMode="External"/><Relationship Id="rId11" Type="http://schemas.openxmlformats.org/officeDocument/2006/relationships/hyperlink" Target="http://mena.cg.gov.ua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3</cp:revision>
  <dcterms:created xsi:type="dcterms:W3CDTF">2021-05-14T12:42:00Z</dcterms:created>
  <dcterms:modified xsi:type="dcterms:W3CDTF">2021-05-21T05:44:32Z</dcterms:modified>
</cp:coreProperties>
</file>