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4"/>
        <w:jc w:val="center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pStyle w:val="554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pStyle w:val="554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554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>
        <w:rPr>
          <w:sz w:val="28"/>
        </w:rPr>
      </w:r>
    </w:p>
    <w:p>
      <w:pPr>
        <w:pStyle w:val="554"/>
        <w:jc w:val="center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</w:rPr>
        <w:t xml:space="preserve">п’ята</w:t>
      </w:r>
      <w:r>
        <w:rPr>
          <w:b/>
          <w:color w:val="000000"/>
          <w:sz w:val="28"/>
        </w:rPr>
        <w:t xml:space="preserve"> сесія восьмого скликання)</w:t>
      </w:r>
      <w:r>
        <w:rPr>
          <w:sz w:val="28"/>
        </w:rPr>
      </w:r>
    </w:p>
    <w:p>
      <w:pPr>
        <w:pStyle w:val="554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535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23 квітня </w:t>
      </w:r>
      <w:r>
        <w:rPr>
          <w:color w:val="000000"/>
          <w:sz w:val="28"/>
        </w:rPr>
        <w:t xml:space="preserve">2021 року</w:t>
      </w:r>
      <w:r>
        <w:rPr>
          <w:color w:val="000000"/>
          <w:sz w:val="28"/>
        </w:rPr>
        <w:tab/>
        <w:t xml:space="preserve">№ 182</w:t>
      </w:r>
      <w:r>
        <w:rPr>
          <w:sz w:val="28"/>
        </w:rPr>
      </w:r>
    </w:p>
    <w:p>
      <w:pPr>
        <w:ind w:right="6094"/>
        <w:jc w:val="both"/>
        <w:spacing w:after="142" w:afterAutospacing="0" w:before="142" w:beforeAutospacing="0"/>
        <w:tabs>
          <w:tab w:val="left" w:pos="3828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  <w:szCs w:val="28"/>
        </w:rPr>
        <w:t xml:space="preserve">Програми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профілактики </w:t>
      </w:r>
      <w:r>
        <w:rPr>
          <w:b/>
          <w:sz w:val="28"/>
          <w:szCs w:val="28"/>
        </w:rPr>
        <w:t xml:space="preserve">правопорушень </w:t>
      </w:r>
      <w:r>
        <w:rPr>
          <w:b/>
          <w:sz w:val="28"/>
          <w:szCs w:val="28"/>
        </w:rPr>
        <w:t xml:space="preserve">«Безпечна громада» на 2021-2022 роки </w:t>
      </w:r>
      <w:r>
        <w:rPr>
          <w:sz w:val="28"/>
        </w:rPr>
      </w:r>
    </w:p>
    <w:p>
      <w:pPr>
        <w:ind w:firstLine="708"/>
        <w:jc w:val="both"/>
        <w:shd w:val="clear" w:color="auto" w:fill="FFFFFF"/>
        <w:rPr>
          <w:rFonts w:eastAsia="Batang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 метою виконання заходів програми профілактики правопорушень «Безпечна громада» на 2021-2022 роки та  покращення якісних послуг охорони правопорядку Менська міська рада, </w:t>
      </w:r>
      <w:r>
        <w:rPr>
          <w:sz w:val="28"/>
          <w:szCs w:val="28"/>
        </w:rPr>
        <w:t xml:space="preserve">відповідно до Бюджетного кодексу України, </w:t>
      </w:r>
      <w:r>
        <w:rPr>
          <w:rFonts w:eastAsia="Batang"/>
          <w:color w:val="000000"/>
          <w:sz w:val="28"/>
          <w:szCs w:val="28"/>
        </w:rPr>
        <w:t xml:space="preserve">керуючись ст. </w:t>
      </w:r>
      <w:r>
        <w:rPr>
          <w:rFonts w:eastAsia="Batang"/>
          <w:color w:val="000000"/>
          <w:sz w:val="28"/>
          <w:szCs w:val="28"/>
        </w:rPr>
        <w:t xml:space="preserve">26</w:t>
      </w:r>
      <w:r>
        <w:rPr>
          <w:rFonts w:eastAsia="Batang"/>
          <w:color w:val="000000"/>
          <w:sz w:val="28"/>
          <w:szCs w:val="28"/>
        </w:rPr>
        <w:t xml:space="preserve"> Закону Украї</w:t>
      </w:r>
      <w:r>
        <w:rPr>
          <w:rFonts w:eastAsia="Malgun Gothic"/>
          <w:color w:val="000000"/>
          <w:sz w:val="28"/>
          <w:szCs w:val="28"/>
        </w:rPr>
        <w:t xml:space="preserve">ни</w:t>
      </w:r>
      <w:r>
        <w:rPr>
          <w:rFonts w:eastAsia="Batang"/>
          <w:color w:val="000000"/>
          <w:sz w:val="28"/>
          <w:szCs w:val="28"/>
        </w:rPr>
        <w:t xml:space="preserve"> «Про мі</w:t>
      </w:r>
      <w:r>
        <w:rPr>
          <w:rFonts w:eastAsia="Malgun Gothic"/>
          <w:color w:val="000000"/>
          <w:sz w:val="28"/>
          <w:szCs w:val="28"/>
        </w:rPr>
        <w:t xml:space="preserve">сцеве</w:t>
      </w:r>
      <w:r>
        <w:rPr>
          <w:rFonts w:eastAsia="Batang"/>
          <w:color w:val="000000"/>
          <w:sz w:val="28"/>
          <w:szCs w:val="28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</w:rPr>
        <w:t xml:space="preserve">н</w:t>
      </w:r>
      <w:r>
        <w:rPr>
          <w:rFonts w:eastAsia="Batang"/>
          <w:color w:val="000000"/>
          <w:sz w:val="28"/>
          <w:szCs w:val="28"/>
        </w:rPr>
        <w:t xml:space="preserve">і»</w:t>
      </w:r>
      <w:r>
        <w:rPr>
          <w:color w:val="000000"/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633"/>
        <w:numPr>
          <w:ilvl w:val="0"/>
          <w:numId w:val="11"/>
        </w:numPr>
        <w:ind w:left="0" w:firstLine="709"/>
        <w:jc w:val="both"/>
        <w:tabs>
          <w:tab w:val="left" w:pos="992" w:leader="none"/>
        </w:tabs>
        <w:rPr>
          <w:b w:val="false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0"/>
          <w:sz w:val="28"/>
          <w:szCs w:val="28"/>
          <w:shd w:val="clear" w:color="auto" w:fill="FFFFFF"/>
        </w:rPr>
        <w:t xml:space="preserve">Внести зміни до рішення</w:t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 4 сесії Менської міської ради 8 скликання </w:t>
      </w:r>
      <w:r>
        <w:rPr>
          <w:b w:val="false"/>
          <w:sz w:val="28"/>
          <w:szCs w:val="28"/>
        </w:rPr>
        <w:t xml:space="preserve">«</w:t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Про затвердження Програми профілактики правопорушень </w:t>
      </w:r>
      <w:r>
        <w:rPr>
          <w:b w:val="false"/>
          <w:sz w:val="28"/>
          <w:szCs w:val="28"/>
        </w:rPr>
        <w:t xml:space="preserve">«</w:t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Безпечна громада</w:t>
      </w:r>
      <w:r>
        <w:rPr>
          <w:b w:val="false"/>
          <w:sz w:val="28"/>
          <w:szCs w:val="28"/>
        </w:rPr>
        <w:t xml:space="preserve">»</w:t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 в новій редакції</w:t>
      </w:r>
      <w:r>
        <w:rPr>
          <w:b w:val="false"/>
          <w:sz w:val="28"/>
          <w:szCs w:val="28"/>
        </w:rPr>
        <w:t xml:space="preserve">»</w:t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від 21.03.2021 № 86 </w:t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шляхом викладення </w:t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у новій редакції Програми профілактики правопорушень «Безпечна громада» на 2021-2022 роки згідно з додатком до даного рішення - </w:t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додається.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</w:rPr>
      </w:r>
    </w:p>
    <w:p>
      <w:pPr>
        <w:pStyle w:val="633"/>
        <w:numPr>
          <w:ilvl w:val="0"/>
          <w:numId w:val="11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</w:rPr>
        <w:t xml:space="preserve">С.М.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jc w:val="both"/>
        <w:tabs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left="0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/>
        <w:jc w:val="both"/>
        <w:tabs>
          <w:tab w:val="left" w:pos="6236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b/>
          <w:sz w:val="28"/>
          <w:szCs w:val="28"/>
        </w:rPr>
      </w:r>
    </w:p>
    <w:p>
      <w:pPr>
        <w:shd w:val="nil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/>
    </w:p>
    <w:p>
      <w:pPr>
        <w:ind w:left="5811" w:right="0" w:firstLine="0"/>
        <w:jc w:val="both"/>
        <w:rPr>
          <w:color w:val="000000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</w:rPr>
      </w:r>
      <w:r>
        <w:rPr>
          <w:color w:val="000000"/>
          <w:lang w:val="uk-UA"/>
        </w:rPr>
        <w:t xml:space="preserve">Додаток до рішення 5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сесії Менської міської ради </w:t>
      </w:r>
      <w:r>
        <w:rPr>
          <w:lang w:val="uk-UA"/>
        </w:rPr>
        <w:t xml:space="preserve">8 </w:t>
      </w:r>
      <w:r>
        <w:rPr>
          <w:lang w:val="uk-UA"/>
        </w:rPr>
        <w:t xml:space="preserve">скликання від</w:t>
      </w:r>
      <w:r>
        <w:rPr>
          <w:lang w:val="uk-UA"/>
        </w:rPr>
        <w:t xml:space="preserve"> 23</w:t>
      </w:r>
      <w:r>
        <w:rPr>
          <w:lang w:val="uk-UA"/>
        </w:rPr>
        <w:t xml:space="preserve">.</w:t>
      </w:r>
      <w:r>
        <w:rPr>
          <w:lang w:val="uk-UA"/>
        </w:rPr>
        <w:t xml:space="preserve">04.2021</w:t>
      </w:r>
      <w:r>
        <w:rPr>
          <w:lang w:val="uk-UA"/>
        </w:rPr>
        <w:t xml:space="preserve">  №182 «</w:t>
      </w:r>
      <w:r>
        <w:rPr>
          <w:lang w:val="uk-UA"/>
        </w:rPr>
        <w:t xml:space="preserve">Про затвердження Програми профілактики правопорушень «Безпечна громада» на 2021-2022 роки в новій редакції</w:t>
      </w:r>
      <w:r>
        <w:rPr>
          <w:lang w:val="uk-UA"/>
        </w:rPr>
        <w:t xml:space="preserve">» </w:t>
      </w:r>
      <w:r>
        <w:rPr>
          <w:color w:val="000000"/>
          <w:lang w:val="uk-UA"/>
        </w:rPr>
      </w:r>
      <w:r/>
    </w:p>
    <w:p>
      <w:pPr>
        <w:tabs>
          <w:tab w:val="left" w:pos="7230" w:leader="none"/>
        </w:tabs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</w:r>
      <w:r/>
    </w:p>
    <w:p>
      <w:pPr>
        <w:pStyle w:val="641"/>
        <w:jc w:val="center"/>
        <w:rPr>
          <w:rFonts w:ascii="Times New Roman" w:hAnsi="Times New Roman"/>
          <w:b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 w:val="false"/>
          </w:tcPr>
          <w:p>
            <w:pPr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FF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Назва розділу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Стор.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 w:before="0" w:beforeAutospacing="0"/>
              <w:tabs>
                <w:tab w:val="left" w:pos="736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Паспорт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профілактики правопорушень «Безпечна громада» на 2021-2022 роки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99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pStyle w:val="417"/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  <w:t xml:space="preserve">Загальна частина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Мета та основні заходи Програми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4-5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Фінансове забезпечення Програми</w:t>
            </w:r>
            <w:r>
              <w:rPr>
                <w:rFonts w:ascii="Times New Roman" w:hAnsi="Times New Roman" w:cs="Times New Roman" w:eastAsia="Times New Roman"/>
                <w:bCs/>
                <w:sz w:val="2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2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Результативні показники Програми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/>
              </w:rPr>
              <w:t xml:space="preserve">Очікувані результати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6-7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 w:val="false"/>
          </w:tcPr>
          <w:p>
            <w:pPr>
              <w:pStyle w:val="417"/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Додатки: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7871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0"/>
            </w:pP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Заходи  комплексної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 профілактики правопорушень «Безпечна громада» на 2021- 2022 роки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2021-2022 роки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8-13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shd w:val="clear" w:color="auto" w:fill="FFFFFF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shd w:val="nil" w:color="auto" w:fill="FFFFFF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  <w:r/>
    </w:p>
    <w:p>
      <w:pPr>
        <w:jc w:val="center"/>
        <w:shd w:val="clear" w:color="auto" w:fill="FFFFFF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Програми профілактики правопорушень</w:t>
      </w:r>
      <w:r/>
    </w:p>
    <w:p>
      <w:pPr>
        <w:jc w:val="center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 «Безпечна громада» на 2021-2022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696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рограма профілактики правопорушень «Безпечна громада» на 2021-2022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pStyle w:val="6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</w:t>
            </w:r>
            <w:r>
              <w:rPr>
                <w:sz w:val="28"/>
                <w:szCs w:val="28"/>
              </w:rPr>
              <w:t xml:space="preserve">і</w:t>
            </w:r>
            <w:r>
              <w:rPr>
                <w:sz w:val="28"/>
                <w:szCs w:val="28"/>
              </w:rPr>
              <w:t xml:space="preserve"> Програми</w:t>
            </w:r>
            <w:r/>
          </w:p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639"/>
                <w:bCs/>
                <w:sz w:val="28"/>
                <w:szCs w:val="28"/>
                <w:shd w:val="clear" w:color="auto" w:fill="FFFFFF"/>
              </w:rPr>
              <w:t xml:space="preserve">21.05.1997 №280/97-ВР</w:t>
            </w:r>
            <w:r>
              <w:rPr>
                <w:rStyle w:val="639"/>
                <w:b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 xml:space="preserve">Закон України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«Про Національну поліцію» (зі змінами та доповненнями)</w:t>
            </w:r>
            <w:r>
              <w:rPr>
                <w:sz w:val="28"/>
                <w:szCs w:val="28"/>
              </w:rPr>
              <w:t xml:space="preserve"> від 02 липня 2015 року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r/>
            <w:r>
              <w:rPr>
                <w:sz w:val="28"/>
                <w:szCs w:val="28"/>
              </w:rPr>
              <w:t xml:space="preserve">Бюджетний кодекс України від 08.07.2010 р.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Спів розробники Програми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</w:t>
            </w:r>
            <w:r>
              <w:rPr>
                <w:sz w:val="28"/>
                <w:szCs w:val="28"/>
              </w:rPr>
              <w:t xml:space="preserve">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</w:t>
            </w:r>
            <w:r>
              <w:rPr>
                <w:sz w:val="28"/>
                <w:szCs w:val="28"/>
              </w:rPr>
              <w:t xml:space="preserve">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</w:t>
            </w:r>
            <w:r>
              <w:rPr>
                <w:sz w:val="28"/>
                <w:szCs w:val="28"/>
              </w:rPr>
              <w:t xml:space="preserve">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2021-2022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ind w:left="0" w:right="590" w:firstLine="0"/>
              <w:jc w:val="right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2021 р.</w:t>
            </w:r>
            <w:r/>
          </w:p>
          <w:p>
            <w:pPr>
              <w:ind w:left="0" w:right="590" w:firstLine="0"/>
              <w:jc w:val="right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2022 р.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5150 тис.грн.</w:t>
            </w:r>
            <w:r>
              <w:rPr>
                <w:sz w:val="28"/>
                <w:szCs w:val="28"/>
              </w:rPr>
              <w:t xml:space="preserve"> гривень з бюджету Менської міської  територіальної громади </w:t>
            </w:r>
            <w:r/>
          </w:p>
          <w:p>
            <w:pPr>
              <w:pStyle w:val="629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1500</w:t>
            </w:r>
            <w:r>
              <w:rPr>
                <w:szCs w:val="28"/>
              </w:rPr>
              <w:t xml:space="preserve"> тис.грн.</w:t>
            </w:r>
            <w:r/>
          </w:p>
          <w:p>
            <w:pPr>
              <w:pStyle w:val="629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3650</w:t>
            </w:r>
            <w:r>
              <w:rPr>
                <w:szCs w:val="28"/>
              </w:rPr>
              <w:t xml:space="preserve"> тис.грн.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Менського </w:t>
            </w:r>
            <w:r>
              <w:rPr>
                <w:sz w:val="28"/>
                <w:szCs w:val="28"/>
              </w:rPr>
              <w:t xml:space="preserve">міського голови відповідно до функціональних обов’язків</w:t>
            </w:r>
            <w:r/>
          </w:p>
        </w:tc>
      </w:tr>
    </w:tbl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jc w:val="center"/>
        <w:spacing w:before="12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</w:t>
      </w:r>
      <w:r>
        <w:rPr>
          <w:color w:val="000000"/>
          <w:sz w:val="28"/>
        </w:rPr>
        <w:t xml:space="preserve">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відеоспостереження та відеофіксації. 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  <w:spacing w:before="12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ІІ. Мета та основні заходи програми</w:t>
      </w:r>
      <w:r/>
    </w:p>
    <w:p>
      <w:pPr>
        <w:ind w:firstLine="709"/>
        <w:jc w:val="both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забезпечення громадського порядку на території населених пунктів Менської міської  територіальної громади,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зменшення кількості дорожньо-транспортних пригод.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36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з</w:t>
      </w:r>
      <w:r>
        <w:rPr>
          <w:sz w:val="28"/>
          <w:szCs w:val="28"/>
        </w:rPr>
        <w:t xml:space="preserve">абезпечення ефективної підтримки органом місцевого самоврядування діяльності поліції на території Менської міської територіальної громади, спрямоване на підвищення загального рівня правопорядк</w:t>
      </w:r>
      <w:r>
        <w:rPr>
          <w:sz w:val="28"/>
          <w:szCs w:val="28"/>
        </w:rPr>
        <w:t xml:space="preserve">у в населених пунктах Менської міської територіальної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/>
    </w:p>
    <w:p>
      <w:pPr>
        <w:ind w:firstLine="709"/>
        <w:jc w:val="both"/>
        <w:spacing w:before="96" w:beforeAutospacing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360"/>
        <w:jc w:val="both"/>
        <w:tabs>
          <w:tab w:val="left" w:pos="0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</w:t>
      </w:r>
      <w:r>
        <w:rPr>
          <w:sz w:val="28"/>
          <w:szCs w:val="28"/>
        </w:rPr>
        <w:t xml:space="preserve">протидія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профілактика </w:t>
      </w:r>
      <w:r>
        <w:rPr>
          <w:sz w:val="28"/>
          <w:szCs w:val="28"/>
        </w:rPr>
        <w:t xml:space="preserve">негативним соціальним явищам (</w:t>
      </w:r>
      <w:r>
        <w:rPr>
          <w:sz w:val="28"/>
          <w:szCs w:val="28"/>
        </w:rPr>
        <w:t xml:space="preserve">пияцтво, </w:t>
      </w:r>
      <w:r>
        <w:rPr>
          <w:sz w:val="28"/>
          <w:szCs w:val="28"/>
        </w:rPr>
        <w:t xml:space="preserve">алкоголізм, наркоманія); 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захист життя, здоров’я, честі і гідності особи, її майна від злочинних посягань;</w:t>
      </w:r>
      <w:r/>
    </w:p>
    <w:p>
      <w:pPr>
        <w:ind w:left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удосконалення роботи із соціальної адаптації осіб, звільнених з місць позбавлення волі;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 - забезпечення захисту законних інтересів неповнолітніх, зокрема, захисту від жорстокого поводження, експлуатації та насильства;</w:t>
      </w:r>
      <w:r/>
    </w:p>
    <w:p>
      <w:pPr>
        <w:ind w:left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/>
    </w:p>
    <w:p>
      <w:pPr>
        <w:jc w:val="both"/>
        <w:tabs>
          <w:tab w:val="left" w:pos="283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 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ind w:firstLine="709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bCs/>
          <w:sz w:val="28"/>
          <w:szCs w:val="28"/>
        </w:rPr>
        <w:t xml:space="preserve">Заходи </w:t>
      </w:r>
      <w:r>
        <w:rPr>
          <w:bCs/>
          <w:sz w:val="28"/>
          <w:szCs w:val="28"/>
        </w:rPr>
        <w:t xml:space="preserve">комплексної </w:t>
      </w:r>
      <w:r>
        <w:rPr>
          <w:sz w:val="28"/>
          <w:szCs w:val="28"/>
        </w:rPr>
        <w:t xml:space="preserve">програми профілактики правопорушень «Безпечна </w:t>
      </w:r>
      <w:r>
        <w:rPr>
          <w:sz w:val="28"/>
          <w:szCs w:val="28"/>
        </w:rPr>
        <w:t xml:space="preserve">громада»</w:t>
      </w:r>
      <w:r>
        <w:rPr>
          <w:sz w:val="28"/>
          <w:szCs w:val="28"/>
        </w:rPr>
        <w:t xml:space="preserve"> на 2021- 2022 роки</w:t>
      </w:r>
      <w:r>
        <w:rPr>
          <w:sz w:val="28"/>
          <w:szCs w:val="28"/>
        </w:rPr>
        <w:t xml:space="preserve"> викладені в додатку 1 до Програми.</w:t>
      </w:r>
      <w:r/>
    </w:p>
    <w:p>
      <w:pPr>
        <w:jc w:val="center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ІІІ. Фінансове забезпечення програми</w:t>
      </w:r>
      <w:r/>
    </w:p>
    <w:p>
      <w:pPr>
        <w:ind w:firstLine="708"/>
        <w:jc w:val="both"/>
        <w:spacing w:before="12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Фінансування Програми здійсню</w:t>
      </w:r>
      <w:r>
        <w:rPr>
          <w:color w:val="000000"/>
          <w:sz w:val="28"/>
        </w:rPr>
        <w:t xml:space="preserve">ється виходячи з фінансових можливостей з врахуванням вимог ст. 85 Бюджетного кодексу України за рахунок коштів місцевих бюджетів у межах бюджетних призначень та фінансових можливостей місцевих бюджетів, а також інших джерел, не заборонених законодавством.</w:t>
      </w:r>
      <w:r/>
    </w:p>
    <w:p>
      <w:pPr>
        <w:ind w:firstLine="709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709"/>
        <w:jc w:val="both"/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sz w:val="28"/>
          <w:szCs w:val="28"/>
        </w:rPr>
        <w:t xml:space="preserve">Ресурсне забезпечення до програми профілактики правопорушень «Безпечна громада» на 2021-2022 роки</w:t>
      </w:r>
      <w:r>
        <w:rPr>
          <w:bCs/>
          <w:sz w:val="28"/>
          <w:szCs w:val="28"/>
        </w:rPr>
        <w:t xml:space="preserve"> визначено в додатку 2 до Програми.</w:t>
      </w:r>
      <w:r>
        <w:rPr>
          <w:sz w:val="28"/>
        </w:rPr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t xml:space="preserve">Ф</w:t>
      </w:r>
      <w:r>
        <w:rPr>
          <w:sz w:val="28"/>
        </w:rPr>
        <w:t xml:space="preserve">інансування п.3.5, п.</w:t>
      </w:r>
      <w:r>
        <w:rPr>
          <w:sz w:val="28"/>
        </w:rPr>
        <w:t xml:space="preserve">3.</w:t>
      </w:r>
      <w:r>
        <w:rPr>
          <w:sz w:val="28"/>
        </w:rPr>
        <w:t xml:space="preserve">6 </w:t>
      </w:r>
      <w:r>
        <w:rPr>
          <w:sz w:val="28"/>
        </w:rPr>
        <w:t xml:space="preserve">розділу </w:t>
      </w:r>
      <w:r>
        <w:rPr>
          <w:sz w:val="28"/>
        </w:rPr>
        <w:t xml:space="preserve">може здійснюватися </w:t>
      </w:r>
      <w:r>
        <w:rPr>
          <w:sz w:val="28"/>
        </w:rPr>
        <w:t xml:space="preserve">лише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шляхом передачі субвенції з місцевого бюджету державному бюджету. </w:t>
      </w:r>
      <w:r/>
    </w:p>
    <w:p>
      <w:pPr>
        <w:jc w:val="center"/>
        <w:spacing w:before="120"/>
        <w:rPr>
          <w:b/>
          <w:color w:val="000000"/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</w:t>
      </w:r>
      <w:r>
        <w:rPr>
          <w:b/>
          <w:color w:val="000000"/>
          <w:sz w:val="28"/>
          <w:lang w:val="en-US"/>
        </w:rPr>
        <w:t xml:space="preserve">IV</w:t>
      </w:r>
      <w:r>
        <w:rPr>
          <w:b/>
          <w:color w:val="000000"/>
          <w:sz w:val="28"/>
          <w:lang w:val="ru-RU"/>
        </w:rPr>
        <w:t xml:space="preserve">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lang w:val="ru-RU"/>
        </w:rPr>
        <w:t xml:space="preserve">Очікувані результати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/>
    </w:p>
    <w:p>
      <w:pPr>
        <w:jc w:val="both"/>
        <w:tabs>
          <w:tab w:val="left" w:pos="0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/>
    </w:p>
    <w:p>
      <w:pPr>
        <w:shd w:val="nil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/>
    </w:p>
    <w:p>
      <w:pPr>
        <w:jc w:val="center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VI. Основні засади, передбачені програмою 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1. Протидія незаконному обігу наркотичних засобів, психотропних речовин та прекурсорів, поширенню наркоманії, пияцтва та алкоголізму</w:t>
      </w:r>
      <w:r>
        <w:rPr>
          <w:b/>
          <w:color w:val="000000"/>
          <w:sz w:val="28"/>
        </w:rPr>
        <w:t xml:space="preserve">.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1.1</w:t>
      </w:r>
      <w:r>
        <w:rPr>
          <w:color w:val="000000"/>
          <w:sz w:val="28"/>
        </w:rPr>
        <w:t xml:space="preserve">. Проведення оперативно-профілактичних заходів у навчальних та розважальних закладах, інших місцях масового відпочинку громадян, а також 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2. </w:t>
      </w:r>
      <w:r>
        <w:rPr>
          <w:b/>
          <w:color w:val="000000"/>
          <w:sz w:val="28"/>
        </w:rPr>
        <w:t xml:space="preserve">І</w:t>
      </w:r>
      <w:r>
        <w:rPr>
          <w:b/>
          <w:color w:val="000000"/>
          <w:sz w:val="28"/>
        </w:rPr>
        <w:t xml:space="preserve">нформаційно-пропагандистськ</w:t>
      </w:r>
      <w:r>
        <w:rPr>
          <w:b/>
          <w:color w:val="000000"/>
          <w:sz w:val="28"/>
        </w:rPr>
        <w:t xml:space="preserve">а</w:t>
      </w:r>
      <w:r>
        <w:rPr>
          <w:b/>
          <w:color w:val="000000"/>
          <w:sz w:val="28"/>
        </w:rPr>
        <w:t xml:space="preserve"> та культурно-виховн</w:t>
      </w:r>
      <w:r>
        <w:rPr>
          <w:b/>
          <w:color w:val="000000"/>
          <w:sz w:val="28"/>
        </w:rPr>
        <w:t xml:space="preserve">а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робота щодо </w:t>
      </w:r>
      <w:r>
        <w:rPr>
          <w:b/>
          <w:color w:val="000000"/>
          <w:sz w:val="28"/>
        </w:rPr>
        <w:t xml:space="preserve">профілактики правопорушень</w:t>
      </w:r>
      <w:r>
        <w:rPr>
          <w:b/>
          <w:color w:val="000000"/>
          <w:sz w:val="28"/>
        </w:rPr>
        <w:t xml:space="preserve">.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</w:t>
      </w:r>
      <w:r>
        <w:rPr>
          <w:b/>
          <w:color w:val="000000"/>
          <w:sz w:val="28"/>
        </w:rPr>
        <w:t xml:space="preserve">.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3.3. Облаштування «Поліцейських станцій» в старостинських округах для розміщення дільничних інспекторів.</w:t>
      </w:r>
      <w:r/>
    </w:p>
    <w:p>
      <w:pPr>
        <w:ind w:left="5102"/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Менська міська</w:t>
      </w:r>
      <w:r>
        <w:rPr>
          <w:sz w:val="28"/>
        </w:rPr>
        <w:t xml:space="preserve"> рада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color w:val="000000"/>
          <w:sz w:val="28"/>
        </w:rPr>
        <w:t xml:space="preserve">и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3.5. Підтримання мат</w:t>
      </w:r>
      <w:r>
        <w:rPr>
          <w:color w:val="000000"/>
          <w:sz w:val="28"/>
        </w:rPr>
        <w:t xml:space="preserve">еріально-технічного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Custody Records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rPr>
          <w:b/>
          <w:bCs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center"/>
        <w:rPr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ectPr>
          <w:footerReference w:type="default" r:id="rId8"/>
          <w:footerReference w:type="even" r:id="rId9"/>
          <w:footnotePr/>
          <w:type w:val="nextPage"/>
          <w:pgSz w:w="11906" w:h="16838" w:orient="portrait"/>
          <w:pgMar w:top="1134" w:right="567" w:bottom="1134" w:left="1701" w:header="709" w:footer="709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</w:rPr>
        <w:t xml:space="preserve">Додаток 1 </w:t>
      </w:r>
      <w:r>
        <w:rPr>
          <w:color w:val="000000"/>
        </w:rPr>
        <w:t xml:space="preserve">до </w:t>
      </w:r>
      <w:r>
        <w:t xml:space="preserve">програми профілактики правопорушень «Безпечна громада» на 2021-2022 роки»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bCs/>
          <w:sz w:val="28"/>
          <w:szCs w:val="28"/>
        </w:rPr>
        <w:t xml:space="preserve">Заходи  комплексної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2021- 2022 роки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</w:rPr>
      </w:r>
      <w:r/>
    </w:p>
    <w:tbl>
      <w:tblPr>
        <w:tblW w:w="15160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1"/>
        <w:gridCol w:w="992"/>
        <w:gridCol w:w="1809"/>
        <w:gridCol w:w="1701"/>
        <w:gridCol w:w="992"/>
        <w:gridCol w:w="992"/>
        <w:gridCol w:w="3293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28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№</w:t>
            </w:r>
            <w:r>
              <w:rPr>
                <w:sz w:val="14"/>
              </w:rPr>
            </w:r>
            <w:r>
              <w:rPr>
                <w:sz w:val="16"/>
              </w:rPr>
            </w:r>
          </w:p>
          <w:p>
            <w:pPr>
              <w:ind w:right="12"/>
              <w:jc w:val="center"/>
              <w:spacing w:lineRule="auto" w:line="228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з/п</w:t>
            </w:r>
            <w:r>
              <w:rPr>
                <w:sz w:val="14"/>
              </w:rPr>
            </w:r>
            <w:r>
              <w:rPr>
                <w:sz w:val="16"/>
              </w:rPr>
            </w:r>
          </w:p>
        </w:tc>
        <w:tc>
          <w:tcPr>
            <w:tcW w:w="486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28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Перелік заходів Програми</w:t>
            </w:r>
            <w:r>
              <w:rPr>
                <w:sz w:val="14"/>
              </w:rPr>
            </w:r>
            <w:r>
              <w:rPr>
                <w:sz w:val="16"/>
              </w:rPr>
            </w:r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28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Строк виконання заходів</w:t>
            </w:r>
            <w:r>
              <w:rPr>
                <w:sz w:val="14"/>
              </w:rPr>
            </w:r>
            <w:r>
              <w:rPr>
                <w:sz w:val="16"/>
              </w:rPr>
            </w:r>
          </w:p>
        </w:tc>
        <w:tc>
          <w:tcPr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28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Виконавці</w:t>
            </w:r>
            <w:r>
              <w:rPr>
                <w:sz w:val="14"/>
              </w:rPr>
            </w:r>
            <w:r>
              <w:rPr>
                <w:sz w:val="16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28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Джерела фінансування</w:t>
            </w:r>
            <w:r>
              <w:rPr>
                <w:sz w:val="14"/>
              </w:rPr>
            </w:r>
            <w:r>
              <w:rPr>
                <w:sz w:val="16"/>
              </w:rPr>
            </w:r>
          </w:p>
        </w:tc>
        <w:tc>
          <w:tcPr>
            <w:gridSpan w:val="2"/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28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Орієнтовані обсяги фінансування, тис. грн.</w:t>
            </w:r>
            <w:r>
              <w:rPr>
                <w:sz w:val="14"/>
              </w:rPr>
            </w:r>
            <w:r>
              <w:rPr>
                <w:sz w:val="16"/>
              </w:rPr>
            </w:r>
          </w:p>
        </w:tc>
        <w:tc>
          <w:tcPr>
            <w:tcW w:w="329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28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Очікуваний результат</w:t>
            </w:r>
            <w:r>
              <w:rPr>
                <w:sz w:val="14"/>
              </w:rPr>
            </w:r>
            <w:r>
              <w:rPr>
                <w:sz w:val="16"/>
              </w:rPr>
            </w:r>
          </w:p>
        </w:tc>
      </w:tr>
      <w:tr>
        <w:trPr>
          <w:trHeight w:val="331"/>
          <w:tblHeader/>
        </w:trPr>
        <w:tc>
          <w:tcPr>
            <w:tcW w:w="520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4861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2021 рік</w:t>
            </w:r>
            <w:r>
              <w:rPr>
                <w:sz w:val="14"/>
              </w:rPr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8"/>
              </w:rPr>
              <w:t xml:space="preserve">2022 рік</w:t>
            </w:r>
            <w:r>
              <w:rPr>
                <w:sz w:val="14"/>
              </w:rPr>
            </w:r>
            <w:r/>
          </w:p>
        </w:tc>
        <w:tc>
          <w:tcPr>
            <w:tcW w:w="3293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</w:tr>
      <w:tr>
        <w:trPr>
          <w:cantSplit/>
          <w:trHeight w:val="2558"/>
        </w:trPr>
        <w:tc>
          <w:tcPr>
            <w:tcW w:w="52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Придбання та встановлення систем цілодобового відеоспостереження та відеофіксації, а саме: системи 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</w:t>
            </w:r>
            <w:r/>
          </w:p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200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250</w:t>
            </w:r>
            <w:r/>
          </w:p>
        </w:tc>
        <w:tc>
          <w:tcPr>
            <w:tcW w:w="3293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Облаштування «Поліцейських станцій», в т.ч.;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</w:t>
            </w:r>
            <w:r>
              <w:rPr>
                <w:sz w:val="28"/>
                <w:szCs w:val="28"/>
              </w:rPr>
              <w:t xml:space="preserve">дільничних офіцерів поліції (3);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 поліції (20);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2021 - 2022</w:t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>
              <w:rPr>
                <w:bCs/>
                <w:sz w:val="28"/>
                <w:szCs w:val="28"/>
              </w:rPr>
              <w:t xml:space="preserve">, Відділення поліції №1 Корюківського </w:t>
            </w:r>
            <w:r/>
            <w:r>
              <w:rPr>
                <w:bCs/>
                <w:sz w:val="28"/>
                <w:szCs w:val="28"/>
              </w:rPr>
              <w:t xml:space="preserve">районного </w:t>
            </w:r>
            <w:r>
              <w:rPr>
                <w:bCs/>
                <w:sz w:val="28"/>
                <w:szCs w:val="28"/>
              </w:rPr>
              <w:t xml:space="preserve">відділу </w:t>
            </w:r>
            <w:r/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200</w:t>
            </w:r>
            <w:r/>
          </w:p>
        </w:tc>
        <w:tc>
          <w:tcPr>
            <w:tcW w:w="3293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Поточні / капітальні ремонти приміщень комунальної власності, для розміщення «Поліцейських </w:t>
            </w:r>
            <w:r>
              <w:rPr>
                <w:sz w:val="28"/>
                <w:szCs w:val="28"/>
              </w:rPr>
              <w:t xml:space="preserve">станцій», в першу чергу: </w:t>
            </w:r>
            <w:r/>
          </w:p>
          <w:p>
            <w:pPr>
              <w:pStyle w:val="633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633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3293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Custody Records 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 </w:t>
            </w:r>
            <w:r/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/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293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100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тримання якісних послуг охорони</w:t>
            </w:r>
            <w:r/>
          </w:p>
        </w:tc>
      </w:tr>
      <w:tr>
        <w:trPr>
          <w:trHeight w:val="988"/>
        </w:trPr>
        <w:tc>
          <w:tcPr>
            <w:tcW w:w="52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рофілактика адміністративних правопорушень у захисті життя, здоров'я, прав </w:t>
            </w:r>
            <w:r>
              <w:rPr>
                <w:sz w:val="28"/>
                <w:szCs w:val="28"/>
              </w:rPr>
              <w:t xml:space="preserve">і свобод громадян, їх власності</w:t>
            </w:r>
            <w:r>
              <w:rPr>
                <w:sz w:val="28"/>
                <w:szCs w:val="28"/>
              </w:rPr>
              <w:t xml:space="preserve"> від протиправних дій, збереження довкілля та об'єктів благоустрою </w:t>
            </w:r>
            <w:r>
              <w:rPr>
                <w:sz w:val="28"/>
                <w:szCs w:val="28"/>
              </w:rPr>
              <w:t xml:space="preserve">Менської міської </w:t>
            </w:r>
            <w:r>
              <w:rPr>
                <w:sz w:val="28"/>
                <w:szCs w:val="28"/>
              </w:rPr>
              <w:t xml:space="preserve">територіальної громади</w:t>
            </w:r>
            <w:r/>
          </w:p>
        </w:tc>
      </w:tr>
      <w:tr>
        <w:trPr>
          <w:trHeight w:val="397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500</w:t>
            </w:r>
            <w:r/>
          </w:p>
        </w:tc>
        <w:tc>
          <w:tcPr>
            <w:tcW w:w="3293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Покращення контролю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 виконанням Правил благоустрою в населених пунктах</w:t>
            </w:r>
            <w:r>
              <w:rPr>
                <w:sz w:val="28"/>
                <w:szCs w:val="28"/>
              </w:rPr>
              <w:t xml:space="preserve">, забезпечення виконання </w:t>
            </w:r>
            <w:r>
              <w:rPr>
                <w:sz w:val="28"/>
                <w:szCs w:val="28"/>
              </w:rPr>
              <w:t xml:space="preserve">законодавства у сфері екологічної безпеки, боротьба зі стихійною торгівлею, робота з профілактики правопорушень, патрулювання </w:t>
            </w:r>
            <w:r>
              <w:rPr>
                <w:sz w:val="28"/>
                <w:szCs w:val="28"/>
              </w:rPr>
              <w:t xml:space="preserve">на всій</w:t>
            </w:r>
            <w:r>
              <w:rPr>
                <w:sz w:val="28"/>
                <w:szCs w:val="28"/>
              </w:rPr>
              <w:t xml:space="preserve"> території громади для підтримання правопорядку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1870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</w:rPr>
              <w:t xml:space="preserve">Підтримання матеріально-технічного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</w:t>
            </w:r>
            <w:r>
              <w:rPr>
                <w:color w:val="000000"/>
                <w:sz w:val="28"/>
              </w:rPr>
              <w:t xml:space="preserve">, в т.ч. проведення поточних ремонтних робіт, придбання будівельних матеріалів, придбання та встановлення світлопрозорих конструкцій з двокамерними </w:t>
            </w:r>
            <w:r>
              <w:rPr>
                <w:color w:val="000000"/>
                <w:sz w:val="28"/>
              </w:rPr>
              <w:t xml:space="preserve">енергоефективними склопакетами, систем кондиціонування, металопластикових дверей.</w:t>
            </w:r>
            <w:r/>
            <w:r/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/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250</w:t>
            </w:r>
            <w:r/>
          </w:p>
        </w:tc>
        <w:tc>
          <w:tcPr>
            <w:tcW w:w="3293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рядку</w:t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jc w:val="both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</w:t>
            </w:r>
            <w:r>
              <w:rPr>
                <w:color w:val="000000"/>
                <w:sz w:val="28"/>
              </w:rPr>
              <w:t xml:space="preserve">ії для забезпечення безпеки громадського правопорядку та профілактики правопорушень та забезпечення публічної 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/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250</w:t>
            </w:r>
            <w:r/>
          </w:p>
        </w:tc>
        <w:tc>
          <w:tcPr>
            <w:tcW w:w="3293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рядку</w:t>
            </w:r>
            <w:r/>
          </w:p>
        </w:tc>
      </w:tr>
      <w:tr>
        <w:trPr>
          <w:trHeight w:val="367"/>
        </w:trPr>
        <w:tc>
          <w:tcPr>
            <w:gridSpan w:val="5"/>
            <w:tcW w:w="9883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1500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3650</w:t>
            </w:r>
            <w:r/>
          </w:p>
        </w:tc>
        <w:tc>
          <w:tcPr>
            <w:tcW w:w="3293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5150</w:t>
            </w:r>
            <w:r/>
          </w:p>
        </w:tc>
      </w:tr>
    </w:tbl>
    <w:p>
      <w:pPr>
        <w:widowControl w:val="off"/>
        <w:tabs>
          <w:tab w:val="left" w:pos="980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ind w:left="10065"/>
        <w:jc w:val="both"/>
        <w:rPr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br w:type="page"/>
      </w:r>
      <w:r>
        <w:rPr>
          <w:color w:val="000000"/>
        </w:rPr>
        <w:t xml:space="preserve">Додаток 2 п</w:t>
      </w:r>
      <w:r>
        <w:t xml:space="preserve">рограми профілактики правопорушень «Безпечна громада» на 2021-2022 роки» </w:t>
      </w:r>
      <w:r/>
    </w:p>
    <w:p>
      <w:pPr>
        <w:ind w:left="10490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2021-2022 роки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5150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5150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29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t xml:space="preserve">на 2021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1500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29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3650</w:t>
            </w:r>
            <w:r/>
          </w:p>
        </w:tc>
      </w:tr>
    </w:tbl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Symbol">
    <w:panose1 w:val="05010000000000000000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  <w:rPr>
        <w:rStyle w:val="642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2"/>
      </w:rPr>
    </w:r>
    <w:r>
      <w:rPr>
        <w:rStyle w:val="642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  <w:rPr>
        <w:rStyle w:val="642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/>
  </w:p>
  <w:p>
    <w:pPr>
      <w:pStyle w:val="565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pStyle w:val="629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 w:default="1">
    <w:name w:val="Normal"/>
    <w:qFormat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5">
    <w:name w:val="Heading 1"/>
    <w:basedOn w:val="414"/>
    <w:next w:val="414"/>
    <w:link w:val="548"/>
    <w:qFormat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416">
    <w:name w:val="Heading 2"/>
    <w:basedOn w:val="605"/>
    <w:next w:val="414"/>
    <w:link w:val="608"/>
    <w:qFormat/>
    <w:uiPriority w:val="99"/>
    <w:rPr>
      <w:b/>
      <w:lang w:val="ru-RU" w:eastAsia="en-US"/>
    </w:rPr>
    <w:pPr>
      <w:outlineLvl w:val="1"/>
    </w:pPr>
  </w:style>
  <w:style w:type="paragraph" w:styleId="417">
    <w:name w:val="Heading 3"/>
    <w:basedOn w:val="414"/>
    <w:next w:val="414"/>
    <w:link w:val="607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418">
    <w:name w:val="Heading 4"/>
    <w:basedOn w:val="414"/>
    <w:next w:val="414"/>
    <w:link w:val="636"/>
    <w:qFormat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419">
    <w:name w:val="Heading 5"/>
    <w:basedOn w:val="414"/>
    <w:next w:val="414"/>
    <w:link w:val="549"/>
    <w:qFormat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420">
    <w:name w:val="Heading 6"/>
    <w:basedOn w:val="414"/>
    <w:link w:val="550"/>
    <w:qFormat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421">
    <w:name w:val="Heading 7"/>
    <w:basedOn w:val="414"/>
    <w:link w:val="551"/>
    <w:qFormat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422">
    <w:name w:val="Heading 8"/>
    <w:basedOn w:val="414"/>
    <w:link w:val="552"/>
    <w:qFormat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423">
    <w:name w:val="Heading 9"/>
    <w:basedOn w:val="414"/>
    <w:link w:val="553"/>
    <w:qFormat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Heading 1 Char"/>
    <w:basedOn w:val="424"/>
    <w:link w:val="415"/>
    <w:uiPriority w:val="99"/>
    <w:rPr>
      <w:rFonts w:ascii="Arial" w:hAnsi="Arial" w:cs="Arial"/>
      <w:sz w:val="40"/>
      <w:szCs w:val="40"/>
    </w:rPr>
  </w:style>
  <w:style w:type="character" w:styleId="428" w:customStyle="1">
    <w:name w:val="Heading 2 Char"/>
    <w:basedOn w:val="424"/>
    <w:link w:val="416"/>
    <w:uiPriority w:val="99"/>
    <w:rPr>
      <w:rFonts w:ascii="Arial" w:hAnsi="Arial" w:cs="Times New Roman"/>
      <w:sz w:val="34"/>
    </w:rPr>
  </w:style>
  <w:style w:type="character" w:styleId="429" w:customStyle="1">
    <w:name w:val="Heading 3 Char"/>
    <w:basedOn w:val="424"/>
    <w:link w:val="417"/>
    <w:uiPriority w:val="99"/>
    <w:rPr>
      <w:rFonts w:ascii="Arial" w:hAnsi="Arial" w:cs="Times New Roman"/>
      <w:sz w:val="30"/>
    </w:rPr>
  </w:style>
  <w:style w:type="character" w:styleId="430" w:customStyle="1">
    <w:name w:val="Heading 4 Char"/>
    <w:basedOn w:val="424"/>
    <w:link w:val="418"/>
    <w:uiPriority w:val="99"/>
    <w:rPr>
      <w:rFonts w:ascii="Arial" w:hAnsi="Arial" w:cs="Times New Roman"/>
      <w:b/>
      <w:sz w:val="26"/>
    </w:rPr>
  </w:style>
  <w:style w:type="character" w:styleId="431" w:customStyle="1">
    <w:name w:val="Heading 5 Char"/>
    <w:basedOn w:val="424"/>
    <w:link w:val="419"/>
    <w:uiPriority w:val="99"/>
    <w:rPr>
      <w:rFonts w:ascii="Arial" w:hAnsi="Arial" w:cs="Arial"/>
      <w:b/>
      <w:bCs/>
      <w:sz w:val="24"/>
      <w:szCs w:val="24"/>
    </w:rPr>
  </w:style>
  <w:style w:type="character" w:styleId="432" w:customStyle="1">
    <w:name w:val="Heading 6 Char"/>
    <w:basedOn w:val="424"/>
    <w:link w:val="420"/>
    <w:uiPriority w:val="99"/>
    <w:rPr>
      <w:rFonts w:ascii="Arial" w:hAnsi="Arial" w:cs="Arial"/>
      <w:b/>
      <w:bCs/>
      <w:sz w:val="22"/>
      <w:szCs w:val="22"/>
    </w:rPr>
  </w:style>
  <w:style w:type="character" w:styleId="433" w:customStyle="1">
    <w:name w:val="Heading 7 Char"/>
    <w:basedOn w:val="424"/>
    <w:link w:val="42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34" w:customStyle="1">
    <w:name w:val="Heading 8 Char"/>
    <w:basedOn w:val="424"/>
    <w:link w:val="422"/>
    <w:uiPriority w:val="99"/>
    <w:rPr>
      <w:rFonts w:ascii="Arial" w:hAnsi="Arial" w:cs="Arial"/>
      <w:i/>
      <w:iCs/>
      <w:sz w:val="22"/>
      <w:szCs w:val="22"/>
    </w:rPr>
  </w:style>
  <w:style w:type="character" w:styleId="435" w:customStyle="1">
    <w:name w:val="Heading 9 Char"/>
    <w:basedOn w:val="424"/>
    <w:link w:val="423"/>
    <w:uiPriority w:val="99"/>
    <w:rPr>
      <w:rFonts w:ascii="Arial" w:hAnsi="Arial" w:cs="Arial"/>
      <w:i/>
      <w:iCs/>
      <w:sz w:val="21"/>
      <w:szCs w:val="21"/>
    </w:rPr>
  </w:style>
  <w:style w:type="table" w:styleId="43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42" w:customStyle="1">
    <w:name w:val="Title Char"/>
    <w:basedOn w:val="424"/>
    <w:uiPriority w:val="99"/>
    <w:rPr>
      <w:rFonts w:cs="Times New Roman"/>
      <w:sz w:val="48"/>
      <w:szCs w:val="48"/>
    </w:rPr>
  </w:style>
  <w:style w:type="character" w:styleId="543" w:customStyle="1">
    <w:name w:val="Subtitle Char"/>
    <w:basedOn w:val="424"/>
    <w:uiPriority w:val="99"/>
    <w:rPr>
      <w:rFonts w:cs="Times New Roman"/>
      <w:sz w:val="24"/>
      <w:szCs w:val="24"/>
    </w:rPr>
  </w:style>
  <w:style w:type="character" w:styleId="544" w:customStyle="1">
    <w:name w:val="Quote Char"/>
    <w:uiPriority w:val="99"/>
    <w:rPr>
      <w:i/>
    </w:rPr>
  </w:style>
  <w:style w:type="character" w:styleId="545" w:customStyle="1">
    <w:name w:val="Intense Quote Char"/>
    <w:uiPriority w:val="99"/>
    <w:rPr>
      <w:i/>
    </w:rPr>
  </w:style>
  <w:style w:type="character" w:styleId="546" w:customStyle="1">
    <w:name w:val="Header Char"/>
    <w:basedOn w:val="424"/>
    <w:uiPriority w:val="99"/>
    <w:rPr>
      <w:rFonts w:cs="Times New Roman"/>
    </w:rPr>
  </w:style>
  <w:style w:type="character" w:styleId="547" w:customStyle="1">
    <w:name w:val="Footnote Text Char"/>
    <w:uiPriority w:val="99"/>
    <w:rPr>
      <w:sz w:val="18"/>
    </w:rPr>
  </w:style>
  <w:style w:type="character" w:styleId="548" w:customStyle="1">
    <w:name w:val="Заголовок 1 Знак"/>
    <w:link w:val="415"/>
    <w:uiPriority w:val="99"/>
    <w:rPr>
      <w:rFonts w:ascii="Arial" w:hAnsi="Arial"/>
      <w:sz w:val="40"/>
    </w:rPr>
  </w:style>
  <w:style w:type="character" w:styleId="549" w:customStyle="1">
    <w:name w:val="Заголовок 5 Знак"/>
    <w:link w:val="419"/>
    <w:uiPriority w:val="99"/>
    <w:rPr>
      <w:rFonts w:ascii="Arial" w:hAnsi="Arial"/>
      <w:b/>
      <w:sz w:val="24"/>
    </w:rPr>
  </w:style>
  <w:style w:type="character" w:styleId="550" w:customStyle="1">
    <w:name w:val="Заголовок 6 Знак"/>
    <w:link w:val="420"/>
    <w:uiPriority w:val="99"/>
    <w:rPr>
      <w:rFonts w:ascii="Arial" w:hAnsi="Arial"/>
      <w:b/>
      <w:sz w:val="22"/>
      <w:shd w:val="clear" w:color="auto" w:fill="auto"/>
    </w:rPr>
  </w:style>
  <w:style w:type="character" w:styleId="551" w:customStyle="1">
    <w:name w:val="Заголовок 7 Знак"/>
    <w:link w:val="421"/>
    <w:uiPriority w:val="99"/>
    <w:rPr>
      <w:rFonts w:ascii="Arial" w:hAnsi="Arial"/>
      <w:b/>
      <w:i/>
      <w:sz w:val="22"/>
      <w:shd w:val="clear" w:color="auto" w:fill="auto"/>
    </w:rPr>
  </w:style>
  <w:style w:type="character" w:styleId="552" w:customStyle="1">
    <w:name w:val="Заголовок 8 Знак"/>
    <w:link w:val="422"/>
    <w:uiPriority w:val="99"/>
    <w:rPr>
      <w:rFonts w:ascii="Arial" w:hAnsi="Arial"/>
      <w:i/>
      <w:sz w:val="22"/>
      <w:shd w:val="clear" w:color="auto" w:fill="auto"/>
    </w:rPr>
  </w:style>
  <w:style w:type="character" w:styleId="553" w:customStyle="1">
    <w:name w:val="Заголовок 9 Знак"/>
    <w:link w:val="423"/>
    <w:uiPriority w:val="99"/>
    <w:rPr>
      <w:rFonts w:ascii="Arial" w:hAnsi="Arial"/>
      <w:i/>
      <w:sz w:val="21"/>
      <w:shd w:val="clear" w:color="auto" w:fill="auto"/>
    </w:rPr>
  </w:style>
  <w:style w:type="paragraph" w:styleId="554">
    <w:name w:val="No Spacing"/>
    <w:qFormat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5">
    <w:name w:val="Title"/>
    <w:basedOn w:val="414"/>
    <w:link w:val="556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556" w:customStyle="1">
    <w:name w:val="Название Знак"/>
    <w:basedOn w:val="424"/>
    <w:link w:val="555"/>
    <w:uiPriority w:val="99"/>
    <w:rPr>
      <w:rFonts w:cs="Times New Roman"/>
      <w:sz w:val="48"/>
      <w:shd w:val="clear" w:color="auto" w:fill="auto"/>
    </w:rPr>
  </w:style>
  <w:style w:type="paragraph" w:styleId="557">
    <w:name w:val="Subtitle"/>
    <w:basedOn w:val="414"/>
    <w:link w:val="558"/>
    <w:qFormat/>
    <w:uiPriority w:val="99"/>
    <w:rPr>
      <w:sz w:val="24"/>
      <w:szCs w:val="24"/>
      <w:lang w:val="ru-RU" w:eastAsia="ru-RU"/>
    </w:rPr>
    <w:pPr>
      <w:shd w:val="clear" w:color="auto" w:fill="FFFFFF"/>
    </w:pPr>
  </w:style>
  <w:style w:type="character" w:styleId="558" w:customStyle="1">
    <w:name w:val="Подзаголовок Знак"/>
    <w:basedOn w:val="424"/>
    <w:link w:val="557"/>
    <w:uiPriority w:val="99"/>
    <w:rPr>
      <w:rFonts w:cs="Times New Roman"/>
      <w:sz w:val="24"/>
    </w:rPr>
  </w:style>
  <w:style w:type="paragraph" w:styleId="559">
    <w:name w:val="Quote"/>
    <w:basedOn w:val="414"/>
    <w:link w:val="560"/>
    <w:qFormat/>
    <w:uiPriority w:val="99"/>
    <w:rPr>
      <w:i/>
    </w:rPr>
    <w:pPr>
      <w:ind w:left="720" w:right="720"/>
    </w:pPr>
  </w:style>
  <w:style w:type="character" w:styleId="560" w:customStyle="1">
    <w:name w:val="Цитата 2 Знак"/>
    <w:basedOn w:val="424"/>
    <w:link w:val="559"/>
    <w:uiPriority w:val="99"/>
    <w:rPr>
      <w:rFonts w:cs="Times New Roman"/>
      <w:i/>
      <w:sz w:val="22"/>
      <w:shd w:val="clear" w:color="auto" w:fill="auto"/>
      <w:lang w:val="uk-UA" w:eastAsia="en-US"/>
    </w:rPr>
  </w:style>
  <w:style w:type="paragraph" w:styleId="561">
    <w:name w:val="Intense Quote"/>
    <w:basedOn w:val="414"/>
    <w:link w:val="562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62" w:customStyle="1">
    <w:name w:val="Выделенная цитата Знак"/>
    <w:basedOn w:val="424"/>
    <w:link w:val="561"/>
    <w:uiPriority w:val="99"/>
    <w:rPr>
      <w:rFonts w:cs="Times New Roman"/>
      <w:i/>
      <w:sz w:val="22"/>
      <w:shd w:val="clear" w:color="auto" w:fill="F2F2F2"/>
      <w:lang w:val="uk-UA" w:eastAsia="en-US"/>
    </w:rPr>
  </w:style>
  <w:style w:type="paragraph" w:styleId="563">
    <w:name w:val="Header"/>
    <w:basedOn w:val="414"/>
    <w:link w:val="564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564" w:customStyle="1">
    <w:name w:val="Верхний колонтитул Знак"/>
    <w:basedOn w:val="424"/>
    <w:link w:val="563"/>
    <w:uiPriority w:val="99"/>
    <w:rPr>
      <w:rFonts w:cs="Times New Roman"/>
    </w:rPr>
  </w:style>
  <w:style w:type="paragraph" w:styleId="565">
    <w:name w:val="Footer"/>
    <w:basedOn w:val="414"/>
    <w:link w:val="634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566" w:customStyle="1">
    <w:name w:val="Footer Char"/>
    <w:basedOn w:val="424"/>
    <w:link w:val="565"/>
    <w:uiPriority w:val="99"/>
    <w:rPr>
      <w:rFonts w:cs="Times New Roman"/>
    </w:rPr>
  </w:style>
  <w:style w:type="table" w:styleId="567">
    <w:name w:val="Table Grid"/>
    <w:basedOn w:val="425"/>
    <w:uiPriority w:val="99"/>
    <w:rPr>
      <w:sz w:val="20"/>
      <w:szCs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9" w:customStyle="1">
    <w:name w:val="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0" w:customStyle="1">
    <w:name w:val="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1" w:customStyle="1">
    <w:name w:val="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2" w:customStyle="1">
    <w:name w:val="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3" w:customStyle="1">
    <w:name w:val="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4" w:customStyle="1">
    <w:name w:val="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5" w:customStyle="1">
    <w:name w:val="Bordered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6" w:customStyle="1">
    <w:name w:val="Bordered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7" w:customStyle="1">
    <w:name w:val="Bordered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8" w:customStyle="1">
    <w:name w:val="Bordered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9" w:customStyle="1">
    <w:name w:val="Bordered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0" w:customStyle="1">
    <w:name w:val="Bordered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1" w:customStyle="1">
    <w:name w:val="Bordered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2" w:customStyle="1">
    <w:name w:val="Bordered &amp; 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3" w:customStyle="1">
    <w:name w:val="Bordered &amp; 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4" w:customStyle="1">
    <w:name w:val="Bordered &amp; 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5" w:customStyle="1">
    <w:name w:val="Bordered &amp; 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6" w:customStyle="1">
    <w:name w:val="Bordered &amp; 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7" w:customStyle="1">
    <w:name w:val="Bordered &amp; 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8" w:customStyle="1">
    <w:name w:val="Bordered &amp; 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589">
    <w:name w:val="Hyperlink"/>
    <w:basedOn w:val="424"/>
    <w:uiPriority w:val="99"/>
    <w:rPr>
      <w:rFonts w:cs="Times New Roman"/>
      <w:color w:val="0000FF"/>
      <w:u w:val="single"/>
    </w:rPr>
  </w:style>
  <w:style w:type="paragraph" w:styleId="590">
    <w:name w:val="footnote text"/>
    <w:basedOn w:val="414"/>
    <w:link w:val="591"/>
    <w:uiPriority w:val="99"/>
    <w:semiHidden/>
    <w:rPr>
      <w:sz w:val="18"/>
      <w:lang w:val="ru-RU" w:eastAsia="ru-RU"/>
    </w:rPr>
    <w:pPr>
      <w:spacing w:after="40"/>
    </w:pPr>
  </w:style>
  <w:style w:type="character" w:styleId="591" w:customStyle="1">
    <w:name w:val="Текст сноски Знак"/>
    <w:basedOn w:val="424"/>
    <w:link w:val="590"/>
    <w:uiPriority w:val="99"/>
    <w:semiHidden/>
    <w:rPr>
      <w:rFonts w:cs="Times New Roman"/>
      <w:sz w:val="22"/>
      <w:shd w:val="clear" w:color="auto" w:fill="auto"/>
    </w:rPr>
  </w:style>
  <w:style w:type="character" w:styleId="592">
    <w:name w:val="footnote reference"/>
    <w:basedOn w:val="424"/>
    <w:uiPriority w:val="99"/>
    <w:rPr>
      <w:rFonts w:cs="Times New Roman"/>
      <w:vertAlign w:val="superscript"/>
    </w:rPr>
  </w:style>
  <w:style w:type="paragraph" w:styleId="593">
    <w:name w:val="toc 1"/>
    <w:basedOn w:val="414"/>
    <w:uiPriority w:val="99"/>
    <w:pPr>
      <w:spacing w:after="57"/>
    </w:pPr>
  </w:style>
  <w:style w:type="paragraph" w:styleId="594">
    <w:name w:val="toc 2"/>
    <w:basedOn w:val="414"/>
    <w:uiPriority w:val="99"/>
    <w:pPr>
      <w:ind w:left="283"/>
      <w:spacing w:after="57"/>
    </w:pPr>
  </w:style>
  <w:style w:type="paragraph" w:styleId="595">
    <w:name w:val="toc 3"/>
    <w:basedOn w:val="414"/>
    <w:uiPriority w:val="99"/>
    <w:pPr>
      <w:ind w:left="567"/>
      <w:spacing w:after="57"/>
    </w:pPr>
  </w:style>
  <w:style w:type="paragraph" w:styleId="596">
    <w:name w:val="toc 4"/>
    <w:basedOn w:val="414"/>
    <w:uiPriority w:val="99"/>
    <w:pPr>
      <w:ind w:left="850"/>
      <w:spacing w:after="57"/>
    </w:pPr>
  </w:style>
  <w:style w:type="paragraph" w:styleId="597">
    <w:name w:val="toc 5"/>
    <w:basedOn w:val="414"/>
    <w:uiPriority w:val="99"/>
    <w:pPr>
      <w:ind w:left="1134"/>
      <w:spacing w:after="57"/>
    </w:pPr>
  </w:style>
  <w:style w:type="paragraph" w:styleId="598">
    <w:name w:val="toc 6"/>
    <w:basedOn w:val="414"/>
    <w:uiPriority w:val="99"/>
    <w:pPr>
      <w:ind w:left="1417"/>
      <w:spacing w:after="57"/>
    </w:pPr>
  </w:style>
  <w:style w:type="paragraph" w:styleId="599">
    <w:name w:val="toc 7"/>
    <w:basedOn w:val="414"/>
    <w:uiPriority w:val="99"/>
    <w:pPr>
      <w:ind w:left="1701"/>
      <w:spacing w:after="57"/>
    </w:pPr>
  </w:style>
  <w:style w:type="paragraph" w:styleId="600">
    <w:name w:val="toc 8"/>
    <w:basedOn w:val="414"/>
    <w:uiPriority w:val="99"/>
    <w:pPr>
      <w:ind w:left="1984"/>
      <w:spacing w:after="57"/>
    </w:pPr>
  </w:style>
  <w:style w:type="paragraph" w:styleId="601">
    <w:name w:val="toc 9"/>
    <w:basedOn w:val="414"/>
    <w:uiPriority w:val="99"/>
    <w:pPr>
      <w:ind w:left="2268"/>
      <w:spacing w:after="57"/>
    </w:pPr>
  </w:style>
  <w:style w:type="paragraph" w:styleId="602">
    <w:name w:val="TOC Heading"/>
    <w:basedOn w:val="415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603" w:customStyle="1">
    <w:name w:val="Шрифт абзацу за промовчанням1"/>
    <w:uiPriority w:val="99"/>
    <w:semiHidden/>
  </w:style>
  <w:style w:type="paragraph" w:styleId="604">
    <w:name w:val="caption"/>
    <w:basedOn w:val="414"/>
    <w:next w:val="414"/>
    <w:qFormat/>
    <w:uiPriority w:val="99"/>
    <w:rPr>
      <w:b/>
      <w:sz w:val="28"/>
      <w:szCs w:val="20"/>
    </w:rPr>
    <w:pPr>
      <w:jc w:val="center"/>
    </w:pPr>
  </w:style>
  <w:style w:type="paragraph" w:styleId="605">
    <w:name w:val="Body Text Indent 3"/>
    <w:basedOn w:val="414"/>
    <w:link w:val="609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606" w:customStyle="1">
    <w:name w:val="Body Text Indent 3 Char"/>
    <w:basedOn w:val="424"/>
    <w:link w:val="605"/>
    <w:uiPriority w:val="99"/>
    <w:rPr>
      <w:rFonts w:cs="Times New Roman"/>
      <w:sz w:val="28"/>
      <w:lang w:val="uk-UA" w:eastAsia="en-US"/>
    </w:rPr>
  </w:style>
  <w:style w:type="character" w:styleId="607" w:customStyle="1">
    <w:name w:val="Заголовок 3 Знак"/>
    <w:link w:val="417"/>
    <w:uiPriority w:val="99"/>
    <w:semiHidden/>
    <w:rPr>
      <w:rFonts w:ascii="Cambria" w:hAnsi="Cambria"/>
      <w:b/>
      <w:sz w:val="26"/>
      <w:lang w:val="uk-UA"/>
    </w:rPr>
  </w:style>
  <w:style w:type="character" w:styleId="608" w:customStyle="1">
    <w:name w:val="Заголовок 2 Знак"/>
    <w:link w:val="416"/>
    <w:uiPriority w:val="99"/>
    <w:rPr>
      <w:b/>
      <w:sz w:val="28"/>
      <w:lang w:eastAsia="en-US"/>
    </w:rPr>
  </w:style>
  <w:style w:type="character" w:styleId="609" w:customStyle="1">
    <w:name w:val="Основной текст с отступом 3 Знак"/>
    <w:link w:val="605"/>
    <w:uiPriority w:val="99"/>
    <w:rPr>
      <w:sz w:val="28"/>
      <w:lang w:val="uk-UA"/>
    </w:rPr>
  </w:style>
  <w:style w:type="paragraph" w:styleId="610" w:customStyle="1">
    <w:name w:val="Знак"/>
    <w:basedOn w:val="414"/>
    <w:uiPriority w:val="99"/>
    <w:rPr>
      <w:rFonts w:ascii="Verdana" w:hAnsi="Verdana"/>
      <w:szCs w:val="20"/>
      <w:lang w:val="en-US"/>
    </w:rPr>
  </w:style>
  <w:style w:type="paragraph" w:styleId="611">
    <w:name w:val="Balloon Text"/>
    <w:basedOn w:val="414"/>
    <w:link w:val="612"/>
    <w:uiPriority w:val="99"/>
    <w:semiHidden/>
    <w:rPr>
      <w:rFonts w:ascii="Tahoma" w:hAnsi="Tahoma"/>
      <w:sz w:val="16"/>
      <w:szCs w:val="16"/>
    </w:rPr>
  </w:style>
  <w:style w:type="character" w:styleId="612" w:customStyle="1">
    <w:name w:val="Текст выноски Знак"/>
    <w:basedOn w:val="424"/>
    <w:link w:val="611"/>
    <w:uiPriority w:val="99"/>
    <w:semiHidden/>
    <w:rPr>
      <w:rFonts w:cs="Times New Roman"/>
      <w:sz w:val="2"/>
      <w:lang w:val="uk-UA" w:eastAsia="en-US"/>
    </w:rPr>
  </w:style>
  <w:style w:type="paragraph" w:styleId="613">
    <w:name w:val="Body Text Indent"/>
    <w:basedOn w:val="414"/>
    <w:link w:val="614"/>
    <w:uiPriority w:val="99"/>
    <w:pPr>
      <w:ind w:left="283"/>
      <w:spacing w:after="120"/>
    </w:pPr>
  </w:style>
  <w:style w:type="character" w:styleId="614" w:customStyle="1">
    <w:name w:val="Основной текст с отступом Знак"/>
    <w:basedOn w:val="424"/>
    <w:link w:val="613"/>
    <w:uiPriority w:val="99"/>
    <w:semiHidden/>
    <w:rPr>
      <w:rFonts w:cs="Times New Roman"/>
      <w:sz w:val="20"/>
      <w:lang w:val="uk-UA" w:eastAsia="en-US"/>
    </w:rPr>
  </w:style>
  <w:style w:type="paragraph" w:styleId="615">
    <w:name w:val="Normal (Web)"/>
    <w:basedOn w:val="414"/>
    <w:uiPriority w:val="99"/>
    <w:rPr>
      <w:lang w:val="ru-RU"/>
    </w:rPr>
    <w:pPr>
      <w:spacing w:after="100" w:afterAutospacing="1" w:before="100" w:beforeAutospacing="1"/>
    </w:pPr>
  </w:style>
  <w:style w:type="character" w:styleId="616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617" w:customStyle="1">
    <w:name w:val="Знак Знак Знак Знак Знак"/>
    <w:basedOn w:val="414"/>
    <w:uiPriority w:val="99"/>
    <w:rPr>
      <w:rFonts w:ascii="Verdana" w:hAnsi="Verdana"/>
      <w:szCs w:val="20"/>
      <w:lang w:val="en-US"/>
    </w:rPr>
    <w:pPr>
      <w:ind w:firstLine="567"/>
      <w:jc w:val="both"/>
      <w:spacing w:after="60" w:before="60"/>
    </w:pPr>
  </w:style>
  <w:style w:type="paragraph" w:styleId="618">
    <w:name w:val="Body Text"/>
    <w:basedOn w:val="414"/>
    <w:link w:val="619"/>
    <w:uiPriority w:val="99"/>
    <w:pPr>
      <w:spacing w:after="120"/>
    </w:pPr>
  </w:style>
  <w:style w:type="character" w:styleId="619" w:customStyle="1">
    <w:name w:val="Основной текст Знак"/>
    <w:basedOn w:val="424"/>
    <w:link w:val="618"/>
    <w:uiPriority w:val="99"/>
    <w:semiHidden/>
    <w:rPr>
      <w:rFonts w:cs="Times New Roman"/>
      <w:sz w:val="20"/>
      <w:lang w:val="uk-UA" w:eastAsia="en-US"/>
    </w:rPr>
  </w:style>
  <w:style w:type="paragraph" w:styleId="620">
    <w:name w:val="Body Text 2"/>
    <w:basedOn w:val="414"/>
    <w:link w:val="621"/>
    <w:uiPriority w:val="99"/>
    <w:rPr>
      <w:lang w:val="ru-RU"/>
    </w:rPr>
    <w:pPr>
      <w:spacing w:lineRule="auto" w:line="480" w:after="120"/>
    </w:pPr>
  </w:style>
  <w:style w:type="character" w:styleId="621" w:customStyle="1">
    <w:name w:val="Основной текст 2 Знак"/>
    <w:basedOn w:val="424"/>
    <w:link w:val="620"/>
    <w:uiPriority w:val="99"/>
    <w:semiHidden/>
    <w:rPr>
      <w:rFonts w:cs="Times New Roman"/>
      <w:sz w:val="20"/>
      <w:lang w:val="uk-UA" w:eastAsia="en-US"/>
    </w:rPr>
  </w:style>
  <w:style w:type="paragraph" w:styleId="622">
    <w:name w:val="Body Text Indent 2"/>
    <w:basedOn w:val="414"/>
    <w:link w:val="623"/>
    <w:uiPriority w:val="99"/>
    <w:rPr>
      <w:lang w:val="ru-RU"/>
    </w:rPr>
    <w:pPr>
      <w:ind w:left="283"/>
      <w:spacing w:lineRule="auto" w:line="480" w:after="120"/>
    </w:pPr>
  </w:style>
  <w:style w:type="character" w:styleId="623" w:customStyle="1">
    <w:name w:val="Основной текст с отступом 2 Знак"/>
    <w:basedOn w:val="424"/>
    <w:link w:val="622"/>
    <w:uiPriority w:val="99"/>
    <w:semiHidden/>
    <w:rPr>
      <w:rFonts w:cs="Times New Roman"/>
      <w:sz w:val="20"/>
      <w:lang w:val="uk-UA" w:eastAsia="en-US"/>
    </w:rPr>
  </w:style>
  <w:style w:type="paragraph" w:styleId="624">
    <w:name w:val="Body Text 3"/>
    <w:basedOn w:val="414"/>
    <w:link w:val="625"/>
    <w:uiPriority w:val="99"/>
    <w:rPr>
      <w:sz w:val="16"/>
      <w:szCs w:val="16"/>
      <w:lang w:val="ru-RU"/>
    </w:rPr>
    <w:pPr>
      <w:spacing w:after="120"/>
    </w:pPr>
  </w:style>
  <w:style w:type="character" w:styleId="625" w:customStyle="1">
    <w:name w:val="Основной текст 3 Знак"/>
    <w:basedOn w:val="424"/>
    <w:link w:val="624"/>
    <w:uiPriority w:val="99"/>
    <w:semiHidden/>
    <w:rPr>
      <w:rFonts w:cs="Times New Roman"/>
      <w:sz w:val="16"/>
      <w:szCs w:val="16"/>
      <w:lang w:val="uk-UA" w:eastAsia="en-US"/>
    </w:rPr>
  </w:style>
  <w:style w:type="paragraph" w:styleId="626">
    <w:name w:val="HTML Preformatted"/>
    <w:basedOn w:val="414"/>
    <w:link w:val="627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7" w:customStyle="1">
    <w:name w:val="Стандартный HTML Знак"/>
    <w:basedOn w:val="424"/>
    <w:link w:val="626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628" w:customStyle="1">
    <w:name w:val="ДинТекстТабл"/>
    <w:basedOn w:val="414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629" w:customStyle="1">
    <w:name w:val="ДинТекстОбыч"/>
    <w:basedOn w:val="414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630" w:customStyle="1">
    <w:name w:val="Підпис1"/>
    <w:basedOn w:val="414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631" w:customStyle="1">
    <w:name w:val="Знак Знак3"/>
    <w:uiPriority w:val="99"/>
    <w:rPr>
      <w:b/>
      <w:sz w:val="24"/>
      <w:lang w:val="uk-UA"/>
    </w:rPr>
  </w:style>
  <w:style w:type="paragraph" w:styleId="632" w:customStyle="1">
    <w:name w:val="Абзац списка1"/>
    <w:basedOn w:val="414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633">
    <w:name w:val="List Paragraph"/>
    <w:basedOn w:val="414"/>
    <w:qFormat/>
    <w:uiPriority w:val="99"/>
    <w:pPr>
      <w:contextualSpacing w:val="true"/>
      <w:ind w:left="720"/>
    </w:pPr>
  </w:style>
  <w:style w:type="character" w:styleId="634" w:customStyle="1">
    <w:name w:val="Нижний колонтитул Знак"/>
    <w:link w:val="565"/>
    <w:uiPriority w:val="99"/>
    <w:rPr>
      <w:sz w:val="24"/>
      <w:lang w:val="uk-UA"/>
    </w:rPr>
  </w:style>
  <w:style w:type="paragraph" w:styleId="635" w:customStyle="1">
    <w:name w:val="Стиль"/>
    <w:uiPriority w:val="99"/>
    <w:rPr>
      <w:sz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36" w:customStyle="1">
    <w:name w:val="Заголовок 4 Знак"/>
    <w:link w:val="418"/>
    <w:uiPriority w:val="99"/>
    <w:rPr>
      <w:b/>
      <w:sz w:val="28"/>
      <w:lang w:val="ru-RU" w:eastAsia="ru-RU"/>
    </w:rPr>
  </w:style>
  <w:style w:type="paragraph" w:styleId="637" w:customStyle="1">
    <w:name w:val="docdata"/>
    <w:basedOn w:val="414"/>
    <w:uiPriority w:val="99"/>
    <w:rPr>
      <w:sz w:val="24"/>
      <w:szCs w:val="24"/>
      <w:lang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38" w:customStyle="1">
    <w:name w:val="Standard"/>
    <w:uiPriority w:val="99"/>
    <w:rPr>
      <w:sz w:val="24"/>
      <w:szCs w:val="24"/>
      <w:lang w:val="uk-UA" w:eastAsia="zh-CN"/>
    </w:rPr>
  </w:style>
  <w:style w:type="character" w:styleId="639" w:customStyle="1">
    <w:name w:val="rvts44"/>
    <w:basedOn w:val="424"/>
    <w:uiPriority w:val="99"/>
    <w:rPr>
      <w:rFonts w:cs="Times New Roman"/>
    </w:rPr>
  </w:style>
  <w:style w:type="paragraph" w:styleId="640" w:customStyle="1">
    <w:name w:val="Default"/>
    <w:uiPriority w:val="99"/>
    <w:rPr>
      <w:color w:val="000000"/>
      <w:sz w:val="24"/>
      <w:szCs w:val="24"/>
    </w:rPr>
  </w:style>
  <w:style w:type="paragraph" w:styleId="641" w:customStyle="1">
    <w:name w:val="Без интервала1"/>
    <w:basedOn w:val="414"/>
    <w:uiPriority w:val="99"/>
    <w:rPr>
      <w:rFonts w:ascii="Calibri" w:hAnsi="Calibri"/>
      <w:sz w:val="24"/>
      <w:szCs w:val="32"/>
      <w:lang w:val="en-US"/>
    </w:rPr>
  </w:style>
  <w:style w:type="character" w:styleId="642">
    <w:name w:val="page number"/>
    <w:basedOn w:val="424"/>
    <w:uiPriority w:val="99"/>
    <w:rPr>
      <w:rFonts w:cs="Times New Roman"/>
    </w:rPr>
  </w:style>
  <w:style w:type="paragraph" w:styleId="643" w:customStyle="1">
    <w:name w:val="Без интервала"/>
    <w:basedOn w:val="416"/>
    <w:uiPriority w:val="99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32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ПРИМАКОВ Геннадій Анатолійович</cp:lastModifiedBy>
  <cp:revision>11</cp:revision>
  <dcterms:created xsi:type="dcterms:W3CDTF">2021-04-20T07:22:00Z</dcterms:created>
  <dcterms:modified xsi:type="dcterms:W3CDTF">2021-04-26T14:17:55Z</dcterms:modified>
</cp:coreProperties>
</file>