
<file path=[Content_Types].xml><?xml version="1.0" encoding="utf-8"?>
<Types xmlns="http://schemas.openxmlformats.org/package/2006/content-types">
  <Default Extension="bmp" ContentType="image/bmp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060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09059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32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(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п’ята сесія восьмого скликання)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spacing w:lineRule="auto" w:line="240" w:after="0" w:afterAutospacing="0"/>
        <w:widowControl w:val="off"/>
        <w:tabs>
          <w:tab w:val="left" w:pos="4394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квітня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2021 року</w:t>
        <w:tab/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№180</w:t>
      </w:r>
      <w:r>
        <w:rPr>
          <w:sz w:val="28"/>
          <w:lang w:val="uk-UA"/>
        </w:rPr>
      </w:r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>
        <w:rPr>
          <w:sz w:val="28"/>
          <w:lang w:val="uk-UA"/>
        </w:rPr>
      </w:r>
    </w:p>
    <w:p>
      <w:pPr>
        <w:ind w:left="0" w:right="5103" w:firstLine="0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обслуговування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ради</w:t>
      </w:r>
      <w:r>
        <w:rPr>
          <w:sz w:val="28"/>
          <w:lang w:val="uk-UA"/>
        </w:rPr>
      </w:r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Законів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соціальні послуги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загальнообов’язкове державне пенсійне страхування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Постанови Кабінету Міністрів України від 01.06.2020 № 587 «Про організацію надання соціальних послуг», керуючись Законом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Встановити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, що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 01 травня 2021 року відділеннями соціальної допомоги вдома, організації надання адресної натуральної та грошової допомоги, денного перебування Комунальною установою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«Територіальний центр соціального обслуговування (надання соціальних послуг)» Менської міської ради надаються соціальні послуги, передбачені чинним законодавством України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всім категоріям отримувачів соціальних послуг безоплатно за рахунок коштів бюджету Менської міської територіальної громади в межах обсягів, визначених державними стандартами.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Соціальні послуги понад обсяги, встановлені державними стандартами надаються за рахунок отримувачів соціальних послуг або третіх осіб у встановленому порядку.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Визначити, що надання соціальних послуг особам, які перебувають  на повному державному утриманні, відділенням стаціонарного догляду КУ «Територіальний центр соціального обслуговування (надання соціальних послуг)» здійснюється безоплатно відповідно до ст. 4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8 Закону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загальнообов’язкове державне пенсійне страхування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з відрахуванням частини пенсії.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Директору КУ«Територіальний центр соціального обслуговування (надання соціальних послуг)» Менської міської ради Гончар Н. В.:</w:t>
      </w:r>
      <w:r>
        <w:rPr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 Привести відносини по наданню соціальних послуг у відповідність до даного рішення.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4.2. Забезпечити моніторинг якості надання послуг та їх фінансового забезпечення, і при необхідності внести пропозиції щодо змін в умови надання соціальних послуг.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Визнати таким, що втратило чинність рішення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«Про організацію надання соціальних послуг» від 27.08.2019 р. № 199.</w:t>
      </w:r>
      <w:r>
        <w:rPr>
          <w:sz w:val="28"/>
          <w:lang w:val="uk-UA"/>
        </w:rPr>
      </w:r>
    </w:p>
    <w:p>
      <w:pPr>
        <w:numPr>
          <w:ilvl w:val="0"/>
          <w:numId w:val="4"/>
        </w:numPr>
        <w:ind w:left="0" w:right="0" w:firstLine="709"/>
        <w:jc w:val="both"/>
        <w:spacing w:lineRule="auto" w:line="240" w:after="0" w:afterAutospacing="0" w:before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В.В.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Прищепу та відділ охорони здоров’я та соціального захисту населення Менської міської ради. 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</w:p>
    <w:p>
      <w:pPr>
        <w:jc w:val="both"/>
        <w:spacing w:lineRule="auto" w:line="240" w:after="0" w:afterAutospacing="0"/>
        <w:tabs>
          <w:tab w:val="left" w:pos="6236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голова</w:t>
        <w:tab/>
        <w:t xml:space="preserve">Г.А. Примаков</w:t>
      </w:r>
      <w:r>
        <w:rPr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Balloon Text"/>
    <w:basedOn w:val="565"/>
    <w:link w:val="57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0" w:customStyle="1">
    <w:name w:val="Текст у виносці Знак"/>
    <w:basedOn w:val="566"/>
    <w:link w:val="569"/>
    <w:uiPriority w:val="99"/>
    <w:semiHidden/>
    <w:rPr>
      <w:rFonts w:ascii="Tahoma" w:hAnsi="Tahoma" w:cs="Tahoma"/>
      <w:sz w:val="16"/>
      <w:szCs w:val="16"/>
    </w:rPr>
  </w:style>
  <w:style w:type="paragraph" w:styleId="571">
    <w:name w:val="List Paragraph"/>
    <w:basedOn w:val="565"/>
    <w:qFormat/>
    <w:uiPriority w:val="34"/>
    <w:pPr>
      <w:contextualSpacing w:val="true"/>
      <w:ind w:left="720"/>
    </w:pPr>
  </w:style>
  <w:style w:type="character" w:styleId="572">
    <w:name w:val="Strong"/>
    <w:basedOn w:val="56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ПРИМАКОВ Геннадій Анатолійович</cp:lastModifiedBy>
  <cp:revision>8</cp:revision>
  <dcterms:created xsi:type="dcterms:W3CDTF">2021-04-14T07:30:00Z</dcterms:created>
  <dcterms:modified xsi:type="dcterms:W3CDTF">2021-04-26T13:56:36Z</dcterms:modified>
</cp:coreProperties>
</file>