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14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  <w:t xml:space="preserve">№ 129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624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виконкому Менської міської ради Гнипа В.І.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головного спеціаліста відділу архітектури та містобудування Менської міської ради Ющенка А.М.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закінчення опалювального сезону та про розміщення зовнішньої реклами на території міста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 зверненням ТОВ «Трудовий колектив Чернігівського міжміського бюро технічної інвентаризації» (термін розгляду якого закінчується)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09-0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        1) </w:t>
      </w:r>
      <w:bookmarkStart w:id="1" w:name="_Hlk47973354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закінчення опалювального сезону 2020-2021 рр.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/>
      <w:bookmarkStart w:id="2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1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Кравцов В.М.</w:t>
      </w:r>
      <w:bookmarkEnd w:id="2"/>
      <w:r/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        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розміщення зовнішньої реклами.</w:t>
      </w:r>
      <w:bookmarkStart w:id="3" w:name="_GoBack"/>
      <w:r/>
      <w:bookmarkEnd w:id="3"/>
      <w:r/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Ющенко А.М.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bCs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в </w:t>
      </w:r>
      <w:r>
        <w:rPr>
          <w:rFonts w:ascii="Times New Roman" w:hAnsi="Times New Roman" w:cs="Times New Roman"/>
          <w:sz w:val="28"/>
          <w:szCs w:val="28"/>
        </w:rPr>
        <w:t xml:space="preserve">залі засідань міської ради (приміщення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Героїв АТО, № 6,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0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31</cp:revision>
  <dcterms:created xsi:type="dcterms:W3CDTF">2020-07-20T16:46:00Z</dcterms:created>
  <dcterms:modified xsi:type="dcterms:W3CDTF">2021-04-14T07:27:57Z</dcterms:modified>
</cp:coreProperties>
</file>