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jc w:val="center"/>
      </w:pPr>
      <w:r>
        <w:rPr>
          <w:b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</w:pPr>
      <w:r>
        <w:rPr>
          <w:b/>
          <w:color w:val="000000"/>
          <w:sz w:val="28"/>
        </w:rPr>
        <w:t xml:space="preserve">(четверта сесія восьмого скликання) </w:t>
      </w:r>
      <w:r/>
    </w:p>
    <w:p>
      <w:pPr>
        <w:jc w:val="center"/>
      </w:pPr>
      <w:r>
        <w:rPr>
          <w:b/>
          <w:color w:val="000000"/>
          <w:spacing w:val="60"/>
          <w:sz w:val="28"/>
        </w:rPr>
        <w:t xml:space="preserve">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sz w:val="28"/>
          <w:szCs w:val="28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26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березня 2021 року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>
        <w:rPr>
          <w:sz w:val="28"/>
          <w:szCs w:val="28"/>
        </w:rPr>
        <w:t xml:space="preserve"> 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     </w:t>
      </w:r>
      <w:r/>
    </w:p>
    <w:p>
      <w:pPr>
        <w:ind w:left="0" w:right="567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погодження тарифів </w:t>
      </w:r>
      <w:r>
        <w:rPr>
          <w:b/>
          <w:sz w:val="28"/>
          <w:szCs w:val="28"/>
        </w:rPr>
        <w:t xml:space="preserve">на платні стоматологічні послуги, </w:t>
      </w:r>
      <w:r>
        <w:rPr>
          <w:b/>
          <w:sz w:val="28"/>
          <w:szCs w:val="28"/>
        </w:rPr>
        <w:t xml:space="preserve">що надаються 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</w:t>
      </w:r>
      <w:r>
        <w:rPr>
          <w:b/>
          <w:sz w:val="28"/>
          <w:szCs w:val="28"/>
        </w:rPr>
        <w:t xml:space="preserve"> «М</w:t>
      </w:r>
      <w:r>
        <w:rPr>
          <w:b/>
          <w:sz w:val="28"/>
          <w:szCs w:val="28"/>
        </w:rPr>
        <w:t xml:space="preserve">енська міська лікарня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Менської міської ради</w:t>
      </w:r>
      <w:r>
        <w:rPr>
          <w:b/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постанов Кабінету Міністрів України від 25 рудня1996 року № 1548 «Про встановлення повноважень органів виконавчої влади та виконавчих органів міських рад щодо регулювання цін (</w:t>
      </w:r>
      <w:r>
        <w:rPr>
          <w:sz w:val="28"/>
          <w:szCs w:val="28"/>
        </w:rPr>
        <w:t xml:space="preserve">тарифів)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(зі змінами та доповненнями), від 27 лютого 2019 року № 134 «Про внесення змін до деяких постанов КМУ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від 17 вересня 1996 року № 1138 «Про затвердження переліку платних послуг, які надаються в державних закладах охорони здоров’я та вищих медичних закла</w:t>
      </w:r>
      <w:r>
        <w:rPr>
          <w:sz w:val="28"/>
          <w:szCs w:val="28"/>
        </w:rPr>
        <w:t xml:space="preserve">дах освіт</w:t>
      </w:r>
      <w:r>
        <w:rPr>
          <w:sz w:val="28"/>
          <w:szCs w:val="28"/>
        </w:rPr>
        <w:t xml:space="preserve">и» (зі змінами і доповненнями) </w:t>
      </w:r>
      <w:r>
        <w:rPr>
          <w:sz w:val="28"/>
          <w:szCs w:val="28"/>
        </w:rPr>
        <w:t xml:space="preserve"> Менська міська рада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Погодити тарифи на платні стоматологічні послуги, що надаються</w:t>
      </w:r>
      <w:r>
        <w:rPr>
          <w:sz w:val="28"/>
          <w:szCs w:val="28"/>
        </w:rPr>
        <w:t xml:space="preserve"> Комунальним </w:t>
      </w:r>
      <w:r>
        <w:rPr>
          <w:sz w:val="28"/>
          <w:szCs w:val="28"/>
        </w:rPr>
        <w:t xml:space="preserve">некомерційним </w:t>
      </w:r>
      <w:r>
        <w:rPr>
          <w:sz w:val="28"/>
          <w:szCs w:val="28"/>
        </w:rPr>
        <w:t xml:space="preserve">підприємстом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 Менської міської ради згідно додатк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 даного рішення (дода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ться).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</w:t>
      </w:r>
      <w:r>
        <w:rPr>
          <w:sz w:val="28"/>
          <w:szCs w:val="28"/>
        </w:rPr>
        <w:t xml:space="preserve"> 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Разновану</w:t>
      </w:r>
      <w:r>
        <w:rPr>
          <w:sz w:val="28"/>
          <w:szCs w:val="28"/>
        </w:rPr>
        <w:t xml:space="preserve"> Г.І. затвердити тарифи  </w:t>
      </w:r>
      <w:r>
        <w:rPr>
          <w:sz w:val="28"/>
          <w:szCs w:val="28"/>
        </w:rPr>
        <w:t xml:space="preserve"> на платні стоматологічні послуги та ввести в дію з 01 квітня 2021 року.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</w:t>
      </w:r>
      <w:r>
        <w:rPr>
          <w:sz w:val="28"/>
          <w:szCs w:val="28"/>
        </w:rPr>
        <w:t xml:space="preserve"> першого</w:t>
      </w:r>
      <w:r>
        <w:rPr>
          <w:sz w:val="28"/>
          <w:szCs w:val="28"/>
        </w:rPr>
        <w:t xml:space="preserve">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Небери</w:t>
      </w:r>
      <w:r>
        <w:rPr>
          <w:sz w:val="28"/>
          <w:szCs w:val="28"/>
        </w:rPr>
        <w:t xml:space="preserve"> О.Л.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5669" w:right="0" w:firstLine="0"/>
        <w:jc w:val="both"/>
        <w:widowControl w:val="off"/>
        <w:rPr>
          <w:rFonts w:eastAsia="Batang"/>
          <w:sz w:val="20"/>
        </w:rPr>
      </w:pPr>
      <w:r>
        <w:rPr>
          <w:rFonts w:eastAsia="Batang"/>
          <w:sz w:val="20"/>
        </w:rPr>
        <w:t xml:space="preserve">Додаток   </w:t>
      </w:r>
      <w:r>
        <w:rPr>
          <w:sz w:val="20"/>
        </w:rPr>
      </w:r>
      <w:r/>
    </w:p>
    <w:p>
      <w:pPr>
        <w:ind w:left="5669" w:right="0" w:firstLine="0"/>
        <w:jc w:val="both"/>
        <w:widowControl w:val="off"/>
        <w:rPr>
          <w:rFonts w:eastAsia="Batang"/>
          <w:sz w:val="20"/>
        </w:rPr>
      </w:pPr>
      <w:r>
        <w:rPr>
          <w:rFonts w:eastAsia="Batang"/>
          <w:sz w:val="20"/>
        </w:rPr>
        <w:t xml:space="preserve">до </w:t>
      </w:r>
      <w:r>
        <w:rPr>
          <w:rFonts w:eastAsia="Batang"/>
          <w:sz w:val="20"/>
        </w:rPr>
        <w:t xml:space="preserve">проєкту</w:t>
      </w:r>
      <w:r>
        <w:rPr>
          <w:rFonts w:eastAsia="Batang"/>
          <w:sz w:val="20"/>
        </w:rPr>
        <w:t xml:space="preserve"> рішення 4 сесії</w:t>
      </w:r>
      <w:r>
        <w:rPr>
          <w:rFonts w:eastAsia="Batang"/>
          <w:sz w:val="20"/>
        </w:rPr>
        <w:t xml:space="preserve"> Менської міської ради</w:t>
      </w:r>
      <w:r>
        <w:rPr>
          <w:rFonts w:eastAsia="Batang"/>
          <w:sz w:val="20"/>
          <w:lang w:val="ru-RU"/>
        </w:rPr>
        <w:t xml:space="preserve"> від 26 березня 2021 року № _____ «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Про  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погодження тарифів на платні стоматологічні послуги що надаються КНП 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«Менська міська лікарня» Менської міської ради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»</w:t>
      </w:r>
      <w:r>
        <w:rPr>
          <w:sz w:val="20"/>
        </w:rPr>
      </w:r>
      <w:r/>
    </w:p>
    <w:p>
      <w:r/>
      <w:r/>
    </w:p>
    <w:p>
      <w:r/>
      <w:r/>
    </w:p>
    <w:p>
      <w:r/>
      <w:r/>
    </w:p>
    <w:tbl>
      <w:tblPr>
        <w:tblW w:w="8620" w:type="dxa"/>
        <w:tblLook w:val="04A0" w:firstRow="1" w:lastRow="0" w:firstColumn="1" w:lastColumn="0" w:noHBand="0" w:noVBand="1"/>
      </w:tblPr>
      <w:tblGrid>
        <w:gridCol w:w="640"/>
        <w:gridCol w:w="5740"/>
        <w:gridCol w:w="2240"/>
      </w:tblGrid>
      <w:tr>
        <w:trPr>
          <w:trHeight w:val="1050"/>
        </w:trPr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62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8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Тарифи на платні стоматологічні послуги, що надаються Комунальним некомерційним підприємством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b/>
                <w:color w:val="000000"/>
                <w:sz w:val="28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</w:r>
            <w:r>
              <w:rPr>
                <w:rFonts w:eastAsia="Batang"/>
                <w:sz w:val="28"/>
                <w:lang w:val="ru-RU"/>
              </w:rPr>
              <w:t xml:space="preserve">«</w:t>
            </w: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Менська міська лікарня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Найменування послуг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Вартість послуги (грн.)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Терапевтична стоматологія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Первинний огляд хворого (включає запис анамнезу, фізичних обстежень, запланованої програми діагностики та лікування)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порожнини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рота,визначення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пародонтологічного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статусу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Повторний огляд амбулаторного хворого(включає запис анамнезу, фізичного обстеження, контролю призначеного лікування)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Консультація хворого (запис огляду та порада ані на прохання лікаря, який лікує, іншим лікарем для спеціальної оцінки подальшого лікування)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Забезпечення хворого та медичного персоналу засобами індивідуального захисту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Стоматологічне обстеження на амбулаторному прийомі або при профілактичних оглядах, складання плану профілактики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провідникове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інфільтраційне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аплікаційне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ротової порожнини та визначення гігієнічного індексу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ступеня ураження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фуркації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коренів зубів (вертикальна резорбція кісткової тканини)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патологічної рухомості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рентгенограми прицільної в терапії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панорамної рентгенограми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травматичної оклюзії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м’якого зубного нальоту з усіх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зубного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каменю, нальоту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інструментальним способом з усіх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345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зубного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каменю,нальоту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за допомогою ультразвукового апарата з усіх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Вибіркове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пришліфовування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зубів, усунення травматичної оклюзії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Закриття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фісур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одного зуба герметиками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Контроль за гігієною ротової порожнини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Навчання правилам гігієни порожнини рота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Проведення професійної гігієни усіх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місцевих подразнюючих факторів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шкідливих звичок (навчання, консультація матері та дитини)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одного зуба при поверхневому і середньому карієсі (без накладання пломби)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одного зуба при глибокому карієсі (без накладання пломби)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дефекту пломби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Сріблення поверхні або порожнини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Препарування каріозної порожнини (або трепанація коронки), розкриття рогу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пульпової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камери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девіталізуючої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пасти та пов’язки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Пульпотомія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Екстирпація пульпи з одного кореня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Пломбування одного каналу кореня зуба пастою, що полімеризується (цементом)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Закриття перфорації каналу зуба або перфорації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дна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пульпової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камери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лікувальної пов’язки при лікуванні карієсу та його ускладненнях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Інструментальна та медикаментозна обробка одного каналу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Механічне та хімічне розширення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облітерованого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каналу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Розпломбування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кореневого каналу зуба, запломбованого пастою, що полімеризується, або цементом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290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Вилучення стороннього тіла і каналу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365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постійної пломби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Введення пара пульпарних штифтів для покращення фіксації композитної пломби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однокореневого зуба пломбуванням композитним матеріалом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  зруйнованої коронки однокореневого зуба за допомогою дротяного каркасу, анкерних штифтів, пластмаси або композитного матеріалу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530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однокореневого зуба за допомогою дротяного каркасу, анкерних штифтів та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710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багато кореневого зуба за допомогою дротяного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каркасу,анкерних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штифтів, пластмаси, композитного матеріалу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655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багато кореневого зуба за допомогою дротяного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каркасу,анкерних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штифтів, пластмаси,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825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гострих форм стоматиту (ОГС, РГС,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кандідоз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травматичне ушкодження і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т.ін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.)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захворювань пародонту: накладання лікувальної пов’язки на ясна та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зубоясневі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кишені (одне відвідування)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Обробка уражених поверхонь слизової оболонки, лікувальні пов’язки (одне відвідування)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на ясна лікувальних пов’язок, що твердіють в порожнині роту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Кюретаж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пародонтальних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 кишень 2-х зубів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160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Діатермокоагуляція ясен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тимчасової пломби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тимчасової пломби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Виготовлення і накладання вкладки в однокореневий зуб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410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Виготовлення і накладання вкладки в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багатокореневий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зуб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630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цементу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Іонобонд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2/3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170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композитного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Prime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Dent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1/3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композитного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Prime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Dent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усієї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130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світло полімерного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Gradia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Direct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до 1/3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350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«Харизма» при реставрації до 2/3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275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Кетак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Цем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1/3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</w:tr>
      <w:tr>
        <w:trPr>
          <w:trHeight w:val="1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Кетак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Цем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2/3 коронки зуба (лікування зуба та анестезія сплачуються додатково)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Внутрішньошкірна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алергологічна проба (без урахування вартості медикаментів)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парадонтозу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ін’єкцією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Хірургічна стоматологія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Первинний огляд хворого  (включає запис анамнезу, фізичних обстежень, запланованої програми діагностики та лікування)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Повторний огляд амбулаторного хворого (включає запис анамнезу, фізичного обстеження, контролю призначеного лікування)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Консультація хворого (запис огляду та порада, дані на прохання лікаря, який лікує, іншим лікарем для спеціальної оцінки стану та подальшого лікування)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провідникове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інфільтраційне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аплікаційне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ротової порожнини та визначення гігієнічного індексу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рентгенограми прицільної в хірургії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ортопантограми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панорамної рентгенограми, томограми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губи хірургічна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язика хірургічна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переддвер’я рота хірургічна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просте (включаючи витрати часу на огляд хворого, заповнення документації)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за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ортодонтичними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показаннями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тимчасового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складне (включаючи витрати часу на огляд хворого, заповнення документації)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230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швів на лунку після видалення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шкідливих звичок (навчання)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подразнюючих факторів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Розкриття абсцесу, дренування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доброякісних новоутворень альвеолярного паростка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кюретажем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ямки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Медикаментозне лікування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альвеоліту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перікоронариту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Гінгівектомія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185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епулісу з ростковою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зоною,гранульоми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265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капюшона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Промивання капюшону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окістя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Резекція капюшона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Дренування абсцесу при розтині слинної залози або протоки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каменю із протоки слинної залози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абсцесу з наступним дренуванням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і дренування абсцесів піднебіння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доброякісних новоутворень м’яких тканин ротової порожнини (папіломи, фіброми та ін..)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Первинна хірургічна обробка рани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Коагуляція ясен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Перев’язка після складного хірургічного втручання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Обробка виразки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Виправлення звичного вивиху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скронево-нижньо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щелепного суглоба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Вправлення гострого вивиху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скронево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-нижньощелепного суглоба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Іммобілізація за допомогою пов’язки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пращі на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підпоріддя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Припинення кровотечі після видалення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швів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Рентгенологічне дослідження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0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Рентгенографія зуба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4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Назва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і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Насичена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і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і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ви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Кроха Наталія Олексіївна</cp:lastModifiedBy>
  <cp:revision>10</cp:revision>
  <dcterms:created xsi:type="dcterms:W3CDTF">2021-03-11T15:13:00Z</dcterms:created>
  <dcterms:modified xsi:type="dcterms:W3CDTF">2021-03-12T15:12:42Z</dcterms:modified>
</cp:coreProperties>
</file>