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2021</w:t>
      </w:r>
      <w:r>
        <w:rPr>
          <w:rFonts w:ascii="Times New Roman" w:hAnsi="Times New Roman" w:cs="Times New Roman" w:eastAsia="Calibri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>
        <w:rPr>
          <w:sz w:val="28"/>
        </w:rPr>
      </w:r>
    </w:p>
    <w:p>
      <w:pPr>
        <w:ind w:left="0" w:right="5670" w:firstLine="0"/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7"/>
        </w:rPr>
      </w:pP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передачу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нерухомого майна в оренду,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включеного в Перелік другого типу </w:t>
      </w:r>
      <w:r>
        <w:rPr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6"/>
        </w:rPr>
      </w:pPr>
      <w:r>
        <w:rPr>
          <w:rFonts w:ascii="Times New Roman" w:hAnsi="Times New Roman" w:eastAsia="Calibri"/>
          <w:sz w:val="28"/>
          <w:szCs w:val="26"/>
          <w:lang w:val="uk-UA"/>
        </w:rPr>
      </w:r>
      <w:r>
        <w:rPr>
          <w:sz w:val="28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eastAsia="Calibri"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заяв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у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Відділу культури Менської міської ради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щодо передачі в оренду комунального майна, включеного до Переліку другого типу рішенням виконавчого комітету Менської міської ради від 25 лютого 2021 року № 43 «Про включення майна до Переліку другого типу», керуючись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ст. 3-4, ч. 1 ст. 15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Закону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України «Про оренду державного та комунального майна»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п.111, 114 Порядку передачі в оренду державного та комунального майна, затвердженого постановою КМУ від 03 червня 2020 року № 483 «Деякі питання оренди державного та комунального майна»,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ст.ст. 51-52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6"/>
          <w:lang w:val="uk-UA"/>
        </w:rPr>
        <w:t xml:space="preserve">Методикою розрахунку та поряд</w:t>
      </w:r>
      <w:r>
        <w:rPr>
          <w:rFonts w:ascii="Times New Roman" w:hAnsi="Times New Roman"/>
          <w:sz w:val="28"/>
          <w:szCs w:val="26"/>
          <w:lang w:val="uk-UA"/>
        </w:rPr>
        <w:t xml:space="preserve">ку</w:t>
      </w:r>
      <w:r>
        <w:rPr>
          <w:rFonts w:ascii="Times New Roman" w:hAnsi="Times New Roman"/>
          <w:sz w:val="28"/>
          <w:szCs w:val="26"/>
          <w:lang w:val="uk-UA"/>
        </w:rPr>
        <w:t xml:space="preserve"> використання орендної плати для об’єктів комунальної власності об’єднаної територіальної громади, затвердженою рішенням Менської міської ради від 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26 жовтня 2018 року № 398,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враховуючи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 рішенням 43 сесії 7 скликання від 29 вересня 2020 року № 451 «Про врегулювання відносин щодо оренди майна, що перебуває у комунальній  власності Менської  міської об’єднаної територіальної громади»,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виконавчий комітет Менської міської ради </w:t>
      </w:r>
      <w:r>
        <w:rPr>
          <w:sz w:val="28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ВИРІШИВ :</w:t>
      </w:r>
      <w:r>
        <w:rPr>
          <w:sz w:val="28"/>
        </w:rPr>
      </w:r>
    </w:p>
    <w:p>
      <w:pPr>
        <w:pStyle w:val="587"/>
        <w:numPr>
          <w:ilvl w:val="0"/>
          <w:numId w:val="15"/>
        </w:numPr>
        <w:ind w:left="0" w:right="0" w:firstLine="1057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Передати до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31 березня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2021 року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Відділу культури </w:t>
      </w:r>
      <w:r>
        <w:rPr>
          <w:rFonts w:ascii="Times New Roman" w:hAnsi="Times New Roman"/>
          <w:sz w:val="28"/>
          <w:szCs w:val="26"/>
          <w:lang w:val="uk-UA"/>
        </w:rPr>
        <w:t xml:space="preserve">Менської міської ради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в оренду об’єкти нерухомого майна, що включені до Переліку другого типу об’єктів комунального майна Менської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міської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територіальної громади, а саме:</w:t>
      </w:r>
      <w:r>
        <w:rPr>
          <w:sz w:val="28"/>
        </w:rPr>
      </w:r>
    </w:p>
    <w:tbl>
      <w:tblPr>
        <w:tblStyle w:val="618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4"/>
        <w:gridCol w:w="1989"/>
        <w:gridCol w:w="1729"/>
        <w:gridCol w:w="1196"/>
      </w:tblGrid>
      <w:tr>
        <w:trPr>
          <w:trHeight w:val="830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п/п</w:t>
            </w:r>
            <w:r>
              <w:rPr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79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об’єкту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Адреса об’єкту</w:t>
            </w:r>
            <w:r>
              <w:rPr>
                <w:sz w:val="24"/>
              </w:rPr>
            </w:r>
          </w:p>
        </w:tc>
        <w:tc>
          <w:tcPr>
            <w:tcW w:w="198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Цільове використання об’єкту</w:t>
            </w:r>
            <w:r>
              <w:rPr>
                <w:sz w:val="24"/>
              </w:rPr>
            </w:r>
          </w:p>
        </w:tc>
        <w:tc>
          <w:tcPr>
            <w:tcW w:w="1729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  <w:r>
              <w:rPr>
                <w:sz w:val="24"/>
              </w:rPr>
            </w:r>
          </w:p>
        </w:tc>
        <w:tc>
          <w:tcPr>
            <w:tcW w:w="1196" w:type="dxa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Примітка </w:t>
            </w:r>
            <w:r>
              <w:rPr>
                <w:sz w:val="24"/>
              </w:rPr>
            </w:r>
          </w:p>
        </w:tc>
      </w:tr>
      <w:tr>
        <w:trPr>
          <w:trHeight w:val="2767"/>
        </w:trPr>
        <w:tc>
          <w:tcPr>
            <w:tcW w:w="567" w:type="dxa"/>
            <w:textDirection w:val="lrTb"/>
            <w:noWrap w:val="false"/>
          </w:tcPr>
          <w:p>
            <w:pPr>
              <w:pStyle w:val="587"/>
              <w:ind w:left="36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будівлі на другому поверсі</w:t>
            </w:r>
            <w:r>
              <w:rPr>
                <w:sz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АТО,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м. Мена</w:t>
            </w:r>
            <w:r>
              <w:rPr>
                <w:sz w:val="24"/>
              </w:rPr>
            </w:r>
          </w:p>
        </w:tc>
        <w:tc>
          <w:tcPr>
            <w:tcW w:w="19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комунального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діяльність якого фінансується за  рахунок місцевого бюджету</w:t>
            </w:r>
            <w:r>
              <w:rPr>
                <w:sz w:val="24"/>
              </w:rPr>
            </w:r>
          </w:p>
        </w:tc>
        <w:tc>
          <w:tcPr>
            <w:tcW w:w="17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282,3 кв. м.</w:t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(Загальна площа 345,4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.)</w:t>
            </w:r>
            <w:r>
              <w:rPr>
                <w:sz w:val="24"/>
              </w:rPr>
            </w:r>
          </w:p>
        </w:tc>
        <w:tc>
          <w:tcPr>
            <w:tcW w:w="1196" w:type="dxa"/>
            <w:textDirection w:val="lrTb"/>
            <w:noWrap w:val="false"/>
          </w:tcPr>
          <w:p>
            <w:pPr>
              <w:ind w:left="-108" w:firstLine="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sz w:val="24"/>
              </w:rPr>
            </w:r>
          </w:p>
        </w:tc>
      </w:tr>
    </w:tbl>
    <w:p>
      <w:pPr>
        <w:ind w:left="0" w:right="0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2. Затвердити Умови та додаткові умови передачі майна в оренду, згідно додатку 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.</w:t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3. Встановити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річну орендну плату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 розмірі 1,00 грн.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відповідно до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п. 10 </w:t>
      </w:r>
      <w:r>
        <w:rPr>
          <w:rFonts w:ascii="Times New Roman" w:hAnsi="Times New Roman"/>
          <w:sz w:val="28"/>
          <w:szCs w:val="26"/>
          <w:lang w:val="uk-UA"/>
        </w:rPr>
        <w:t xml:space="preserve">Методики розрахунку та порядку використання орендної плати для об’єктів комунальної власності об’єднаної територіальної громади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, затвердженої рішенням </w:t>
      </w:r>
      <w:r>
        <w:rPr>
          <w:rFonts w:ascii="Times New Roman" w:hAnsi="Times New Roman"/>
          <w:sz w:val="28"/>
          <w:szCs w:val="26"/>
          <w:lang w:val="uk-UA"/>
        </w:rPr>
        <w:t xml:space="preserve">двадцять другої сесія  сьомого скликання</w:t>
      </w:r>
      <w:r>
        <w:rPr>
          <w:rFonts w:ascii="Times New Roman" w:hAnsi="Times New Roman"/>
          <w:sz w:val="28"/>
          <w:szCs w:val="26"/>
          <w:lang w:val="uk-UA"/>
        </w:rPr>
        <w:t xml:space="preserve"> від 26 жовтня 2018 року №</w:t>
      </w:r>
      <w:r>
        <w:rPr>
          <w:rFonts w:ascii="Times New Roman" w:hAnsi="Times New Roman"/>
          <w:sz w:val="28"/>
          <w:szCs w:val="26"/>
          <w:lang w:val="uk-UA"/>
        </w:rPr>
        <w:t xml:space="preserve"> 398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.</w:t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4. Доручити міському голові Примакову Г.А.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до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31 березня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2021 року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укласти догов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ір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оренди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нерухомого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майна з </w:t>
      </w:r>
      <w:r>
        <w:rPr>
          <w:rFonts w:ascii="Times New Roman" w:hAnsi="Times New Roman"/>
          <w:sz w:val="28"/>
          <w:szCs w:val="26"/>
          <w:lang w:val="uk-UA"/>
        </w:rPr>
        <w:t xml:space="preserve">Відділом культури Менської міської ради </w:t>
      </w:r>
      <w:r>
        <w:rPr>
          <w:rFonts w:ascii="Times New Roman" w:hAnsi="Times New Roman"/>
          <w:sz w:val="28"/>
          <w:szCs w:val="26"/>
          <w:lang w:val="uk-UA"/>
        </w:rPr>
        <w:t xml:space="preserve">строком на 5 років.</w:t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5. 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начальника відділу житлово-комунального господарства,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енергоефективності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та комунального майна Кравцова В.М.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Г.А. Примаков</w:t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623"/>
        <w:ind w:left="5670"/>
        <w:spacing w:after="0" w:afterAutospacing="0" w:before="0" w:before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 xml:space="preserve">2</w:t>
      </w:r>
      <w:r>
        <w:rPr>
          <w:sz w:val="20"/>
          <w:szCs w:val="20"/>
          <w:lang w:val="uk-UA"/>
        </w:rPr>
        <w:t xml:space="preserve"> до рішення виконавчого комітету Менської міської ради   від ____________ 2021 р. № _______ «</w:t>
      </w:r>
      <w:r>
        <w:rPr>
          <w:sz w:val="20"/>
          <w:szCs w:val="20"/>
          <w:lang w:val="uk-UA"/>
        </w:rPr>
        <w:t xml:space="preserve">Про передачу нерухомого майна в оренду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включеного в Перелік другого типу</w:t>
      </w:r>
      <w:r>
        <w:rPr>
          <w:sz w:val="20"/>
          <w:szCs w:val="20"/>
          <w:lang w:val="uk-UA"/>
        </w:rPr>
        <w:t xml:space="preserve">»</w:t>
      </w:r>
      <w:r/>
    </w:p>
    <w:p>
      <w:pPr>
        <w:jc w:val="center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Умови та додаткові умови передачі майна в оренду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pStyle w:val="587"/>
        <w:numPr>
          <w:ilvl w:val="0"/>
          <w:numId w:val="14"/>
        </w:numPr>
        <w:jc w:val="center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Об’єкт оренди -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частина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будівлі на другому поверсі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 ˗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корисна площа 282,3 кв. м.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(загальна площа 345,4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.)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 </w:t>
      </w:r>
      <w:r/>
    </w:p>
    <w:p>
      <w:pPr>
        <w:pStyle w:val="587"/>
        <w:ind w:hanging="720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Адреса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–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вул. Героїв АТО, 9 м. Мена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Розмір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річної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орендної плати – 1,00 грн.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Строк оренди – 5 років.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Цільове призначення об’єкту оренди –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для розміщення комунального закладу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Суборенда – не допускається.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Mangal" w:eastAsia="Lucida Sans Unicode" w:hint="default"/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Mangal" w:eastAsia="Lucida Sans Unicode" w:hint="default"/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3">
    <w:name w:val="Heading 1"/>
    <w:basedOn w:val="578"/>
    <w:next w:val="578"/>
    <w:link w:val="4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4">
    <w:name w:val="Heading 1 Char"/>
    <w:basedOn w:val="580"/>
    <w:link w:val="413"/>
    <w:uiPriority w:val="9"/>
    <w:rPr>
      <w:rFonts w:ascii="Arial" w:hAnsi="Arial" w:cs="Arial" w:eastAsia="Arial"/>
      <w:sz w:val="40"/>
      <w:szCs w:val="40"/>
    </w:rPr>
  </w:style>
  <w:style w:type="paragraph" w:styleId="415">
    <w:name w:val="Heading 2"/>
    <w:basedOn w:val="578"/>
    <w:next w:val="578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6">
    <w:name w:val="Heading 2 Char"/>
    <w:basedOn w:val="580"/>
    <w:link w:val="415"/>
    <w:uiPriority w:val="9"/>
    <w:rPr>
      <w:rFonts w:ascii="Arial" w:hAnsi="Arial" w:cs="Arial" w:eastAsia="Arial"/>
      <w:sz w:val="34"/>
    </w:rPr>
  </w:style>
  <w:style w:type="paragraph" w:styleId="417">
    <w:name w:val="Heading 3"/>
    <w:basedOn w:val="578"/>
    <w:next w:val="578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8">
    <w:name w:val="Heading 3 Char"/>
    <w:basedOn w:val="580"/>
    <w:link w:val="417"/>
    <w:uiPriority w:val="9"/>
    <w:rPr>
      <w:rFonts w:ascii="Arial" w:hAnsi="Arial" w:cs="Arial" w:eastAsia="Arial"/>
      <w:sz w:val="30"/>
      <w:szCs w:val="30"/>
    </w:rPr>
  </w:style>
  <w:style w:type="character" w:styleId="419">
    <w:name w:val="Heading 4 Char"/>
    <w:basedOn w:val="580"/>
    <w:link w:val="579"/>
    <w:uiPriority w:val="9"/>
    <w:rPr>
      <w:rFonts w:ascii="Arial" w:hAnsi="Arial" w:cs="Arial" w:eastAsia="Arial"/>
      <w:b/>
      <w:bCs/>
      <w:sz w:val="26"/>
      <w:szCs w:val="26"/>
    </w:rPr>
  </w:style>
  <w:style w:type="paragraph" w:styleId="420">
    <w:name w:val="Heading 5"/>
    <w:basedOn w:val="578"/>
    <w:next w:val="578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1">
    <w:name w:val="Heading 5 Char"/>
    <w:basedOn w:val="580"/>
    <w:link w:val="420"/>
    <w:uiPriority w:val="9"/>
    <w:rPr>
      <w:rFonts w:ascii="Arial" w:hAnsi="Arial" w:cs="Arial" w:eastAsia="Arial"/>
      <w:b/>
      <w:bCs/>
      <w:sz w:val="24"/>
      <w:szCs w:val="24"/>
    </w:rPr>
  </w:style>
  <w:style w:type="paragraph" w:styleId="422">
    <w:name w:val="Heading 6"/>
    <w:basedOn w:val="578"/>
    <w:next w:val="578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3">
    <w:name w:val="Heading 6 Char"/>
    <w:basedOn w:val="580"/>
    <w:link w:val="422"/>
    <w:uiPriority w:val="9"/>
    <w:rPr>
      <w:rFonts w:ascii="Arial" w:hAnsi="Arial" w:cs="Arial" w:eastAsia="Arial"/>
      <w:b/>
      <w:bCs/>
      <w:sz w:val="22"/>
      <w:szCs w:val="22"/>
    </w:rPr>
  </w:style>
  <w:style w:type="paragraph" w:styleId="424">
    <w:name w:val="Heading 7"/>
    <w:basedOn w:val="578"/>
    <w:next w:val="578"/>
    <w:link w:val="4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5">
    <w:name w:val="Heading 7 Char"/>
    <w:basedOn w:val="580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6">
    <w:name w:val="Heading 8"/>
    <w:basedOn w:val="578"/>
    <w:next w:val="578"/>
    <w:link w:val="4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7">
    <w:name w:val="Heading 8 Char"/>
    <w:basedOn w:val="580"/>
    <w:link w:val="426"/>
    <w:uiPriority w:val="9"/>
    <w:rPr>
      <w:rFonts w:ascii="Arial" w:hAnsi="Arial" w:cs="Arial" w:eastAsia="Arial"/>
      <w:i/>
      <w:iCs/>
      <w:sz w:val="22"/>
      <w:szCs w:val="22"/>
    </w:rPr>
  </w:style>
  <w:style w:type="paragraph" w:styleId="428">
    <w:name w:val="Heading 9"/>
    <w:basedOn w:val="578"/>
    <w:next w:val="578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>
    <w:name w:val="Heading 9 Char"/>
    <w:basedOn w:val="580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Title"/>
    <w:basedOn w:val="578"/>
    <w:next w:val="578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>
    <w:name w:val="Title Char"/>
    <w:basedOn w:val="580"/>
    <w:link w:val="430"/>
    <w:uiPriority w:val="10"/>
    <w:rPr>
      <w:sz w:val="48"/>
      <w:szCs w:val="48"/>
    </w:rPr>
  </w:style>
  <w:style w:type="paragraph" w:styleId="432">
    <w:name w:val="Subtitle"/>
    <w:basedOn w:val="578"/>
    <w:next w:val="578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>
    <w:name w:val="Subtitle Char"/>
    <w:basedOn w:val="580"/>
    <w:link w:val="432"/>
    <w:uiPriority w:val="11"/>
    <w:rPr>
      <w:sz w:val="24"/>
      <w:szCs w:val="24"/>
    </w:rPr>
  </w:style>
  <w:style w:type="paragraph" w:styleId="434">
    <w:name w:val="Quote"/>
    <w:basedOn w:val="578"/>
    <w:next w:val="578"/>
    <w:link w:val="435"/>
    <w:qFormat/>
    <w:uiPriority w:val="29"/>
    <w:rPr>
      <w:i/>
    </w:rPr>
    <w:pPr>
      <w:ind w:left="720" w:right="720"/>
    </w:pPr>
  </w:style>
  <w:style w:type="character" w:styleId="435">
    <w:name w:val="Quote Char"/>
    <w:link w:val="434"/>
    <w:uiPriority w:val="29"/>
    <w:rPr>
      <w:i/>
    </w:rPr>
  </w:style>
  <w:style w:type="paragraph" w:styleId="436">
    <w:name w:val="Intense Quote"/>
    <w:basedOn w:val="578"/>
    <w:next w:val="578"/>
    <w:link w:val="43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>
    <w:name w:val="Intense Quote Char"/>
    <w:link w:val="436"/>
    <w:uiPriority w:val="30"/>
    <w:rPr>
      <w:i/>
    </w:rPr>
  </w:style>
  <w:style w:type="character" w:styleId="438">
    <w:name w:val="Header Char"/>
    <w:basedOn w:val="580"/>
    <w:link w:val="594"/>
    <w:uiPriority w:val="99"/>
  </w:style>
  <w:style w:type="character" w:styleId="439">
    <w:name w:val="Footer Char"/>
    <w:basedOn w:val="580"/>
    <w:link w:val="596"/>
    <w:uiPriority w:val="99"/>
  </w:style>
  <w:style w:type="table" w:styleId="440">
    <w:name w:val="Table Grid Light"/>
    <w:basedOn w:val="5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basedOn w:val="5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basedOn w:val="5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>
    <w:name w:val="Grid Table 4 - Accent 1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9">
    <w:name w:val="Grid Table 4 - Accent 2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0">
    <w:name w:val="Grid Table 4 - Accent 3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1">
    <w:name w:val="Grid Table 4 - Accent 4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2">
    <w:name w:val="Grid Table 4 - Accent 5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3">
    <w:name w:val="Grid Table 4 - Accent 6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4">
    <w:name w:val="Grid Table 5 Dark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5">
    <w:name w:val="Grid Table 5 Dark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8">
    <w:name w:val="Grid Table 5 Dark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1">
    <w:name w:val="Grid Table 6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2">
    <w:name w:val="Grid Table 6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3">
    <w:name w:val="Grid Table 6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4">
    <w:name w:val="Grid Table 6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5">
    <w:name w:val="Grid Table 6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6">
    <w:name w:val="Grid Table 6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7">
    <w:name w:val="Grid Table 6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8">
    <w:name w:val="Grid Table 7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3">
    <w:name w:val="List Table 2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4">
    <w:name w:val="List Table 2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5">
    <w:name w:val="List Table 2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6">
    <w:name w:val="List Table 2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7">
    <w:name w:val="List Table 2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8">
    <w:name w:val="List Table 2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9">
    <w:name w:val="List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6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1">
    <w:name w:val="List Table 6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2">
    <w:name w:val="List Table 6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3">
    <w:name w:val="List Table 6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4">
    <w:name w:val="List Table 6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5">
    <w:name w:val="List Table 6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6">
    <w:name w:val="List Table 6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7">
    <w:name w:val="List Table 7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8">
    <w:name w:val="List Table 7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9">
    <w:name w:val="List Table 7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0">
    <w:name w:val="List Table 7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1">
    <w:name w:val="List Table 7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2">
    <w:name w:val="List Table 7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3">
    <w:name w:val="List Table 7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4">
    <w:name w:val="Lined - Accent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Lined - Accent 1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Lined - Accent 2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Lined - Accent 3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Lined - Accent 4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Lined - Accent 5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Lined - Accent 6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 &amp; Lined - Accent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2">
    <w:name w:val="Bordered &amp; Lined - Accent 1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3">
    <w:name w:val="Bordered &amp; Lined - Accent 2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4">
    <w:name w:val="Bordered &amp; Lined - Accent 3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5">
    <w:name w:val="Bordered &amp; Lined - Accent 4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6">
    <w:name w:val="Bordered &amp; Lined - Accent 5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7">
    <w:name w:val="Bordered &amp; Lined - Accent 6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8">
    <w:name w:val="Bordered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9">
    <w:name w:val="Bordered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0">
    <w:name w:val="Bordered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1">
    <w:name w:val="Bordered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2">
    <w:name w:val="Bordered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3">
    <w:name w:val="Bordered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4">
    <w:name w:val="Bordered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5">
    <w:name w:val="footnote text"/>
    <w:basedOn w:val="578"/>
    <w:link w:val="566"/>
    <w:uiPriority w:val="99"/>
    <w:semiHidden/>
    <w:unhideWhenUsed/>
    <w:rPr>
      <w:sz w:val="18"/>
    </w:rPr>
    <w:pPr>
      <w:spacing w:lineRule="auto" w:line="240" w:after="40"/>
    </w:pPr>
  </w:style>
  <w:style w:type="character" w:styleId="566">
    <w:name w:val="Footnote Text Char"/>
    <w:link w:val="565"/>
    <w:uiPriority w:val="99"/>
    <w:rPr>
      <w:sz w:val="18"/>
    </w:rPr>
  </w:style>
  <w:style w:type="character" w:styleId="567">
    <w:name w:val="footnote reference"/>
    <w:basedOn w:val="580"/>
    <w:uiPriority w:val="99"/>
    <w:unhideWhenUsed/>
    <w:rPr>
      <w:vertAlign w:val="superscript"/>
    </w:rPr>
  </w:style>
  <w:style w:type="paragraph" w:styleId="568">
    <w:name w:val="toc 1"/>
    <w:basedOn w:val="578"/>
    <w:next w:val="578"/>
    <w:uiPriority w:val="39"/>
    <w:unhideWhenUsed/>
    <w:pPr>
      <w:ind w:left="0" w:right="0" w:firstLine="0"/>
      <w:spacing w:after="57"/>
    </w:pPr>
  </w:style>
  <w:style w:type="paragraph" w:styleId="569">
    <w:name w:val="toc 2"/>
    <w:basedOn w:val="578"/>
    <w:next w:val="578"/>
    <w:uiPriority w:val="39"/>
    <w:unhideWhenUsed/>
    <w:pPr>
      <w:ind w:left="283" w:right="0" w:firstLine="0"/>
      <w:spacing w:after="57"/>
    </w:pPr>
  </w:style>
  <w:style w:type="paragraph" w:styleId="570">
    <w:name w:val="toc 3"/>
    <w:basedOn w:val="578"/>
    <w:next w:val="578"/>
    <w:uiPriority w:val="39"/>
    <w:unhideWhenUsed/>
    <w:pPr>
      <w:ind w:left="567" w:right="0" w:firstLine="0"/>
      <w:spacing w:after="57"/>
    </w:pPr>
  </w:style>
  <w:style w:type="paragraph" w:styleId="571">
    <w:name w:val="toc 4"/>
    <w:basedOn w:val="578"/>
    <w:next w:val="578"/>
    <w:uiPriority w:val="39"/>
    <w:unhideWhenUsed/>
    <w:pPr>
      <w:ind w:left="850" w:right="0" w:firstLine="0"/>
      <w:spacing w:after="57"/>
    </w:pPr>
  </w:style>
  <w:style w:type="paragraph" w:styleId="572">
    <w:name w:val="toc 5"/>
    <w:basedOn w:val="578"/>
    <w:next w:val="578"/>
    <w:uiPriority w:val="39"/>
    <w:unhideWhenUsed/>
    <w:pPr>
      <w:ind w:left="1134" w:right="0" w:firstLine="0"/>
      <w:spacing w:after="57"/>
    </w:pPr>
  </w:style>
  <w:style w:type="paragraph" w:styleId="573">
    <w:name w:val="toc 6"/>
    <w:basedOn w:val="578"/>
    <w:next w:val="578"/>
    <w:uiPriority w:val="39"/>
    <w:unhideWhenUsed/>
    <w:pPr>
      <w:ind w:left="1417" w:right="0" w:firstLine="0"/>
      <w:spacing w:after="57"/>
    </w:pPr>
  </w:style>
  <w:style w:type="paragraph" w:styleId="574">
    <w:name w:val="toc 7"/>
    <w:basedOn w:val="578"/>
    <w:next w:val="578"/>
    <w:uiPriority w:val="39"/>
    <w:unhideWhenUsed/>
    <w:pPr>
      <w:ind w:left="1701" w:right="0" w:firstLine="0"/>
      <w:spacing w:after="57"/>
    </w:pPr>
  </w:style>
  <w:style w:type="paragraph" w:styleId="575">
    <w:name w:val="toc 8"/>
    <w:basedOn w:val="578"/>
    <w:next w:val="578"/>
    <w:uiPriority w:val="39"/>
    <w:unhideWhenUsed/>
    <w:pPr>
      <w:ind w:left="1984" w:right="0" w:firstLine="0"/>
      <w:spacing w:after="57"/>
    </w:pPr>
  </w:style>
  <w:style w:type="paragraph" w:styleId="576">
    <w:name w:val="toc 9"/>
    <w:basedOn w:val="578"/>
    <w:next w:val="578"/>
    <w:uiPriority w:val="39"/>
    <w:unhideWhenUsed/>
    <w:pPr>
      <w:ind w:left="2268" w:right="0" w:firstLine="0"/>
      <w:spacing w:after="57"/>
    </w:pPr>
  </w:style>
  <w:style w:type="paragraph" w:styleId="577">
    <w:name w:val="TOC Heading"/>
    <w:uiPriority w:val="39"/>
    <w:unhideWhenUsed/>
  </w:style>
  <w:style w:type="paragraph" w:styleId="578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paragraph" w:styleId="579">
    <w:name w:val="Heading 4"/>
    <w:basedOn w:val="578"/>
    <w:link w:val="619"/>
    <w:qFormat/>
    <w:uiPriority w:val="9"/>
    <w:rPr>
      <w:rFonts w:ascii="Times New Roman" w:hAnsi="Times New Roman" w:cs="Times New Roman"/>
      <w:b/>
      <w:bCs/>
      <w:sz w:val="24"/>
      <w:szCs w:val="24"/>
      <w:lang w:eastAsia="ru-RU"/>
    </w:rPr>
    <w:pPr>
      <w:spacing w:lineRule="auto" w:line="240" w:after="100" w:afterAutospacing="1" w:before="100" w:beforeAutospacing="1"/>
      <w:outlineLvl w:val="3"/>
    </w:pPr>
  </w:style>
  <w:style w:type="character" w:styleId="580" w:default="1">
    <w:name w:val="Default Paragraph Font"/>
    <w:uiPriority w:val="1"/>
    <w:semiHidden/>
    <w:unhideWhenUsed/>
  </w:style>
  <w:style w:type="table" w:styleId="5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2" w:default="1">
    <w:name w:val="No List"/>
    <w:uiPriority w:val="99"/>
    <w:semiHidden/>
    <w:unhideWhenUsed/>
  </w:style>
  <w:style w:type="paragraph" w:styleId="583" w:customStyle="1">
    <w:name w:val="Char Знак Знак Char Знак Знак Char Знак Знак Char Знак Знак Знак Знак Знак Знак1 Знак"/>
    <w:basedOn w:val="578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84">
    <w:name w:val="Balloon Text"/>
    <w:basedOn w:val="578"/>
    <w:link w:val="585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5" w:customStyle="1">
    <w:name w:val="Текст выноски Знак"/>
    <w:link w:val="584"/>
    <w:uiPriority w:val="99"/>
    <w:semiHidden/>
    <w:rPr>
      <w:rFonts w:ascii="Tahoma" w:hAnsi="Tahoma" w:cs="Tahoma"/>
      <w:sz w:val="16"/>
      <w:szCs w:val="16"/>
    </w:rPr>
  </w:style>
  <w:style w:type="paragraph" w:styleId="586" w:customStyle="1">
    <w:name w:val="Абзац списка1"/>
    <w:basedOn w:val="578"/>
    <w:pPr>
      <w:ind w:left="720"/>
    </w:pPr>
  </w:style>
  <w:style w:type="paragraph" w:styleId="587">
    <w:name w:val="List Paragraph"/>
    <w:basedOn w:val="578"/>
    <w:qFormat/>
    <w:uiPriority w:val="34"/>
    <w:rPr>
      <w:rFonts w:eastAsia="Calibri"/>
    </w:rPr>
    <w:pPr>
      <w:ind w:left="720"/>
    </w:pPr>
  </w:style>
  <w:style w:type="paragraph" w:styleId="588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89" w:customStyle="1">
    <w:name w:val="Основной текст с отступом Знак"/>
    <w:link w:val="590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590">
    <w:name w:val="Body Text Indent"/>
    <w:basedOn w:val="578"/>
    <w:link w:val="589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591" w:customStyle="1">
    <w:name w:val="Body Text Indent Char1"/>
    <w:link w:val="590"/>
    <w:semiHidden/>
    <w:rPr>
      <w:rFonts w:cs="Times New Roman"/>
      <w:lang w:val="ru-RU" w:eastAsia="en-US"/>
    </w:rPr>
  </w:style>
  <w:style w:type="paragraph" w:styleId="592">
    <w:name w:val="Document Map"/>
    <w:basedOn w:val="578"/>
    <w:link w:val="593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93" w:customStyle="1">
    <w:name w:val="Схема документа Знак"/>
    <w:link w:val="592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594">
    <w:name w:val="Header"/>
    <w:basedOn w:val="578"/>
    <w:link w:val="595"/>
    <w:pPr>
      <w:tabs>
        <w:tab w:val="center" w:pos="4819" w:leader="none"/>
        <w:tab w:val="right" w:pos="9639" w:leader="none"/>
      </w:tabs>
    </w:pPr>
  </w:style>
  <w:style w:type="character" w:styleId="595" w:customStyle="1">
    <w:name w:val="Верхний колонтитул Знак"/>
    <w:link w:val="594"/>
    <w:semiHidden/>
    <w:rPr>
      <w:rFonts w:cs="Times New Roman"/>
      <w:lang w:val="ru-RU" w:eastAsia="en-US"/>
    </w:rPr>
  </w:style>
  <w:style w:type="paragraph" w:styleId="596">
    <w:name w:val="Footer"/>
    <w:basedOn w:val="578"/>
    <w:link w:val="597"/>
    <w:pPr>
      <w:tabs>
        <w:tab w:val="center" w:pos="4819" w:leader="none"/>
        <w:tab w:val="right" w:pos="9639" w:leader="none"/>
      </w:tabs>
    </w:pPr>
  </w:style>
  <w:style w:type="character" w:styleId="597" w:customStyle="1">
    <w:name w:val="Нижний колонтитул Знак"/>
    <w:link w:val="596"/>
    <w:semiHidden/>
    <w:rPr>
      <w:rFonts w:cs="Times New Roman"/>
      <w:lang w:val="ru-RU" w:eastAsia="en-US"/>
    </w:rPr>
  </w:style>
  <w:style w:type="paragraph" w:styleId="598" w:customStyle="1">
    <w:name w:val="Знак Знак3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9" w:customStyle="1">
    <w:name w:val="Нормальний текст"/>
    <w:basedOn w:val="578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600">
    <w:name w:val="Body Text Indent 3"/>
    <w:basedOn w:val="578"/>
    <w:link w:val="601"/>
    <w:rPr>
      <w:sz w:val="16"/>
      <w:szCs w:val="16"/>
    </w:rPr>
    <w:pPr>
      <w:ind w:left="283"/>
      <w:spacing w:after="120"/>
    </w:pPr>
  </w:style>
  <w:style w:type="character" w:styleId="601" w:customStyle="1">
    <w:name w:val="Основной текст с отступом 3 Знак"/>
    <w:link w:val="600"/>
    <w:semiHidden/>
    <w:rPr>
      <w:rFonts w:cs="Times New Roman"/>
      <w:sz w:val="16"/>
      <w:szCs w:val="16"/>
      <w:lang w:val="ru-RU" w:eastAsia="en-US"/>
    </w:rPr>
  </w:style>
  <w:style w:type="paragraph" w:styleId="602" w:customStyle="1">
    <w:name w:val="Знак Знак31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3" w:customStyle="1">
    <w:name w:val="Знак Знак3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4" w:customStyle="1">
    <w:name w:val="заголовок 4"/>
    <w:basedOn w:val="578"/>
    <w:next w:val="578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605" w:customStyle="1">
    <w:name w:val="rvts23"/>
    <w:basedOn w:val="580"/>
  </w:style>
  <w:style w:type="paragraph" w:styleId="606" w:customStyle="1">
    <w:name w:val="StyleZakonu"/>
    <w:basedOn w:val="578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07">
    <w:name w:val="Body Text 2"/>
    <w:basedOn w:val="578"/>
    <w:pPr>
      <w:spacing w:lineRule="auto" w:line="480" w:after="120"/>
    </w:pPr>
  </w:style>
  <w:style w:type="paragraph" w:styleId="608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9" w:customStyle="1">
    <w:name w:val="Знак Знак2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10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11" w:customStyle="1">
    <w:name w:val="Знак Знак2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2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613">
    <w:name w:val="HTML Preformatted"/>
    <w:basedOn w:val="578"/>
    <w:link w:val="614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14" w:customStyle="1">
    <w:name w:val="Стандартный HTML Знак"/>
    <w:link w:val="613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15" w:customStyle="1">
    <w:name w:val="rvps2"/>
    <w:basedOn w:val="578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16" w:customStyle="1">
    <w:name w:val="Text body"/>
    <w:basedOn w:val="578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17" w:customStyle="1">
    <w:name w:val="Список 2 Знак"/>
    <w:rPr>
      <w:sz w:val="22"/>
      <w:szCs w:val="22"/>
      <w:lang w:val="uk-UA" w:eastAsia="en-US"/>
    </w:rPr>
    <w:pPr>
      <w:spacing w:lineRule="auto" w:line="256" w:after="160"/>
    </w:pPr>
  </w:style>
  <w:style w:type="table" w:styleId="618">
    <w:name w:val="Table Grid"/>
    <w:basedOn w:val="581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19" w:customStyle="1">
    <w:name w:val="Заголовок 4 Знак"/>
    <w:basedOn w:val="580"/>
    <w:link w:val="579"/>
    <w:uiPriority w:val="9"/>
    <w:rPr>
      <w:rFonts w:ascii="Times New Roman" w:hAnsi="Times New Roman" w:eastAsia="Times New Roman"/>
      <w:b/>
      <w:bCs/>
      <w:sz w:val="24"/>
      <w:szCs w:val="24"/>
    </w:rPr>
  </w:style>
  <w:style w:type="paragraph" w:styleId="620">
    <w:name w:val="Normal (Web)"/>
    <w:basedOn w:val="578"/>
    <w:uiPriority w:val="99"/>
    <w:unhideWhenUsed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21" w:customStyle="1">
    <w:name w:val="ng-binding"/>
    <w:basedOn w:val="578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22">
    <w:name w:val="Hyperlink"/>
    <w:basedOn w:val="580"/>
    <w:uiPriority w:val="99"/>
    <w:unhideWhenUsed/>
    <w:rPr>
      <w:color w:val="0000FF"/>
      <w:u w:val="single"/>
    </w:rPr>
  </w:style>
  <w:style w:type="paragraph" w:styleId="623" w:customStyle="1">
    <w:name w:val="docdata"/>
    <w:basedOn w:val="578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6</cp:revision>
  <dcterms:created xsi:type="dcterms:W3CDTF">2021-03-11T12:49:00Z</dcterms:created>
  <dcterms:modified xsi:type="dcterms:W3CDTF">2021-03-15T12:04:35Z</dcterms:modified>
</cp:coreProperties>
</file>