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rPr>
          <w:sz w:val="28"/>
          <w:szCs w:val="28"/>
          <w:lang w:eastAsia="uk-UA"/>
        </w:rPr>
      </w:pPr>
      <w:r>
        <w:rPr>
          <w:lang w:eastAsia="uk-UA"/>
        </w:rPr>
        <w:t xml:space="preserve"> </w:t>
      </w:r>
      <w:r/>
    </w:p>
    <w:p>
      <w:pPr>
        <w:tabs>
          <w:tab w:val="left" w:pos="4535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В</w:t>
      </w:r>
      <w:r>
        <w:rPr>
          <w:sz w:val="28"/>
          <w:szCs w:val="28"/>
          <w:lang w:eastAsia="uk-UA"/>
        </w:rPr>
        <w:t xml:space="preserve">ід</w:t>
      </w:r>
      <w:r>
        <w:rPr>
          <w:sz w:val="28"/>
          <w:szCs w:val="28"/>
          <w:lang w:eastAsia="uk-UA"/>
        </w:rPr>
        <w:t xml:space="preserve"> 17 </w:t>
      </w:r>
      <w:r>
        <w:rPr>
          <w:sz w:val="28"/>
          <w:szCs w:val="28"/>
          <w:lang w:eastAsia="uk-UA"/>
        </w:rPr>
        <w:t xml:space="preserve">березня  2021 року </w:t>
        <w:tab/>
        <w:t xml:space="preserve">№ </w:t>
      </w:r>
      <w:r>
        <w:rPr>
          <w:sz w:val="28"/>
          <w:szCs w:val="28"/>
          <w:lang w:eastAsia="uk-UA"/>
        </w:rPr>
        <w:t xml:space="preserve">99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386" w:firstLine="0"/>
        <w:jc w:val="both"/>
        <w:tabs>
          <w:tab w:val="left" w:pos="4252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Положення про експертну </w:t>
      </w:r>
      <w:r>
        <w:rPr>
          <w:b/>
          <w:sz w:val="28"/>
          <w:szCs w:val="28"/>
          <w:lang w:val="uk-UA"/>
        </w:rPr>
        <w:t xml:space="preserve">к</w:t>
      </w:r>
      <w:r>
        <w:rPr>
          <w:b/>
          <w:sz w:val="28"/>
          <w:szCs w:val="28"/>
          <w:lang w:val="uk-UA"/>
        </w:rPr>
        <w:t xml:space="preserve">омісію міської ради</w:t>
      </w: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76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національний архівний фонд та архівні установи», </w:t>
      </w:r>
      <w:hyperlink w:tooltip="Current Document" w:anchor="n13" w:history="1">
        <w:r>
          <w:rPr>
            <w:rStyle w:val="563"/>
            <w:color w:val="000000" w:themeColor="text1"/>
            <w:sz w:val="28"/>
            <w:szCs w:val="28"/>
            <w:u w:val="none"/>
            <w:lang w:val="uk-UA"/>
          </w:rPr>
          <w:t xml:space="preserve">Типови</w:t>
        </w:r>
        <w:r>
          <w:rPr>
            <w:rStyle w:val="563"/>
            <w:color w:val="000000" w:themeColor="text1"/>
            <w:sz w:val="28"/>
            <w:szCs w:val="28"/>
            <w:u w:val="none"/>
            <w:lang w:val="uk-UA"/>
          </w:rPr>
          <w:t xml:space="preserve">м</w:t>
        </w:r>
        <w:r>
          <w:rPr>
            <w:rStyle w:val="563"/>
            <w:color w:val="000000" w:themeColor="text1"/>
            <w:sz w:val="28"/>
            <w:szCs w:val="28"/>
            <w:u w:val="none"/>
            <w:lang w:val="uk-UA"/>
          </w:rPr>
          <w:t xml:space="preserve"> положення</w:t>
        </w:r>
        <w:r>
          <w:rPr>
            <w:rStyle w:val="563"/>
            <w:color w:val="000000" w:themeColor="text1"/>
            <w:sz w:val="28"/>
            <w:szCs w:val="28"/>
            <w:u w:val="none"/>
            <w:lang w:val="uk-UA"/>
          </w:rPr>
          <w:t xml:space="preserve">м</w:t>
        </w:r>
        <w:r>
          <w:rPr>
            <w:rStyle w:val="563"/>
            <w:color w:val="000000" w:themeColor="text1"/>
            <w:sz w:val="28"/>
            <w:szCs w:val="28"/>
            <w:u w:val="none"/>
            <w:lang w:val="uk-UA"/>
          </w:rPr>
          <w:t xml:space="preserve"> про експертну комісію державного органу, органу місцевого самоврядування, державного і комунального підприємства, установи та організації</w:t>
        </w:r>
      </w:hyperlink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затвердженим </w:t>
      </w:r>
      <w:r>
        <w:rPr>
          <w:color w:val="000000" w:themeColor="text1"/>
          <w:sz w:val="28"/>
          <w:szCs w:val="28"/>
          <w:lang w:val="uk-UA"/>
        </w:rPr>
        <w:t xml:space="preserve">наказом </w:t>
      </w:r>
      <w:r>
        <w:rPr>
          <w:color w:val="000000" w:themeColor="text1"/>
          <w:sz w:val="28"/>
          <w:szCs w:val="28"/>
          <w:lang w:val="uk-UA"/>
        </w:rPr>
        <w:t xml:space="preserve">Міністерства</w:t>
      </w:r>
      <w:r>
        <w:rPr>
          <w:color w:val="000000" w:themeColor="text1"/>
          <w:sz w:val="28"/>
          <w:szCs w:val="28"/>
          <w:lang w:val="uk-UA"/>
        </w:rPr>
        <w:t xml:space="preserve"> юстиції </w:t>
      </w:r>
      <w:r>
        <w:rPr>
          <w:color w:val="000000" w:themeColor="text1"/>
          <w:sz w:val="28"/>
          <w:szCs w:val="28"/>
          <w:lang w:val="uk-UA"/>
        </w:rPr>
        <w:t xml:space="preserve">України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19 червня 2013 року № </w:t>
      </w:r>
      <w:r>
        <w:rPr>
          <w:color w:val="000000" w:themeColor="text1"/>
          <w:sz w:val="28"/>
          <w:u w:val="none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1227/5</w:t>
      </w:r>
      <w:r>
        <w:rPr>
          <w:color w:val="000000" w:themeColor="text1"/>
          <w:sz w:val="28"/>
          <w:szCs w:val="28"/>
          <w:lang w:val="uk-UA"/>
        </w:rPr>
        <w:t xml:space="preserve">:</w:t>
      </w:r>
      <w:r>
        <w:rPr>
          <w:color w:val="000000" w:themeColor="text1"/>
        </w:rPr>
      </w:r>
      <w:r/>
    </w:p>
    <w:p>
      <w:pPr>
        <w:pStyle w:val="406"/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Затвердити Положення про експертну комісію </w:t>
      </w:r>
      <w:r>
        <w:rPr>
          <w:color w:val="000000" w:themeColor="text1"/>
          <w:sz w:val="28"/>
          <w:szCs w:val="28"/>
          <w:lang w:val="uk-UA"/>
        </w:rPr>
        <w:t xml:space="preserve">Менської 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  <w:lang w:val="uk-UA"/>
        </w:rPr>
        <w:t xml:space="preserve">міської ради згідно додатку (додається).</w:t>
      </w:r>
      <w:r>
        <w:rPr>
          <w:color w:val="000000" w:themeColor="text1"/>
        </w:rPr>
      </w:r>
      <w:r/>
    </w:p>
    <w:p>
      <w:pPr>
        <w:pStyle w:val="406"/>
        <w:numPr>
          <w:ilvl w:val="0"/>
          <w:numId w:val="1"/>
        </w:numPr>
        <w:ind w:left="0" w:right="0" w:firstLine="709"/>
        <w:jc w:val="both"/>
        <w:spacing w:lineRule="auto" w:line="276"/>
        <w:tabs>
          <w:tab w:val="left" w:pos="992" w:leader="none"/>
        </w:tabs>
        <w:rPr>
          <w:b w:val="false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Визнати таким, що втратило чинність</w:t>
      </w:r>
      <w:r>
        <w:rPr>
          <w:color w:val="000000" w:themeColor="text1"/>
          <w:sz w:val="28"/>
          <w:szCs w:val="28"/>
          <w:lang w:val="uk-UA"/>
        </w:rPr>
        <w:t xml:space="preserve"> розпорядження міського голови від 22 січня 2019 року № 15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Про 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Положення про експертну 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к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омісію міської ради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 та </w:t>
      </w:r>
      <w:r>
        <w:rPr>
          <w:b w:val="false"/>
          <w:color w:val="000000" w:themeColor="text1"/>
          <w:sz w:val="28"/>
          <w:szCs w:val="28"/>
          <w:lang w:val="uk-UA"/>
        </w:rPr>
        <w:t xml:space="preserve">розпорядження міського голови від 06 січня 2021 року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b w:val="false"/>
          <w:color w:val="000000" w:themeColor="text1"/>
          <w:sz w:val="28"/>
        </w:rPr>
        <w:t xml:space="preserve">Про внесення змін до розпорядження міського голови від 22 січня 2019 року № 15</w:t>
      </w:r>
      <w:r>
        <w:rPr>
          <w:b w:val="false"/>
          <w:color w:val="000000" w:themeColor="text1"/>
          <w:sz w:val="28"/>
        </w:rPr>
        <w:t xml:space="preserve">»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/>
    </w:p>
    <w:p>
      <w:pPr>
        <w:pStyle w:val="565"/>
        <w:ind w:left="5669" w:right="0" w:firstLine="0"/>
        <w:jc w:val="both"/>
        <w:spacing w:after="0" w:afterAutospacing="0" w:before="0" w:beforeAutospacing="0"/>
        <w:shd w:val="clear" w:color="auto" w:fill="FFFFFF"/>
        <w:tabs>
          <w:tab w:val="left" w:pos="3260" w:leader="none"/>
          <w:tab w:val="left" w:pos="4819" w:leader="none"/>
        </w:tabs>
        <w:rPr>
          <w:rStyle w:val="566"/>
          <w:b w:val="false"/>
          <w:bCs/>
          <w:color w:val="000000"/>
          <w:sz w:val="28"/>
          <w:szCs w:val="32"/>
        </w:rPr>
      </w:pPr>
      <w:r>
        <w:rPr>
          <w:rStyle w:val="566"/>
          <w:b w:val="false"/>
          <w:bCs/>
          <w:color w:val="000000"/>
          <w:sz w:val="28"/>
          <w:szCs w:val="32"/>
        </w:rPr>
        <w:t xml:space="preserve">Додаток </w:t>
      </w:r>
      <w:r/>
    </w:p>
    <w:p>
      <w:pPr>
        <w:pStyle w:val="565"/>
        <w:ind w:left="5669" w:right="0" w:firstLine="0"/>
        <w:jc w:val="both"/>
        <w:spacing w:after="0" w:afterAutospacing="0" w:before="0" w:beforeAutospacing="0"/>
        <w:shd w:val="clear" w:color="auto" w:fill="FFFFFF"/>
        <w:tabs>
          <w:tab w:val="left" w:pos="3260" w:leader="none"/>
          <w:tab w:val="left" w:pos="4819" w:leader="none"/>
        </w:tabs>
        <w:rPr>
          <w:rStyle w:val="566"/>
          <w:b w:val="false"/>
          <w:color w:val="000000"/>
          <w:sz w:val="28"/>
          <w:szCs w:val="32"/>
        </w:rPr>
      </w:pPr>
      <w:r>
        <w:rPr>
          <w:rStyle w:val="566"/>
          <w:b w:val="false"/>
          <w:bCs/>
          <w:color w:val="000000"/>
          <w:sz w:val="28"/>
          <w:szCs w:val="32"/>
        </w:rPr>
        <w:t xml:space="preserve">до розпорядження</w:t>
      </w:r>
      <w:r>
        <w:rPr>
          <w:b w:val="false"/>
          <w:sz w:val="28"/>
        </w:rPr>
      </w:r>
      <w:r/>
    </w:p>
    <w:p>
      <w:pPr>
        <w:pStyle w:val="565"/>
        <w:ind w:left="5669" w:right="0" w:firstLine="0"/>
        <w:jc w:val="both"/>
        <w:spacing w:after="0" w:afterAutospacing="0" w:before="0" w:beforeAutospacing="0"/>
        <w:shd w:val="clear" w:color="auto" w:fill="FFFFFF"/>
        <w:tabs>
          <w:tab w:val="left" w:pos="3260" w:leader="none"/>
          <w:tab w:val="left" w:pos="4819" w:leader="none"/>
        </w:tabs>
        <w:rPr>
          <w:rStyle w:val="566"/>
          <w:b w:val="false"/>
          <w:bCs/>
          <w:color w:val="000000"/>
          <w:sz w:val="28"/>
          <w:szCs w:val="32"/>
        </w:rPr>
      </w:pPr>
      <w:r>
        <w:rPr>
          <w:rStyle w:val="566"/>
          <w:b w:val="false"/>
          <w:bCs/>
          <w:color w:val="000000"/>
          <w:sz w:val="28"/>
          <w:szCs w:val="32"/>
        </w:rPr>
        <w:t xml:space="preserve">м</w:t>
      </w:r>
      <w:r>
        <w:rPr>
          <w:rStyle w:val="566"/>
          <w:b w:val="false"/>
          <w:bCs/>
          <w:color w:val="000000"/>
          <w:sz w:val="28"/>
          <w:szCs w:val="32"/>
        </w:rPr>
        <w:t xml:space="preserve">іського </w:t>
      </w:r>
      <w:r>
        <w:rPr>
          <w:rStyle w:val="566"/>
          <w:b w:val="false"/>
          <w:bCs/>
          <w:color w:val="000000"/>
          <w:sz w:val="28"/>
          <w:szCs w:val="32"/>
        </w:rPr>
        <w:t xml:space="preserve">голови </w:t>
      </w:r>
      <w:r>
        <w:rPr>
          <w:rStyle w:val="566"/>
          <w:b w:val="false"/>
          <w:bCs/>
          <w:color w:val="000000"/>
          <w:sz w:val="28"/>
          <w:szCs w:val="32"/>
        </w:rPr>
        <w:t xml:space="preserve">від 17 березня 2021 року № 99 </w:t>
      </w:r>
      <w:r>
        <w:t xml:space="preserve">«</w:t>
      </w:r>
      <w:r>
        <w:rPr>
          <w:b w:val="false"/>
          <w:sz w:val="28"/>
          <w:szCs w:val="28"/>
          <w:lang w:val="uk-UA"/>
        </w:rPr>
        <w:t xml:space="preserve">Про Положення про експертну </w:t>
      </w:r>
      <w:r>
        <w:rPr>
          <w:b w:val="false"/>
          <w:sz w:val="28"/>
          <w:szCs w:val="28"/>
          <w:lang w:val="uk-UA"/>
        </w:rPr>
        <w:t xml:space="preserve">к</w:t>
      </w:r>
      <w:r>
        <w:rPr>
          <w:b w:val="false"/>
          <w:sz w:val="28"/>
          <w:szCs w:val="28"/>
          <w:lang w:val="uk-UA"/>
        </w:rPr>
        <w:t xml:space="preserve">омісію міської ради</w:t>
      </w:r>
      <w:r>
        <w:t xml:space="preserve">»</w:t>
      </w:r>
      <w:r>
        <w:rPr>
          <w:rStyle w:val="566"/>
          <w:b w:val="false"/>
          <w:bCs/>
          <w:color w:val="000000"/>
          <w:sz w:val="28"/>
          <w:szCs w:val="32"/>
        </w:rPr>
      </w:r>
      <w:r/>
    </w:p>
    <w:p>
      <w:pPr>
        <w:pStyle w:val="565"/>
        <w:ind w:left="0" w:right="450" w:firstLine="709"/>
        <w:jc w:val="center"/>
        <w:spacing w:after="450" w:afterAutospacing="0" w:before="300" w:beforeAutospacing="0"/>
        <w:shd w:val="clear" w:color="auto" w:fill="FFFFFF"/>
        <w:rPr>
          <w:b/>
          <w:bCs/>
          <w:color w:val="000000"/>
          <w:sz w:val="28"/>
          <w:szCs w:val="32"/>
        </w:rPr>
      </w:pPr>
      <w:r>
        <w:rPr>
          <w:rStyle w:val="566"/>
          <w:b/>
          <w:bCs/>
          <w:color w:val="000000"/>
          <w:sz w:val="28"/>
          <w:szCs w:val="32"/>
        </w:rPr>
        <w:t xml:space="preserve">ПОЛОЖЕННЯ </w:t>
      </w:r>
      <w:r>
        <w:rPr>
          <w:color w:val="000000"/>
          <w:sz w:val="28"/>
        </w:rPr>
        <w:br/>
      </w:r>
      <w:r>
        <w:rPr>
          <w:rStyle w:val="566"/>
          <w:b/>
          <w:bCs/>
          <w:color w:val="000000"/>
          <w:sz w:val="28"/>
          <w:szCs w:val="32"/>
        </w:rPr>
        <w:t xml:space="preserve">про експертну комісію Менської міської ради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" w:name="n14"/>
      <w:r>
        <w:rPr>
          <w:sz w:val="28"/>
        </w:rPr>
      </w:r>
      <w:bookmarkEnd w:id="1"/>
      <w:r>
        <w:rPr>
          <w:color w:val="000000"/>
          <w:sz w:val="28"/>
        </w:rPr>
        <w:t xml:space="preserve">1. Відповідно д</w:t>
      </w:r>
      <w:r>
        <w:rPr>
          <w:color w:val="auto"/>
          <w:sz w:val="28"/>
          <w:u w:val="none"/>
        </w:rPr>
        <w:t xml:space="preserve">о </w:t>
      </w:r>
      <w:hyperlink r:id="rId9" w:history="1">
        <w:r>
          <w:rPr>
            <w:rStyle w:val="563"/>
            <w:color w:val="auto"/>
            <w:sz w:val="28"/>
            <w:u w:val="none"/>
          </w:rPr>
          <w:t xml:space="preserve">Закону України «Про Національний архівний фонд та архівні установи»</w:t>
        </w:r>
      </w:hyperlink>
      <w:r>
        <w:rPr>
          <w:color w:val="auto"/>
          <w:sz w:val="28"/>
          <w:u w:val="none"/>
        </w:rPr>
        <w:t xml:space="preserve"> і </w:t>
      </w:r>
      <w:hyperlink r:id="rId10" w:history="1">
        <w:r>
          <w:rPr>
            <w:rStyle w:val="563"/>
            <w:color w:val="auto"/>
            <w:sz w:val="28"/>
            <w:u w:val="none"/>
          </w:rPr>
          <w:t xml:space="preserve">Порядку утворення та діяльності комісій з проведення експертизи цінності документів</w:t>
        </w:r>
      </w:hyperlink>
      <w:r>
        <w:rPr>
          <w:sz w:val="28"/>
        </w:rPr>
        <w:t xml:space="preserve">, </w:t>
      </w:r>
      <w:r>
        <w:rPr>
          <w:color w:val="000000"/>
          <w:sz w:val="28"/>
        </w:rPr>
        <w:t xml:space="preserve">затвердженого постановою Кабінету Міністрів України від 08 серпня 2007 року № 1004, Менська міська рада утворює експертну комісію (далі - ЕК) для орган</w:t>
      </w:r>
      <w:r>
        <w:rPr>
          <w:color w:val="000000"/>
          <w:sz w:val="28"/>
        </w:rPr>
        <w:t xml:space="preserve">ізації і проведення експертизи цінності документів, що утворилися в діловодстві юридичної особи, та подання результатів експертизи цінності документів на розгляд ЕК архівного сектору Менської райдержадміністрації, у зоні комплектування якої вона перебуває.</w:t>
      </w:r>
      <w:r>
        <w:rPr>
          <w:sz w:val="28"/>
        </w:rPr>
      </w:r>
      <w:r/>
    </w:p>
    <w:p>
      <w:pPr>
        <w:pStyle w:val="567"/>
        <w:ind w:left="0" w:right="45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" w:name="n15"/>
      <w:r>
        <w:rPr>
          <w:sz w:val="28"/>
        </w:rPr>
      </w:r>
      <w:bookmarkEnd w:id="2"/>
      <w:r>
        <w:rPr>
          <w:color w:val="000000"/>
          <w:sz w:val="28"/>
        </w:rPr>
        <w:t xml:space="preserve">2. ЕК є постійно діючим органом міської ради.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3" w:name="n16"/>
      <w:r>
        <w:rPr>
          <w:sz w:val="28"/>
        </w:rPr>
      </w:r>
      <w:bookmarkEnd w:id="3"/>
      <w:r>
        <w:rPr>
          <w:color w:val="000000"/>
          <w:sz w:val="28"/>
        </w:rPr>
        <w:t xml:space="preserve">3. У своїй діяльності ЕК керується</w:t>
      </w:r>
      <w:r>
        <w:rPr>
          <w:color w:val="auto"/>
          <w:sz w:val="28"/>
          <w:u w:val="none"/>
        </w:rPr>
        <w:t xml:space="preserve"> </w:t>
      </w:r>
      <w:hyperlink r:id="rId11" w:history="1">
        <w:r>
          <w:rPr>
            <w:rStyle w:val="563"/>
            <w:color w:val="auto"/>
            <w:sz w:val="28"/>
            <w:u w:val="none"/>
          </w:rPr>
          <w:t xml:space="preserve">Конституцією</w:t>
        </w:r>
      </w:hyperlink>
      <w:r>
        <w:rPr>
          <w:color w:val="000000"/>
          <w:sz w:val="28"/>
        </w:rPr>
        <w:t xml:space="preserve"> і законами України, указами Президента Украї</w:t>
      </w:r>
      <w:r>
        <w:rPr>
          <w:color w:val="000000"/>
          <w:sz w:val="28"/>
        </w:rPr>
        <w:t xml:space="preserve">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4" w:name="n42"/>
      <w:r>
        <w:rPr>
          <w:sz w:val="28"/>
        </w:rPr>
      </w:r>
      <w:bookmarkStart w:id="5" w:name="n17"/>
      <w:r>
        <w:rPr>
          <w:sz w:val="28"/>
        </w:rPr>
      </w:r>
      <w:bookmarkEnd w:id="4"/>
      <w:r>
        <w:rPr>
          <w:sz w:val="28"/>
        </w:rPr>
      </w:r>
      <w:bookmarkEnd w:id="5"/>
      <w:r>
        <w:rPr>
          <w:color w:val="000000"/>
          <w:sz w:val="28"/>
        </w:rPr>
        <w:t xml:space="preserve">4. До складу ЕК, який затверджується міським головою, входять керівник служби діловодства та </w:t>
      </w:r>
      <w:r>
        <w:rPr>
          <w:color w:val="000000"/>
          <w:sz w:val="28"/>
        </w:rPr>
        <w:t xml:space="preserve">особа, відповідальна за архів, секретар міської ради, керуючий справами виконкому міської ради, </w:t>
      </w:r>
      <w:r>
        <w:rPr>
          <w:color w:val="auto"/>
          <w:sz w:val="28"/>
        </w:rPr>
        <w:t xml:space="preserve">завідувач сектору Трудовий архів міської рад</w:t>
      </w:r>
      <w:r>
        <w:rPr>
          <w:sz w:val="28"/>
        </w:rPr>
        <w:t xml:space="preserve">и, </w:t>
      </w:r>
      <w:r>
        <w:rPr>
          <w:color w:val="000000"/>
          <w:sz w:val="28"/>
        </w:rPr>
        <w:t xml:space="preserve">працівники структурних підрозділів міської ради, а також представник </w:t>
      </w:r>
      <w:r>
        <w:rPr>
          <w:color w:val="auto"/>
          <w:sz w:val="28"/>
        </w:rPr>
        <w:t xml:space="preserve">ЕК архівного відділу Корюківської райдержадміністрації,</w:t>
      </w:r>
      <w:r>
        <w:rPr>
          <w:color w:val="000000"/>
          <w:sz w:val="28"/>
        </w:rPr>
        <w:t xml:space="preserve"> у зоні комплектування яких вона перебуває (за згодою).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sz w:val="28"/>
        </w:rPr>
      </w:pPr>
      <w:r>
        <w:rPr>
          <w:sz w:val="28"/>
        </w:rPr>
      </w:r>
      <w:bookmarkStart w:id="6" w:name="n18"/>
      <w:r>
        <w:rPr>
          <w:sz w:val="28"/>
        </w:rPr>
      </w:r>
      <w:bookmarkEnd w:id="6"/>
      <w:r>
        <w:rPr>
          <w:color w:val="000000"/>
          <w:sz w:val="28"/>
        </w:rPr>
        <w:t xml:space="preserve">Головою ЕК призначається, як правило, заступник міського голови або секретар міської ради, а секретарем - особа відповідальна за архів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7" w:name="n19"/>
      <w:r>
        <w:rPr>
          <w:sz w:val="28"/>
        </w:rPr>
      </w:r>
      <w:bookmarkEnd w:id="7"/>
      <w:r>
        <w:rPr>
          <w:color w:val="000000"/>
          <w:sz w:val="28"/>
        </w:rPr>
        <w:t xml:space="preserve">5. Секретар ЕК за рішенням </w:t>
      </w:r>
      <w:r>
        <w:rPr>
          <w:color w:val="000000"/>
          <w:sz w:val="28"/>
        </w:rPr>
        <w:t xml:space="preserve">голови забезпечує скликання засідань комісії, складає протоколи, доводить до відома структурних підрозділів міської ради та окремих осіб рішення комісії, здійснює облік і звітність про проведену роботу, веде документацію ЕК і забезпечує її збереженість.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8" w:name="n20"/>
      <w:r>
        <w:rPr>
          <w:sz w:val="28"/>
        </w:rPr>
      </w:r>
      <w:bookmarkEnd w:id="8"/>
      <w:r>
        <w:rPr>
          <w:color w:val="000000"/>
          <w:sz w:val="28"/>
        </w:rPr>
        <w:t xml:space="preserve">6. ЕК працює відповідно до річного плану, який затверджує міський голова, і звітує перед ним про проведену роботу.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9" w:name="n21"/>
      <w:r>
        <w:rPr>
          <w:sz w:val="28"/>
        </w:rPr>
      </w:r>
      <w:bookmarkEnd w:id="9"/>
      <w:r>
        <w:rPr>
          <w:color w:val="000000"/>
          <w:sz w:val="28"/>
        </w:rPr>
        <w:t xml:space="preserve">7. Завданнями ЕК міської ради є організація та проведення спільно зі службою діловодства експертизи цінності документів, що утворилися в діловодстві міської ради, розгляд питань про </w:t>
      </w:r>
      <w:r>
        <w:rPr>
          <w:color w:val="000000"/>
          <w:sz w:val="28"/>
        </w:rPr>
        <w:t xml:space="preserve">долучення</w:t>
      </w:r>
      <w:r>
        <w:rPr>
          <w:color w:val="000000"/>
          <w:sz w:val="28"/>
        </w:rPr>
        <w:t xml:space="preserve"> до архівних документів, спростування недостовірних відомостей про особу, що містяться в таких документах.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0" w:name="n43"/>
      <w:r>
        <w:rPr>
          <w:sz w:val="28"/>
        </w:rPr>
      </w:r>
      <w:bookmarkStart w:id="11" w:name="n22"/>
      <w:r>
        <w:rPr>
          <w:sz w:val="28"/>
        </w:rPr>
      </w:r>
      <w:bookmarkEnd w:id="10"/>
      <w:r>
        <w:rPr>
          <w:sz w:val="28"/>
        </w:rPr>
      </w:r>
      <w:bookmarkEnd w:id="11"/>
      <w:r>
        <w:rPr>
          <w:color w:val="000000"/>
          <w:sz w:val="28"/>
        </w:rPr>
        <w:t xml:space="preserve">8. ЕК міської ради приймає рішення про: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2" w:name="n23"/>
      <w:r>
        <w:rPr>
          <w:sz w:val="28"/>
        </w:rPr>
      </w:r>
      <w:bookmarkEnd w:id="12"/>
      <w:r>
        <w:rPr>
          <w:color w:val="000000"/>
          <w:sz w:val="28"/>
        </w:rPr>
        <w:t xml:space="preserve">схвалення і подання до ЕК арх</w:t>
      </w:r>
      <w:r>
        <w:rPr>
          <w:color w:val="000000"/>
          <w:sz w:val="28"/>
        </w:rPr>
        <w:t xml:space="preserve">івного відділу Корюківської </w:t>
      </w:r>
      <w:r>
        <w:rPr>
          <w:color w:val="auto"/>
          <w:sz w:val="28"/>
        </w:rPr>
        <w:t xml:space="preserve">райдержадміністрації</w:t>
      </w:r>
      <w:r>
        <w:rPr>
          <w:color w:val="000000"/>
          <w:sz w:val="28"/>
        </w:rPr>
        <w:t xml:space="preserve"> проектів таких документів: описи справ постійного зберігання, внесені до Національного архівного </w:t>
      </w:r>
      <w:r>
        <w:rPr>
          <w:color w:val="000000"/>
          <w:sz w:val="28"/>
        </w:rPr>
        <w:t xml:space="preserve">фонду (далі - НАФ), описи справ з кадрових питань (особового складу), номенклатури справ, інструкції з діловодства</w:t>
      </w:r>
      <w:r>
        <w:rPr>
          <w:color w:val="000000"/>
          <w:sz w:val="28"/>
        </w:rPr>
        <w:t xml:space="preserve">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3" w:name="n44"/>
      <w:r>
        <w:rPr>
          <w:sz w:val="28"/>
        </w:rPr>
      </w:r>
      <w:bookmarkStart w:id="14" w:name="n24"/>
      <w:r>
        <w:rPr>
          <w:sz w:val="28"/>
        </w:rPr>
      </w:r>
      <w:bookmarkEnd w:id="13"/>
      <w:r>
        <w:rPr>
          <w:sz w:val="28"/>
        </w:rPr>
      </w:r>
      <w:bookmarkEnd w:id="14"/>
      <w:r>
        <w:rPr>
          <w:color w:val="000000"/>
          <w:sz w:val="28"/>
        </w:rPr>
        <w:t xml:space="preserve">схвалення і подання до ЕПК державного архіву переліків проєктів проблем (тем), науково-технічна документація яких підлягає внесенню до НАФ;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5" w:name="n25"/>
      <w:r>
        <w:rPr>
          <w:sz w:val="28"/>
        </w:rPr>
      </w:r>
      <w:bookmarkEnd w:id="15"/>
      <w:r>
        <w:rPr>
          <w:color w:val="000000"/>
          <w:sz w:val="28"/>
        </w:rPr>
        <w:t xml:space="preserve"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6" w:name="n45"/>
      <w:r>
        <w:rPr>
          <w:sz w:val="28"/>
        </w:rPr>
      </w:r>
      <w:bookmarkStart w:id="17" w:name="n26"/>
      <w:r>
        <w:rPr>
          <w:sz w:val="28"/>
        </w:rPr>
      </w:r>
      <w:bookmarkStart w:id="18" w:name="n27"/>
      <w:r>
        <w:rPr>
          <w:sz w:val="28"/>
        </w:rPr>
      </w:r>
      <w:bookmarkEnd w:id="16"/>
      <w:r>
        <w:rPr>
          <w:sz w:val="28"/>
        </w:rPr>
      </w:r>
      <w:bookmarkEnd w:id="17"/>
      <w:r>
        <w:rPr>
          <w:sz w:val="28"/>
        </w:rPr>
      </w:r>
      <w:bookmarkEnd w:id="18"/>
      <w:r>
        <w:rPr>
          <w:color w:val="000000"/>
          <w:sz w:val="28"/>
        </w:rPr>
        <w:t xml:space="preserve">9. Для виконання покладених на ЕК завдань їй надається право: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9" w:name="n28"/>
      <w:r>
        <w:rPr>
          <w:sz w:val="28"/>
        </w:rPr>
      </w:r>
      <w:bookmarkEnd w:id="19"/>
      <w:r>
        <w:rPr>
          <w:color w:val="000000"/>
          <w:sz w:val="28"/>
        </w:rPr>
        <w:t xml:space="preserve">контролювати дотримання структурними підрозділами міської ради, окремими працівниками, відповідальними за організацію документів у діловодстві, установлених вимог щодо розробки </w:t>
      </w:r>
      <w:r>
        <w:rPr>
          <w:color w:val="000000"/>
          <w:sz w:val="28"/>
        </w:rPr>
        <w:t xml:space="preserve">номенклатур</w:t>
      </w:r>
      <w:r>
        <w:rPr>
          <w:color w:val="000000"/>
          <w:sz w:val="28"/>
        </w:rPr>
        <w:t xml:space="preserve"> справ, формування справ, експертизи цінності документів, упорядкування та оформлення документів;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0" w:name="n29"/>
      <w:r>
        <w:rPr>
          <w:sz w:val="28"/>
        </w:rPr>
      </w:r>
      <w:bookmarkEnd w:id="20"/>
      <w:r>
        <w:rPr>
          <w:color w:val="000000"/>
          <w:sz w:val="28"/>
        </w:rPr>
        <w:t xml:space="preserve">вимагати від структурних підрозділів міської ради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1" w:name="n30"/>
      <w:r>
        <w:rPr>
          <w:sz w:val="28"/>
        </w:rPr>
      </w:r>
      <w:bookmarkEnd w:id="21"/>
      <w:r>
        <w:rPr>
          <w:color w:val="000000"/>
          <w:sz w:val="28"/>
        </w:rPr>
        <w:t xml:space="preserve">одержувати від структурних підрозділів міської ради відомості та пропозиції, необхідні для проведення експертизи цінності документів;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sz w:val="28"/>
        </w:rPr>
      </w:pPr>
      <w:r>
        <w:rPr>
          <w:sz w:val="28"/>
        </w:rPr>
      </w:r>
      <w:bookmarkStart w:id="22" w:name="n31"/>
      <w:r>
        <w:rPr>
          <w:sz w:val="28"/>
        </w:rPr>
      </w:r>
      <w:bookmarkEnd w:id="22"/>
      <w:r>
        <w:rPr>
          <w:sz w:val="28"/>
        </w:rP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</w:t>
      </w:r>
      <w:bookmarkStart w:id="23" w:name="n32"/>
      <w:r>
        <w:rPr>
          <w:sz w:val="28"/>
        </w:rPr>
      </w:r>
      <w:bookmarkEnd w:id="23"/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заслуховувати на своїх засіданнях керівників структурних підрозділів міської ради про стан підготовки документів до архівного зберігання і забезпечення збереженості документів, про причини втрати документів;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4" w:name="n33"/>
      <w:r>
        <w:rPr>
          <w:sz w:val="28"/>
        </w:rPr>
      </w:r>
      <w:bookmarkEnd w:id="24"/>
      <w:r>
        <w:rPr>
          <w:color w:val="000000"/>
          <w:sz w:val="28"/>
        </w:rPr>
        <w:t xml:space="preserve">запрошувати на засідання як консультантів та експертів фахівців структурних підрозділів міської ради, а в разі необхідності працівників архівного сектору Менської райдержадміністрації ;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5" w:name="n34"/>
      <w:r>
        <w:rPr>
          <w:sz w:val="28"/>
        </w:rPr>
      </w:r>
      <w:bookmarkEnd w:id="25"/>
      <w:r>
        <w:rPr>
          <w:color w:val="000000"/>
          <w:sz w:val="28"/>
        </w:rPr>
        <w:t xml:space="preserve">інформувати керівництво міської ради з питань, що входять до компетенції ЕК.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6" w:name="n35"/>
      <w:r>
        <w:rPr>
          <w:sz w:val="28"/>
        </w:rPr>
      </w:r>
      <w:bookmarkEnd w:id="26"/>
      <w:r>
        <w:rPr>
          <w:color w:val="000000"/>
          <w:sz w:val="28"/>
        </w:rPr>
        <w:t xml:space="preserve"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7" w:name="n36"/>
      <w:r>
        <w:rPr>
          <w:sz w:val="28"/>
        </w:rPr>
      </w:r>
      <w:bookmarkEnd w:id="27"/>
      <w:r>
        <w:rPr>
          <w:color w:val="000000"/>
          <w:sz w:val="28"/>
        </w:rPr>
        <w:t xml:space="preserve">11. Рішення ЕК пр</w:t>
      </w:r>
      <w:r>
        <w:rPr>
          <w:color w:val="000000"/>
          <w:sz w:val="28"/>
        </w:rPr>
        <w:t xml:space="preserve">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 міським головою.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spacing w:after="15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8" w:name="n37"/>
      <w:r>
        <w:rPr>
          <w:sz w:val="28"/>
        </w:rPr>
      </w:r>
      <w:bookmarkEnd w:id="28"/>
      <w:r>
        <w:rPr>
          <w:color w:val="000000"/>
          <w:sz w:val="28"/>
        </w:rPr>
        <w:t xml:space="preserve">12. У разі відмови міського голови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  <w:r>
        <w:rPr>
          <w:sz w:val="28"/>
        </w:rPr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9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9"/>
    <w:next w:val="559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0"/>
    <w:link w:val="408"/>
    <w:uiPriority w:val="10"/>
    <w:rPr>
      <w:sz w:val="48"/>
      <w:szCs w:val="48"/>
    </w:rPr>
  </w:style>
  <w:style w:type="paragraph" w:styleId="410">
    <w:name w:val="Subtitle"/>
    <w:basedOn w:val="559"/>
    <w:next w:val="559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0"/>
    <w:link w:val="410"/>
    <w:uiPriority w:val="11"/>
    <w:rPr>
      <w:sz w:val="24"/>
      <w:szCs w:val="24"/>
    </w:rPr>
  </w:style>
  <w:style w:type="paragraph" w:styleId="412">
    <w:name w:val="Quote"/>
    <w:basedOn w:val="559"/>
    <w:next w:val="559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9"/>
    <w:next w:val="559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59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0"/>
    <w:link w:val="416"/>
    <w:uiPriority w:val="99"/>
  </w:style>
  <w:style w:type="paragraph" w:styleId="418">
    <w:name w:val="Footer"/>
    <w:basedOn w:val="559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0"/>
    <w:link w:val="418"/>
    <w:uiPriority w:val="99"/>
  </w:style>
  <w:style w:type="table" w:styleId="420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>
    <w:name w:val="Hyperlink"/>
    <w:basedOn w:val="560"/>
    <w:uiPriority w:val="99"/>
    <w:unhideWhenUsed/>
    <w:rPr>
      <w:color w:val="0563C1" w:themeColor="hyperlink"/>
      <w:u w:val="single"/>
    </w:rPr>
  </w:style>
  <w:style w:type="character" w:styleId="564" w:customStyle="1">
    <w:name w:val="Unresolved Mention"/>
    <w:basedOn w:val="560"/>
    <w:uiPriority w:val="99"/>
    <w:semiHidden/>
    <w:unhideWhenUsed/>
    <w:rPr>
      <w:color w:val="605E5C"/>
      <w:shd w:val="clear" w:color="auto" w:fill="E1DFDD"/>
    </w:rPr>
  </w:style>
  <w:style w:type="paragraph" w:styleId="565" w:customStyle="1">
    <w:name w:val="rvps6"/>
    <w:basedOn w:val="559"/>
    <w:rPr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566" w:customStyle="1">
    <w:name w:val="rvts23"/>
    <w:basedOn w:val="560"/>
  </w:style>
  <w:style w:type="paragraph" w:styleId="567" w:customStyle="1">
    <w:name w:val="rvps2"/>
    <w:basedOn w:val="559"/>
    <w:rPr>
      <w:sz w:val="24"/>
      <w:szCs w:val="24"/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zakon.rada.gov.ua/laws/show/3814-12" TargetMode="External"/><Relationship Id="rId10" Type="http://schemas.openxmlformats.org/officeDocument/2006/relationships/hyperlink" Target="https://zakon.rada.gov.ua/laws/show/1004-2007-%D0%BF" TargetMode="External"/><Relationship Id="rId11" Type="http://schemas.openxmlformats.org/officeDocument/2006/relationships/hyperlink" Target="https://zakon.rada.gov.ua/laws/show/254%D0%BA/96-%D0%B2%D1%80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Офіс">
        <a:dk1>
          <a:sysClr val="windowText" lastClr="000000"/>
        </a:dk1>
        <a:lt1>
          <a:sysClr val="window" lastClr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9</cp:revision>
  <dcterms:created xsi:type="dcterms:W3CDTF">2019-02-15T08:21:00Z</dcterms:created>
  <dcterms:modified xsi:type="dcterms:W3CDTF">2021-03-19T07:47:08Z</dcterms:modified>
</cp:coreProperties>
</file>