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0"/>
          <w:szCs w:val="28"/>
          <w:lang w:val="ru-RU"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Від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17 березня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 2021 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 xml:space="preserve">року</w:t>
      </w:r>
      <w:r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ru-RU" w:bidi="hi-IN" w:eastAsia="hi-IN"/>
        </w:rPr>
        <w:t xml:space="preserve">№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98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4977"/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4"/>
          <w:lang w:eastAsia="ru-RU"/>
        </w:rPr>
        <w:t xml:space="preserve"> </w:t>
      </w:r>
      <w:r/>
    </w:p>
    <w:p>
      <w:pPr>
        <w:ind w:left="0" w:right="623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склад експертної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комісії міської ради</w:t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 зв'язку з кадровими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змінами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апараті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та ліквідацією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архівного відділу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Менської райдержадміністрації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керуючись Законом України «Про Національний архівний фонд та архівні установи», Порядком утворення та діяльності експертних комісій з проведення експертизи ці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нності документів, затвердженим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постановою Кабінету Міністрів України від 08 серпня 2007 року № 1004 (із змінами):</w:t>
      </w:r>
      <w:r>
        <w:rPr>
          <w:color w:val="000000" w:themeColor="text1"/>
        </w:rPr>
      </w:r>
      <w:r/>
    </w:p>
    <w:p>
      <w:pPr>
        <w:pStyle w:val="406"/>
        <w:numPr>
          <w:ilvl w:val="0"/>
          <w:numId w:val="1"/>
        </w:numPr>
        <w:ind w:left="709" w:right="0" w:firstLine="0"/>
        <w:jc w:val="both"/>
        <w:spacing w:lineRule="auto" w:line="276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Затвердити експертну комісію міської ради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слідуючому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складі:</w:t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Голова комісії: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Стальниченко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Ю.В.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секретар Менської міської ради.</w:t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Заступник голови комісії: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Л.О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керуючий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справами виконкому Менської міської ради.</w:t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Секретар комісії: Четвертакова Н.В.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головний спеціаліст відділу документування та забезпечення діяльності апарату Менської міської ради.</w:t>
      </w:r>
      <w:r/>
    </w:p>
    <w:p>
      <w:pPr>
        <w:ind w:left="0" w:right="-17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Члени комісії: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lineRule="auto" w:line="276" w:after="0"/>
        <w:tabs>
          <w:tab w:val="right" w:pos="9638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Биховець Л.В.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завідувач сектору трудовий архів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;</w:t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 w:cs="Times New Roman" w:eastAsia="Times New Roman"/>
          <w:i w:val="false"/>
          <w:color w:val="auto"/>
        </w:rPr>
      </w:pPr>
      <w:r>
        <w:rPr>
          <w:rFonts w:ascii="Times New Roman" w:hAnsi="Times New Roman" w:cs="Times New Roman" w:eastAsia="Times New Roman"/>
          <w:i w:val="false"/>
          <w:color w:val="auto"/>
          <w:sz w:val="28"/>
          <w:szCs w:val="28"/>
          <w:lang w:eastAsia="ru-RU"/>
        </w:rPr>
        <w:t xml:space="preserve">Ви</w:t>
      </w:r>
      <w:r>
        <w:rPr>
          <w:rFonts w:ascii="Times New Roman" w:hAnsi="Times New Roman" w:cs="Times New Roman" w:eastAsia="Times New Roman"/>
          <w:i w:val="false"/>
          <w:color w:val="auto"/>
          <w:sz w:val="28"/>
          <w:szCs w:val="28"/>
          <w:lang w:eastAsia="ru-RU"/>
        </w:rPr>
        <w:t xml:space="preserve">шняк Т.Ф.</w:t>
      </w:r>
      <w:r>
        <w:rPr>
          <w:rFonts w:ascii="Times New Roman" w:hAnsi="Times New Roman" w:cs="Times New Roman" w:eastAsia="Times New Roman"/>
          <w:i w:val="false"/>
          <w:color w:val="auto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 w:eastAsia="Times New Roman"/>
          <w:i w:val="false"/>
          <w:color w:val="auto"/>
          <w:sz w:val="28"/>
          <w:szCs w:val="28"/>
          <w:lang w:eastAsia="ru-RU"/>
        </w:rPr>
        <w:t xml:space="preserve"> головний спеціаліст архівного відділу Корюківської районної держ</w:t>
      </w:r>
      <w:r>
        <w:rPr>
          <w:rFonts w:ascii="Times New Roman" w:hAnsi="Times New Roman" w:cs="Times New Roman" w:eastAsia="Times New Roman"/>
          <w:i w:val="false"/>
          <w:color w:val="auto"/>
          <w:sz w:val="28"/>
          <w:szCs w:val="28"/>
          <w:lang w:eastAsia="ru-RU"/>
        </w:rPr>
        <w:t xml:space="preserve">авної адміністрації (за згодою);</w:t>
      </w:r>
      <w:r>
        <w:rPr>
          <w:i w:val="false"/>
          <w:color w:val="auto"/>
        </w:rPr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Гречуха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О.П.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провідний спеціаліст відділу документування та забезпечення діяльності апарату Менської міської ради;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Дем’яненко О.В.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заступник 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відділу документування та забезпечення діяльності апарату Менської міської ради;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left="0" w:right="0" w:firstLine="709"/>
        <w:jc w:val="both"/>
        <w:spacing w:lineRule="auto" w:line="276" w:after="0"/>
        <w:tabs>
          <w:tab w:val="center" w:pos="4819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Жураковська А.В.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начальник відділу документування та забезпечення діяльності апарату Менської міської ради.</w:t>
      </w:r>
      <w:r>
        <w:tab/>
      </w:r>
      <w:r/>
    </w:p>
    <w:p>
      <w:pPr>
        <w:ind w:firstLine="708"/>
        <w:spacing w:lineRule="auto" w:line="276" w:after="0"/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Вважати таким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що втратило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чинність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озпорядження міського голови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від 06 січня 2021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ru-RU"/>
        </w:rPr>
        <w:t xml:space="preserve">№ 8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ru-RU"/>
        </w:rPr>
        <w:t xml:space="preserve">Про склад експертної 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ru-RU"/>
        </w:rPr>
        <w:t xml:space="preserve">комісії міської ради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  <w:lang w:eastAsia="ru-RU"/>
        </w:rPr>
        <w:t xml:space="preserve">.</w:t>
      </w:r>
      <w:r>
        <w:rPr>
          <w:b w:val="false"/>
          <w:color w:val="auto"/>
        </w:rPr>
      </w:r>
      <w:r/>
    </w:p>
    <w:p>
      <w:pPr>
        <w:ind w:firstLine="708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708"/>
        <w:spacing w:lineRule="auto" w:line="276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7087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15</cp:revision>
  <dcterms:created xsi:type="dcterms:W3CDTF">2021-01-06T12:58:00Z</dcterms:created>
  <dcterms:modified xsi:type="dcterms:W3CDTF">2021-03-18T06:00:54Z</dcterms:modified>
</cp:coreProperties>
</file>