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rFonts w:ascii="Times New Roman" w:hAnsi="Times New Roman" w:eastAsia="Times New Roman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lang w:val="uk-UA"/>
        </w:rPr>
      </w:r>
    </w:p>
    <w:p>
      <w:pPr>
        <w:pStyle w:val="688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УКРАЇНА</w:t>
      </w:r>
      <w:r>
        <w:rPr>
          <w:lang w:val="uk-UA"/>
        </w:rPr>
      </w:r>
    </w:p>
    <w:p>
      <w:pPr>
        <w:pStyle w:val="688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lang w:val="uk-UA"/>
        </w:rPr>
      </w:r>
    </w:p>
    <w:p>
      <w:pPr>
        <w:pStyle w:val="688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lang w:val="uk-UA"/>
        </w:rPr>
      </w:r>
    </w:p>
    <w:p>
      <w:pPr>
        <w:pStyle w:val="688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>
        <w:rPr>
          <w:lang w:val="uk-UA"/>
        </w:rPr>
      </w:r>
    </w:p>
    <w:p>
      <w:pPr>
        <w:pStyle w:val="688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lang w:val="uk-UA"/>
        </w:rPr>
      </w:r>
    </w:p>
    <w:p>
      <w:pPr>
        <w:pStyle w:val="688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26 лютого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№64 </w:t>
      </w:r>
      <w:r>
        <w:rPr>
          <w:lang w:val="uk-UA"/>
        </w:rPr>
      </w:r>
    </w:p>
    <w:p>
      <w:pPr>
        <w:pStyle w:val="688"/>
        <w:ind w:right="5244"/>
        <w:jc w:val="both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фінансову підтримку громадських об’єднань ветеранів Менської міської територіальної громади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Керуючись підпунктом «е» пункту 3 ч. 1 ст. 91 Бюджетного кодексу України, беручи до уваги 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Закони України «Про статус ветеранів війни, гарантії їх соціального захис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ту», «Про соціальний захист дітей війни», «Про жертви нацистських переслідувань», «Про соціальний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відповідно до рішення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Менської міської ради від 23.12.2020 № 62 «Про бюджет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Менської міської територіальної громади на 2021 рік» зі змінами та доповненнями, з метою забезпечення цільового використання коштів бюджету Менської міської територіальної громади, для створення належних умов підтримки громадських організацій, що працюють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на території Менської міської територіальної громади, які виконують соціальну, патріотичну, виховну, історичну та інші важливі функції, враховуючи пропозиції депутатів міської ради по результатах спільного засідання постійних комісій, Менська міська рада </w:t>
      </w:r>
      <w:r>
        <w:rPr>
          <w:lang w:val="uk-UA"/>
        </w:rPr>
      </w:r>
    </w:p>
    <w:p>
      <w:pPr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t xml:space="preserve">ВИРІШИЛА:</w:t>
      </w:r>
      <w:r>
        <w:rPr>
          <w:lang w:val="uk-UA"/>
        </w:rPr>
      </w:r>
    </w:p>
    <w:p>
      <w:pPr>
        <w:pStyle w:val="534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Затвердити Програму фінансової підтримки громадських об’єднань ветеранів Менської міської територіальної громади на 2021 рік (додаток 1).</w:t>
      </w:r>
      <w:r>
        <w:rPr>
          <w:lang w:val="uk-UA"/>
        </w:rPr>
      </w:r>
    </w:p>
    <w:p>
      <w:pPr>
        <w:pStyle w:val="534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Затвердити Порядок використання коштів, передбачених в бюджеті Менської міської територіальної громади для надання фінансової підтримки громадським об’єднанням ветеранів (додаток 2).</w:t>
      </w:r>
      <w:r>
        <w:rPr>
          <w:lang w:val="uk-UA"/>
        </w:rPr>
      </w:r>
    </w:p>
    <w:p>
      <w:pPr>
        <w:pStyle w:val="534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Вважати такими, що втратили чинність рішення Менської міської ради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 23.12.2020 № 34 «Про затвердження Програми підтримки громадських організацій інвалідів та ветеранів на 2021 рік», від 26.12.2019 № 678 «Про Програму фінансової підтримки діяльності Менської територіальної організації воїнів-афганців на 2020-2022 роки».</w:t>
      </w:r>
      <w:r>
        <w:rPr>
          <w:lang w:val="uk-UA"/>
        </w:rPr>
      </w:r>
    </w:p>
    <w:p>
      <w:pPr>
        <w:pStyle w:val="534"/>
        <w:numPr>
          <w:ilvl w:val="0"/>
          <w:numId w:val="3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Контроль за виконанням рішення покласти на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постійну комісію міської ради з питань охорони здоров’я, соціального захисту населення, освіти, культури, молоді, фізкультури і спорту, постійну комісію міської ради з питань планування, фінансів, бюджету на соціально-економічного розвитку та заступників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міського голови з питань діяльності виконкому Менської міської ради В.В.Прищепу і С.М.Гаєвого.</w:t>
      </w:r>
      <w:r>
        <w:rPr>
          <w:lang w:val="uk-UA"/>
        </w:rPr>
      </w:r>
    </w:p>
    <w:p>
      <w:pPr>
        <w:jc w:val="both"/>
        <w:spacing w:before="85"/>
        <w:tabs>
          <w:tab w:val="left" w:pos="1134" w:leader="none"/>
          <w:tab w:val="left" w:pos="6236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ab/>
        <w:t xml:space="preserve">Г.А.Примаков</w:t>
      </w:r>
      <w:r>
        <w:rPr>
          <w:rFonts w:ascii="Times New Roman" w:hAnsi="Times New Roman" w:eastAsia="Times New Roman"/>
          <w:bCs/>
          <w:sz w:val="28"/>
          <w:szCs w:val="20"/>
          <w:lang w:val="uk-UA"/>
        </w:rPr>
        <w:br w:type="page"/>
      </w:r>
      <w:r>
        <w:rPr>
          <w:lang w:val="uk-UA"/>
        </w:rPr>
      </w:r>
    </w:p>
    <w:p>
      <w:pPr>
        <w:pStyle w:val="688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Додаток 1 </w:t>
      </w:r>
      <w:r>
        <w:rPr>
          <w:lang w:val="uk-UA"/>
        </w:rPr>
      </w:r>
    </w:p>
    <w:p>
      <w:pPr>
        <w:pStyle w:val="688"/>
        <w:ind w:left="566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8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8"/>
          <w:szCs w:val="20"/>
          <w:lang w:val="uk-UA"/>
        </w:rPr>
        <w:t xml:space="preserve">до рішення 3 сесії Менської міської ради 8 скликання від 26.02.2021 № 64 «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0"/>
          <w:lang w:val="uk-UA" w:eastAsia="ru-RU"/>
        </w:rPr>
        <w:t xml:space="preserve">Про фінансову підтримку громадських об’єднань ветеранів Менської міської територіальної громади»</w:t>
      </w:r>
      <w:r>
        <w:rPr>
          <w:lang w:val="uk-UA"/>
        </w:rPr>
      </w:r>
    </w:p>
    <w:p>
      <w:pPr>
        <w:pStyle w:val="68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</w:r>
      <w:r>
        <w:rPr>
          <w:lang w:val="uk-UA"/>
        </w:rPr>
      </w:r>
    </w:p>
    <w:p>
      <w:pPr>
        <w:pStyle w:val="688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</w:r>
      <w:r>
        <w:rPr>
          <w:lang w:val="uk-UA"/>
        </w:rPr>
      </w:r>
    </w:p>
    <w:p>
      <w:pPr>
        <w:pStyle w:val="688"/>
        <w:ind w:right="5102"/>
        <w:jc w:val="center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32"/>
          <w:szCs w:val="32"/>
          <w:lang w:val="uk-UA"/>
        </w:rPr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iCs/>
          <w:sz w:val="32"/>
          <w:szCs w:val="32"/>
          <w:lang w:val="uk-UA"/>
        </w:rPr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sz w:val="32"/>
          <w:szCs w:val="32"/>
          <w:lang w:val="uk-UA"/>
        </w:rPr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sz w:val="32"/>
          <w:szCs w:val="32"/>
          <w:lang w:val="uk-UA"/>
        </w:rPr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sz w:val="32"/>
          <w:szCs w:val="32"/>
          <w:lang w:val="uk-UA"/>
        </w:rPr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sz w:val="32"/>
          <w:szCs w:val="32"/>
          <w:lang w:val="uk-UA"/>
        </w:rPr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iCs/>
          <w:sz w:val="32"/>
          <w:szCs w:val="32"/>
          <w:lang w:val="uk-UA"/>
        </w:rPr>
        <w:t xml:space="preserve">ПРОГРАМА</w:t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iCs/>
          <w:sz w:val="32"/>
          <w:szCs w:val="32"/>
          <w:lang w:val="uk-UA"/>
        </w:rPr>
        <w:t xml:space="preserve">ФІНАНСОВОЇ </w:t>
      </w:r>
      <w:r>
        <w:rPr>
          <w:rFonts w:ascii="Times New Roman" w:hAnsi="Times New Roman" w:eastAsia="Times New Roman"/>
          <w:b/>
          <w:iCs/>
          <w:sz w:val="32"/>
          <w:szCs w:val="32"/>
          <w:lang w:val="uk-UA"/>
        </w:rPr>
        <w:t xml:space="preserve">ПІДТРИМКИ ГРОМАДСЬКИХ </w:t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iCs/>
          <w:sz w:val="32"/>
          <w:szCs w:val="32"/>
          <w:lang w:val="uk-UA"/>
        </w:rPr>
        <w:t xml:space="preserve">ОБ’ЄДНАНЬ</w:t>
      </w:r>
      <w:r>
        <w:rPr>
          <w:rFonts w:ascii="Times New Roman" w:hAnsi="Times New Roman" w:eastAsia="Times New Roman"/>
          <w:b/>
          <w:iCs/>
          <w:sz w:val="32"/>
          <w:szCs w:val="32"/>
          <w:lang w:val="uk-UA"/>
        </w:rPr>
        <w:t xml:space="preserve"> ВЕТЕРАНІВ</w:t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iCs/>
          <w:sz w:val="32"/>
          <w:szCs w:val="32"/>
          <w:lang w:val="uk-UA"/>
        </w:rPr>
        <w:t xml:space="preserve">МЕНСЬКОЇ МІСЬКОЇ ТЕРИТОРІАЛЬНОЇ ГРОМАДИ</w:t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iCs/>
          <w:sz w:val="32"/>
          <w:szCs w:val="32"/>
          <w:lang w:val="uk-UA"/>
        </w:rPr>
      </w:pPr>
      <w:r>
        <w:rPr>
          <w:rFonts w:ascii="Times New Roman" w:hAnsi="Times New Roman" w:eastAsia="Times New Roman"/>
          <w:b/>
          <w:iCs/>
          <w:sz w:val="32"/>
          <w:szCs w:val="32"/>
          <w:lang w:val="uk-UA"/>
        </w:rPr>
        <w:t xml:space="preserve">НА 2021 РІК</w:t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65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>
        <w:rPr>
          <w:lang w:val="uk-UA"/>
        </w:rPr>
      </w:r>
    </w:p>
    <w:p>
      <w:pPr>
        <w:ind w:left="720" w:right="717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  <w:t xml:space="preserve">м. Мена</w:t>
      </w:r>
      <w:r>
        <w:rPr>
          <w:lang w:val="uk-UA"/>
        </w:rPr>
      </w:r>
    </w:p>
    <w:p>
      <w:pPr>
        <w:ind w:left="720" w:right="714"/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  <w:t xml:space="preserve">202</w:t>
      </w:r>
      <w:r>
        <w:rPr>
          <w:rFonts w:ascii="Times New Roman" w:hAnsi="Times New Roman" w:eastAsia="Times New Roman"/>
          <w:lang w:val="uk-UA"/>
        </w:rPr>
        <w:t xml:space="preserve">1 </w:t>
      </w:r>
      <w:r>
        <w:rPr>
          <w:rFonts w:ascii="Times New Roman" w:hAnsi="Times New Roman" w:eastAsia="Times New Roman"/>
          <w:lang w:val="uk-UA"/>
        </w:rPr>
        <w:t xml:space="preserve">рік</w:t>
      </w:r>
      <w:r>
        <w:rPr>
          <w:lang w:val="uk-UA"/>
        </w:rPr>
      </w:r>
    </w:p>
    <w:p>
      <w:pPr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  <w:br w:type="page"/>
      </w:r>
      <w:r>
        <w:rPr>
          <w:lang w:val="uk-UA"/>
        </w:rPr>
      </w:r>
    </w:p>
    <w:p>
      <w:pPr>
        <w:numPr>
          <w:ilvl w:val="0"/>
          <w:numId w:val="26"/>
        </w:numPr>
        <w:ind w:left="0" w:right="496"/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ПАСПОРТ ПРОГРАМИ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ФІНАНСОВОЇ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ПІДТРИМКИ ГРОМАДСЬКИХ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ОБ’ЄДНАНЬ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ВЕТЕРАНІВ НА 2021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РІК</w:t>
      </w:r>
      <w:r>
        <w:rPr>
          <w:lang w:val="uk-UA"/>
        </w:rPr>
      </w:r>
    </w:p>
    <w:tbl>
      <w:tblPr>
        <w:tblStyle w:val="719"/>
        <w:tblW w:w="9675" w:type="dxa"/>
        <w:tblInd w:w="-31" w:type="dxa"/>
        <w:tblLayout w:type="fixed"/>
        <w:tblCellMar>
          <w:left w:w="110" w:type="dxa"/>
          <w:top w:w="11" w:type="dxa"/>
          <w:right w:w="41" w:type="dxa"/>
        </w:tblCellMar>
        <w:tblLook w:val="04A0" w:firstRow="1" w:lastRow="0" w:firstColumn="1" w:lastColumn="0" w:noHBand="0" w:noVBand="1"/>
      </w:tblPr>
      <w:tblGrid>
        <w:gridCol w:w="626"/>
        <w:gridCol w:w="3307"/>
        <w:gridCol w:w="5742"/>
      </w:tblGrid>
      <w:tr>
        <w:trPr>
          <w:trHeight w:val="6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1.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Ініціатор розроблення Програми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</w:tr>
      <w:tr>
        <w:trPr>
          <w:trHeight w:val="36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2.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Дата, номер і назва документу, на підставі яких розроблена Програма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2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Закони України «Про статус ветеранів війни, їх соціального захисту», «Про соціальний захист дітей війни», «Про жертви нацистських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ереслідувань»,  «Про соціальний захист громадян, постраждалих внаслідок Чорнобильської катастрофи», «Про правовий статус та вшанування пам’яті борців за незалежність України у ХХ столітті», Указ Президента України «Про основні засади соціального захисту ве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теранів праці та інших громадян похилого віку в Україні» від 16.12.1993 № 3721-ХІІ, розпорядження Кабінету Міністрів України «Про заходи з увічнення пам’яті захисників України на період до 2025 року»  від 20.01.2021 № 37-р, Бюджетний кодекс України та інші</w:t>
            </w:r>
            <w:r>
              <w:rPr>
                <w:lang w:val="uk-UA"/>
              </w:rPr>
            </w:r>
          </w:p>
        </w:tc>
      </w:tr>
      <w:tr>
        <w:trPr>
          <w:trHeight w:val="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3.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Розробник Програми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Відділ охорони здоров’я та соціального захисту населення Менської міської ради</w:t>
            </w:r>
            <w:r>
              <w:rPr>
                <w:lang w:val="uk-UA"/>
              </w:rPr>
            </w:r>
          </w:p>
        </w:tc>
      </w:tr>
      <w:tr>
        <w:trPr>
          <w:trHeight w:val="3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4.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Співрозробники Програми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uk-UA" w:bidi="ar-SA" w:eastAsia="ru-RU"/>
              </w:rPr>
              <w:t xml:space="preserve">Фінансове управління, Відділ  бухгалтерського обліку та звітності Менської міської ради, громадські об’єднання ветеранів</w:t>
            </w:r>
            <w:r>
              <w:rPr>
                <w:lang w:val="uk-UA"/>
              </w:rPr>
            </w:r>
          </w:p>
        </w:tc>
      </w:tr>
      <w:tr>
        <w:trPr>
          <w:trHeight w:val="5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5.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Відповідальний виконавець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Менська міська рада</w:t>
            </w:r>
            <w:r>
              <w:rPr>
                <w:lang w:val="uk-UA"/>
              </w:rPr>
            </w:r>
          </w:p>
        </w:tc>
      </w:tr>
      <w:tr>
        <w:trPr>
          <w:trHeight w:val="44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6.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Учасники Програми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Менська міська рада, </w:t>
            </w:r>
            <w:r>
              <w:rPr>
                <w:lang w:val="uk-UA"/>
              </w:rPr>
            </w:r>
          </w:p>
          <w:p>
            <w:pPr>
              <w:ind w:right="419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громадські об’єднання ветеранів </w:t>
            </w:r>
            <w:r>
              <w:rPr>
                <w:lang w:val="uk-UA"/>
              </w:rPr>
            </w:r>
          </w:p>
        </w:tc>
      </w:tr>
      <w:tr>
        <w:trPr>
          <w:trHeight w:val="3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7.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Термін реалізації Програми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2021 рік</w:t>
            </w:r>
            <w:r>
              <w:rPr>
                <w:lang w:val="uk-UA"/>
              </w:rPr>
            </w:r>
          </w:p>
        </w:tc>
      </w:tr>
      <w:tr>
        <w:trPr>
          <w:trHeight w:val="12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6" w:type="dxa"/>
            <w:textDirection w:val="lrTb"/>
            <w:noWrap/>
          </w:tcPr>
          <w:p>
            <w:pPr>
              <w:ind w:right="62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8.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0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Загальний орієнтований обсяг ресурсів, необхідних для реалізації Програми, всього </w:t>
            </w:r>
            <w:r>
              <w:rPr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38" w:type="dxa"/>
            <w:textDirection w:val="lrTb"/>
            <w:noWrap/>
          </w:tcPr>
          <w:p>
            <w:pPr>
              <w:ind w:right="419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120 тис. грн</w:t>
            </w:r>
            <w:r>
              <w:rPr>
                <w:lang w:val="uk-UA"/>
              </w:rPr>
            </w:r>
          </w:p>
        </w:tc>
      </w:tr>
    </w:tbl>
    <w:p>
      <w:pPr>
        <w:ind w:left="65"/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numPr>
          <w:ilvl w:val="0"/>
          <w:numId w:val="26"/>
        </w:numPr>
        <w:ind w:left="0" w:right="496"/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br w:type="page"/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ВИЗНАЧЕННЯ ПРОБЛЕМ, НА РОЗВ’ЯЗАННЯ ЯКИХ СПРЯМОВАНА ПРОГРАМА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Програма спрямована на фінансову підтримку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громадських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організацій,що діють на території Менської міської територіальної громади, які об’єднують ветеранів Другої світової війни,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ветеранів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праці, дітей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війни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інвалідів, громадян похилого віку, учасників бойових дій на території інших держав,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ліквідаторів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аварії на Чорнобильській АЕС, в’язнів-жертв нацизму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учасників бойових дій в АТО/ООС, ветеранів військової служби та служби в інших силових структурах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Актуальність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цієї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обумовлена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потребою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вдосконалення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системи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підтримки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ветеранських об’єднань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забезпечення та механізму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їх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діяльності, підвищенні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ролі та авторитету щодо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участі у громадському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житті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громади.  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розрахована на розв’язання проблем в напрямку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всебічного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законних прав, соціальних, економічних, вікових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інтересів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відповідних категорій громадян, на проведення заходів з відзначення святкових, пам’ятних та історичних дат,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 відвідування військових поховань і військових пам’ятників, вшанування ветеранів війни, жертв нацистських переслідувань та політичних репресій, захистом незалежності, суверенітету та територіальної цілісності України тощо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 </w:t>
      </w:r>
      <w:r>
        <w:rPr>
          <w:lang w:val="uk-UA"/>
        </w:rPr>
      </w:r>
    </w:p>
    <w:p>
      <w:pPr>
        <w:numPr>
          <w:ilvl w:val="0"/>
          <w:numId w:val="26"/>
        </w:numPr>
        <w:ind w:left="0" w:right="496"/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ЗАВДАННЯ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ТА ЗАХОДИ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ПРОГРАМИ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ою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рограми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найважливіших проблем розвитку та діяльності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громадських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захист прав і свобод, задоволення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політичних, економічних, соціальних, культурних та інших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інтересів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членів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також на вирішення питання популяризації їх діяльності, активізацію громадського життя, проведення заходів, спрямованих на патріотичне виховання, історичний та духовний розвиток жителів громади.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Досягнення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зазначеної мети здійснюється шляхом реалізації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Кошти, передбачені на реалізацію Програми, спрямовуються громадським об’єднанням ветеранів та можуть використовуватись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відповідними напрямками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наступні заходи: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1) відзначення святкових, пам’ятних та історичних дат, пов’язаних з вшануванням та увічненням пам’яті ветеранів війни, жертв нацистськ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их переслідувань та політичних репресій, захистом незалежності, суверенітету та територіальної цілісності України, формуванням соборності та державності, проголошенням незалежності України, а також відвідування військових поховань і військових пам’ятників;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)проведення конференцій, пленумів, тренінгів, курсів, навчальних семінарів, засідань «круглого столу», спеціалізованих фестивалів, виставок, концертів, вечорів відпочинку, конкурсів та оглядів за участю творчих колективів громадських організацій ветеранів;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3)проведення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спортивних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заходів (змагань, чемпіонатів тощо), а також реабілітаційних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заходів (запрошення реабілітологів, психологів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зустрічі з відповідними категоріями громадян в рамках Програми, оплата їх послуг);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4)проведення інформаційно-просвітницьких заходів;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5)проведення заходів з військово-патріотичного виховання, організація зустрічей з ветеранами, відвідування музеїв, місць бойової слави тощо;</w:t>
      </w:r>
      <w:r>
        <w:rPr>
          <w:lang w:val="uk-UA"/>
        </w:rPr>
      </w:r>
    </w:p>
    <w:p>
      <w:pPr>
        <w:ind w:left="-15" w:firstLine="711"/>
        <w:jc w:val="both"/>
        <w:tabs>
          <w:tab w:val="left" w:pos="1134" w:leader="none"/>
        </w:tabs>
        <w:rPr>
          <w:rFonts w:ascii="Times New Roman" w:hAnsi="Times New Roman" w:eastAsia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6)розроблення та виготовлення періодичних, довідкових, інформаційних, аналітичних та методичних видань з питань соціального захисту, реабілітації, соціалізації, адаптації, працевлаштування (без права їх подальшого використання в комерційних цілях);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t xml:space="preserve">7)сприяння увічненню Перемоги у Другій світовій війні, збереження пам’ятників і меморі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t xml:space="preserve">алів захисникам Вітчизни, видатним людям праці, науки, культури; участі у героїко-патріотичному вихованні молоді на кращих традиціях старших поколінь з метою прищеплення поваги до культурного і духовного надбання батьків, збереження спадкоємності поколінь;</w:t>
      </w:r>
      <w:r>
        <w:rPr>
          <w:rFonts w:ascii="Times New Roman" w:hAnsi="Times New Roman" w:eastAsia="Times New Roman"/>
          <w:sz w:val="28"/>
          <w:szCs w:val="28"/>
          <w:lang w:val="uk-UA"/>
        </w:rPr>
        <w:br/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tab/>
        <w:t xml:space="preserve">8)підтримання розвитку художньої самодіяльності, фізичної культури серед ветеранів, інвалідів;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t xml:space="preserve">9)придбання квіткової продукції (вінків, квітів), сувенірної продукції, призів, книжок тощо;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)адміністративні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витрати на організаційне та матеріально-технічне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виконання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 (проєктів, заходів)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рамках їх статутних завдань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а саме: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оплата праці (матеріальне заохочення) представників громадських об’єднань ветеранів (в обсягах, що не перевищує  розміру мінімальної заробітної плати на місяць);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оренда нежитлових приміщень у разі відсутності власних приміщень громадських об’єднань, або надання їм безоплатно таких приміщень у встановленому порядку;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-оплата комунальних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послуг у межах середніх норм споживання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приміщень (</w:t>
      </w:r>
      <w:hyperlink w:tooltip="Current Document" w:anchor="n502" w:history="1">
        <w:r>
          <w:rPr>
            <w:rStyle w:val="674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статті 20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Закону України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«Про статус ветеранів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війни, гарантії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їх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соціального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захисту»), в яких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громадське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об’єднання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провадить свою статутну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діяльність;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придбання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канцелярських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товарів;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послуги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зв’язку та обслуговування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оргтехніки;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- оплата транспортних послуг;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)інші заходи, передбачені  статут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ветеранської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організації, які не мають на меті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отримання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прибутку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</w:p>
    <w:p>
      <w:pPr>
        <w:pStyle w:val="698"/>
        <w:ind w:firstLine="303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бюджетних коштів на інші цілі забороняється.</w:t>
      </w:r>
      <w:r>
        <w:rPr>
          <w:lang w:val="uk-UA"/>
        </w:rPr>
      </w:r>
    </w:p>
    <w:p>
      <w:pPr>
        <w:pStyle w:val="698"/>
        <w:ind w:firstLine="303"/>
        <w:jc w:val="both"/>
        <w:spacing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br w:type="page"/>
      </w:r>
      <w:r>
        <w:rPr>
          <w:lang w:val="uk-UA"/>
        </w:rPr>
      </w:r>
    </w:p>
    <w:p>
      <w:pPr>
        <w:numPr>
          <w:ilvl w:val="0"/>
          <w:numId w:val="26"/>
        </w:numPr>
        <w:ind w:left="0" w:right="496"/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ФІНАНСОВЕ ЗАБЕЗПЕЧЕННЯ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ПРОГРАМИ</w:t>
      </w:r>
      <w:r>
        <w:rPr>
          <w:lang w:val="uk-UA"/>
        </w:rPr>
      </w:r>
    </w:p>
    <w:p>
      <w:pPr>
        <w:ind w:left="-15" w:firstLine="711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здійснюється в межах асигнувань, передбачених в бюджеті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2021 рік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інших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джерел, не заборонених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законодавством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При цьому обсяг коштів визначається міською радою під час формування бюджету з урахуванням його фінансових можливостей та може змінюватись в процесі виконання бюджету при внесенні змін до нього.   </w:t>
      </w:r>
      <w:r>
        <w:rPr>
          <w:lang w:val="uk-UA"/>
        </w:rPr>
      </w:r>
    </w:p>
    <w:p>
      <w:pPr>
        <w:ind w:left="-15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Витрачання коштів громадськими організаціями здійснюється на реалізацію заходів, передбачених розділом 3 даної Програми відповідно до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Порядку використання коштів, передбачених в бюджеті Менської міської територіальної громади для надання фінансової підтримки громадським об’єднанням ветеранів.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</w:r>
      <w:r>
        <w:rPr>
          <w:lang w:val="uk-UA"/>
        </w:rPr>
      </w:r>
    </w:p>
    <w:p>
      <w:pPr>
        <w:ind w:left="-15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  <w:t xml:space="preserve">Фінансова підтримка громадських об’єднань ветеранів надається громадським організаціям, діяльність яких поширюється на територію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Менської міської територіальної громади з врахуванням особливостей розвитку в громаді ветеранського руху, активності і ефективності діяльності громадських організацій ветеранського спрямування, а також кількості учасників (членів) громадської організації. </w:t>
      </w:r>
      <w:r>
        <w:rPr>
          <w:lang w:val="uk-UA"/>
        </w:rPr>
      </w:r>
    </w:p>
    <w:p>
      <w:pPr>
        <w:ind w:left="-15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ab/>
        <w:t xml:space="preserve">Обсяги фінансування Програми на 2021 рік на конкретні заходи підтримки громадських об’єднань ветеранів визначені у Додатку до даної Програми. </w:t>
      </w:r>
      <w:r>
        <w:rPr>
          <w:lang w:val="uk-UA"/>
        </w:rPr>
      </w:r>
    </w:p>
    <w:p>
      <w:pPr>
        <w:ind w:left="-15"/>
        <w:jc w:val="both"/>
        <w:tabs>
          <w:tab w:val="center" w:pos="4485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ab/>
      </w:r>
      <w:r>
        <w:rPr>
          <w:lang w:val="uk-UA"/>
        </w:rPr>
      </w:r>
    </w:p>
    <w:p>
      <w:pPr>
        <w:numPr>
          <w:ilvl w:val="0"/>
          <w:numId w:val="26"/>
        </w:numPr>
        <w:ind w:left="0" w:right="496"/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ОЧІКУВАНІ РЕЗУЛЬТАТИ  ВИКОНАННЯ ПРОГРАМИ </w:t>
      </w:r>
      <w:r>
        <w:rPr>
          <w:lang w:val="uk-UA"/>
        </w:rPr>
      </w:r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абезпечення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фінансової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підтримки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громадських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; </w:t>
      </w:r>
      <w:r>
        <w:rPr>
          <w:lang w:val="uk-UA"/>
        </w:rPr>
      </w:r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створення умов для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всебічного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захисту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законних прав, соціальних, економічних, вікових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інтересів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відповідних категорій громадян;</w:t>
      </w:r>
      <w:r>
        <w:rPr>
          <w:lang w:val="uk-UA"/>
        </w:rPr>
      </w:r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забезпечення взаємодії між громадськими об’єднаннями ветеранів та Менською міською радою з метою вирішення спільних завдань та реалізації спільних заходів;</w:t>
      </w:r>
      <w:r>
        <w:rPr>
          <w:lang w:val="uk-UA"/>
        </w:rPr>
      </w:r>
    </w:p>
    <w:p>
      <w:pPr>
        <w:numPr>
          <w:ilvl w:val="0"/>
          <w:numId w:val="28"/>
        </w:numPr>
        <w:ind w:left="0"/>
        <w:jc w:val="both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активізація діяльності громадських організацій у громаді, зростання ролі громадськості у життєдіяльності територіальної громади.</w:t>
      </w:r>
      <w:r>
        <w:rPr>
          <w:lang w:val="uk-UA"/>
        </w:rPr>
      </w:r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rPr>
          <w:rFonts w:ascii="Times New Roman" w:hAnsi="Times New Roman" w:eastAsia="Times New Roman"/>
          <w:bCs/>
          <w:iCs/>
          <w:sz w:val="24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br w:type="page"/>
      </w:r>
      <w:r>
        <w:rPr>
          <w:lang w:val="uk-UA"/>
        </w:rPr>
      </w:r>
    </w:p>
    <w:p>
      <w:pPr>
        <w:pStyle w:val="688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4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Додаток </w:t>
      </w:r>
      <w:r>
        <w:rPr>
          <w:rFonts w:ascii="Times New Roman" w:hAnsi="Times New Roman" w:eastAsia="Times New Roman"/>
          <w:sz w:val="24"/>
          <w:lang w:val="uk-UA"/>
        </w:rPr>
        <w:t xml:space="preserve">1</w:t>
      </w:r>
      <w:r>
        <w:rPr>
          <w:lang w:val="uk-UA"/>
        </w:rPr>
      </w:r>
    </w:p>
    <w:p>
      <w:pPr>
        <w:pStyle w:val="688"/>
        <w:ind w:left="5669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color w:val="000000"/>
          <w:sz w:val="24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до Програми 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ab/>
        <w:t xml:space="preserve">фінансової  підтримки громадських об’єднань 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ab/>
        <w:t xml:space="preserve">ветеранів Менської міської територіальної громади на 2021 рік</w:t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ОБСЯГИ ТА НАПР</w:t>
      </w: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Я</w:t>
      </w: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МКИ ФІНАНСУВАННЯ </w:t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ФІНАНСОВОЇ ПІДТРИМКИ ГРОМАДСЬКИХ </w:t>
      </w:r>
      <w:r>
        <w:rPr>
          <w:lang w:val="uk-UA"/>
        </w:rPr>
      </w:r>
    </w:p>
    <w:p>
      <w:pPr>
        <w:ind w:left="62"/>
        <w:jc w:val="center"/>
        <w:rPr>
          <w:rFonts w:ascii="Times New Roman" w:hAnsi="Times New Roman" w:eastAsia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ОБ’ЄДНАНЬ ВЕТЕРАНІВ</w:t>
      </w: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iCs/>
          <w:sz w:val="28"/>
          <w:szCs w:val="28"/>
          <w:lang w:val="uk-UA"/>
        </w:rPr>
        <w:t xml:space="preserve">НА 2021 РІК</w:t>
      </w:r>
      <w:r>
        <w:rPr>
          <w:lang w:val="uk-UA"/>
        </w:rPr>
      </w:r>
    </w:p>
    <w:tbl>
      <w:tblPr>
        <w:tblStyle w:val="548"/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587"/>
        <w:gridCol w:w="2011"/>
        <w:gridCol w:w="1842"/>
        <w:gridCol w:w="2940"/>
        <w:gridCol w:w="2412"/>
      </w:tblGrid>
      <w:tr>
        <w:trPr/>
        <w:tc>
          <w:tcPr>
            <w:tcW w:w="587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t xml:space="preserve">№ з/п</w:t>
            </w:r>
            <w:r>
              <w:rPr>
                <w:lang w:val="uk-UA"/>
              </w:rPr>
            </w:r>
          </w:p>
        </w:tc>
        <w:tc>
          <w:tcPr>
            <w:tcW w:w="2011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t xml:space="preserve">Напрямки фінансування</w:t>
            </w:r>
            <w:r>
              <w:rPr>
                <w:lang w:val="uk-UA"/>
              </w:rPr>
            </w:r>
          </w:p>
        </w:tc>
        <w:tc>
          <w:tcPr>
            <w:tcW w:w="184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t xml:space="preserve">Обсяги фінансування,</w:t>
            </w:r>
            <w:r>
              <w:rPr>
                <w:lang w:val="uk-UA"/>
              </w:rPr>
            </w:r>
          </w:p>
          <w:p>
            <w:pPr>
              <w:jc w:val="center"/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t xml:space="preserve">грн</w:t>
            </w:r>
            <w:r>
              <w:rPr>
                <w:lang w:val="uk-UA"/>
              </w:rPr>
            </w:r>
          </w:p>
        </w:tc>
        <w:tc>
          <w:tcPr>
            <w:tcW w:w="29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t xml:space="preserve">Громадська організація</w:t>
            </w:r>
            <w:r>
              <w:rPr>
                <w:lang w:val="uk-UA"/>
              </w:rPr>
            </w:r>
          </w:p>
        </w:tc>
        <w:tc>
          <w:tcPr>
            <w:tcW w:w="241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b/>
                <w:iCs/>
                <w:sz w:val="24"/>
                <w:szCs w:val="24"/>
                <w:lang w:val="uk-UA"/>
              </w:rPr>
              <w:t xml:space="preserve">Примітка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7" w:type="dxa"/>
            <w:vAlign w:val="center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1</w:t>
            </w:r>
            <w:r>
              <w:rPr>
                <w:lang w:val="uk-UA"/>
              </w:rPr>
            </w:r>
          </w:p>
        </w:tc>
        <w:tc>
          <w:tcPr>
            <w:tcW w:w="2011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1)Видатки на оплату праці</w:t>
            </w:r>
            <w:r>
              <w:rPr>
                <w:lang w:val="uk-UA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2)Нарахування ЄСВ</w:t>
            </w:r>
            <w:r>
              <w:rPr>
                <w:lang w:val="uk-UA"/>
              </w:rPr>
            </w:r>
          </w:p>
        </w:tc>
        <w:tc>
          <w:tcPr>
            <w:tcW w:w="184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60500,00</w:t>
            </w:r>
            <w:r>
              <w:rPr>
                <w:lang w:val="uk-UA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18500,00</w:t>
            </w:r>
            <w:r>
              <w:rPr>
                <w:lang w:val="uk-UA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</w:r>
            <w:r>
              <w:rPr>
                <w:lang w:val="uk-UA"/>
              </w:rPr>
            </w:r>
          </w:p>
        </w:tc>
        <w:tc>
          <w:tcPr>
            <w:tcW w:w="294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Організація ветеранів України Менської міської ОТГ </w:t>
            </w:r>
            <w:r>
              <w:rPr>
                <w:lang w:val="uk-UA"/>
              </w:rPr>
            </w:r>
          </w:p>
        </w:tc>
        <w:tc>
          <w:tcPr>
            <w:tcW w:w="241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Із розрахунку 0,75 ставки  від мінімальної заробітної плати керівнику ветеранської організації; </w:t>
            </w:r>
            <w:r>
              <w:rPr>
                <w:lang w:val="uk-UA"/>
              </w:rPr>
            </w:r>
          </w:p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0,25 ставки від мінімальної заробітної плати бухгалтеру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7" w:type="dxa"/>
            <w:vAlign w:val="center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2</w:t>
            </w:r>
            <w:r>
              <w:rPr>
                <w:lang w:val="uk-UA"/>
              </w:rPr>
            </w:r>
          </w:p>
        </w:tc>
        <w:tc>
          <w:tcPr>
            <w:tcW w:w="2011" w:type="dxa"/>
            <w:vAlign w:val="center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Оплата комунальних послуг</w:t>
            </w:r>
            <w:r>
              <w:rPr>
                <w:lang w:val="uk-UA"/>
              </w:rPr>
            </w:r>
          </w:p>
        </w:tc>
        <w:tc>
          <w:tcPr>
            <w:tcW w:w="184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2400,00</w:t>
            </w:r>
            <w:r>
              <w:rPr>
                <w:lang w:val="uk-UA"/>
              </w:rPr>
            </w:r>
          </w:p>
        </w:tc>
        <w:tc>
          <w:tcPr>
            <w:tcW w:w="294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Організація ветеранів України Менської міської  ОТГ</w:t>
            </w:r>
            <w:r>
              <w:rPr>
                <w:lang w:val="uk-UA"/>
              </w:rPr>
            </w:r>
          </w:p>
        </w:tc>
        <w:tc>
          <w:tcPr>
            <w:tcW w:w="241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7" w:type="dxa"/>
            <w:vAlign w:val="center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3</w:t>
            </w:r>
            <w:r>
              <w:rPr>
                <w:lang w:val="uk-UA"/>
              </w:rPr>
            </w:r>
          </w:p>
        </w:tc>
        <w:tc>
          <w:tcPr>
            <w:tcW w:w="2011" w:type="dxa"/>
            <w:vAlign w:val="center"/>
            <w:vMerge w:val="restart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Проведення заходів згідно з напрямками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,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 визначени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ми П</w:t>
            </w: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рограмою</w:t>
            </w:r>
            <w:r>
              <w:rPr>
                <w:lang w:val="uk-UA"/>
              </w:rPr>
            </w:r>
          </w:p>
        </w:tc>
        <w:tc>
          <w:tcPr>
            <w:tcW w:w="184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23600,00</w:t>
            </w:r>
            <w:r>
              <w:rPr>
                <w:lang w:val="uk-UA"/>
              </w:rPr>
            </w:r>
          </w:p>
        </w:tc>
        <w:tc>
          <w:tcPr>
            <w:tcW w:w="294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Організація ветеранів України Менської міської  ОТГ</w:t>
            </w:r>
            <w:r>
              <w:rPr>
                <w:lang w:val="uk-UA"/>
              </w:rPr>
            </w:r>
          </w:p>
        </w:tc>
        <w:tc>
          <w:tcPr>
            <w:tcW w:w="241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З врахуванням заходів, що проводяться Менською районною спілкою ветеранів Чорнобиля, первинною організацією Асоціації ветеранів МВС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7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10000,00</w:t>
            </w:r>
            <w:r>
              <w:rPr>
                <w:lang w:val="uk-UA"/>
              </w:rPr>
            </w:r>
          </w:p>
        </w:tc>
        <w:tc>
          <w:tcPr>
            <w:tcW w:w="294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Менська територіальна організація воїнів-афганців</w:t>
            </w:r>
            <w:r>
              <w:rPr>
                <w:lang w:val="uk-UA"/>
              </w:rPr>
            </w:r>
          </w:p>
        </w:tc>
        <w:tc>
          <w:tcPr>
            <w:tcW w:w="241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  <w:tr>
        <w:trPr/>
        <w:tc>
          <w:tcPr>
            <w:tcW w:w="587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2011" w:type="dxa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r>
            <w:r/>
          </w:p>
        </w:tc>
        <w:tc>
          <w:tcPr>
            <w:tcW w:w="184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5000,00</w:t>
            </w:r>
            <w:r>
              <w:rPr>
                <w:lang w:val="uk-UA"/>
              </w:rPr>
            </w:r>
          </w:p>
        </w:tc>
        <w:tc>
          <w:tcPr>
            <w:tcW w:w="294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Менська районна організація учасників Антитерористичної організації</w:t>
            </w:r>
            <w:r>
              <w:rPr>
                <w:lang w:val="uk-UA"/>
              </w:rPr>
            </w:r>
          </w:p>
        </w:tc>
        <w:tc>
          <w:tcPr>
            <w:tcW w:w="2412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 w:eastAsia="Times New Roman"/>
                <w:iCs/>
                <w:sz w:val="28"/>
                <w:szCs w:val="28"/>
                <w:lang w:val="uk-UA"/>
              </w:rPr>
              <w:t xml:space="preserve">-</w:t>
            </w:r>
            <w:r>
              <w:rPr>
                <w:lang w:val="uk-UA"/>
              </w:rPr>
            </w:r>
          </w:p>
        </w:tc>
      </w:tr>
    </w:tbl>
    <w:p>
      <w:pPr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lang w:val="uk-UA"/>
        </w:rPr>
      </w:r>
    </w:p>
    <w:p>
      <w:pPr>
        <w:pStyle w:val="688"/>
        <w:ind w:left="5386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Cs/>
          <w:sz w:val="24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Додаток 2 </w:t>
      </w:r>
      <w:r>
        <w:rPr>
          <w:lang w:val="uk-UA"/>
        </w:rPr>
      </w:r>
    </w:p>
    <w:p>
      <w:pPr>
        <w:pStyle w:val="688"/>
        <w:ind w:left="5386" w:right="14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sz w:val="24"/>
          <w:szCs w:val="20"/>
          <w:lang w:val="uk-UA"/>
        </w:rPr>
        <w:outlineLvl w:val="1"/>
      </w:pP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до рішення 3 сесії Менської міської ради 8 скликання від 26.02.2021 № </w:t>
      </w: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64 </w:t>
      </w:r>
      <w:r>
        <w:rPr>
          <w:rFonts w:ascii="Times New Roman" w:hAnsi="Times New Roman" w:eastAsia="Times New Roman"/>
          <w:bCs/>
          <w:sz w:val="24"/>
          <w:szCs w:val="20"/>
          <w:lang w:val="uk-UA"/>
        </w:rPr>
        <w:t xml:space="preserve">«</w:t>
      </w:r>
      <w:r>
        <w:rPr>
          <w:rFonts w:ascii="Times New Roman" w:hAnsi="Times New Roman" w:eastAsia="Times New Roman"/>
          <w:bCs/>
          <w:iCs/>
          <w:color w:val="000000"/>
          <w:sz w:val="24"/>
          <w:szCs w:val="20"/>
          <w:lang w:val="uk-UA" w:eastAsia="ru-RU"/>
        </w:rPr>
        <w:t xml:space="preserve">Про фінансову підтримку громадських об’єднань ветеранів Менської міської територіальної громади»</w:t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/>
        </w:rPr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sz w:val="28"/>
          <w:szCs w:val="28"/>
          <w:lang w:val="uk-UA" w:bidi="ar-SA" w:eastAsia="ru-RU"/>
        </w:rPr>
        <w:t xml:space="preserve">ПОРЯДОК</w:t>
      </w:r>
      <w:r>
        <w:rPr>
          <w:lang w:val="uk-UA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sz w:val="28"/>
          <w:szCs w:val="28"/>
          <w:shd w:val="clear" w:color="auto" w:fill="FFFFFF"/>
          <w:lang w:val="uk-UA" w:bidi="ar-SA" w:eastAsia="ru-RU"/>
        </w:rPr>
        <w:t xml:space="preserve">використання коштів, передбачених в бюджеті Менської міської територіальної громади для надання фінансової підтримки громадським об’єднанням ветеранів </w:t>
      </w:r>
      <w:r>
        <w:rPr>
          <w:lang w:val="uk-UA"/>
        </w:rPr>
      </w:r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1. Цей Порядок визначає механізм використання коштів, передбачених в бюджеті Менської міської територіальної громади на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2021 рік на фінансову підтримку громадських об’єднань ветеранів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(далі по тексту – бюджетні кошти)</w:t>
      </w:r>
      <w:r>
        <w:rPr>
          <w:rFonts w:ascii="Times New Roman" w:hAnsi="Times New Roman" w:eastAsia="Times New Roman"/>
          <w:color w:val="FF0000"/>
          <w:sz w:val="28"/>
          <w:szCs w:val="28"/>
          <w:shd w:val="clear" w:color="auto" w:fill="FFFFFF"/>
          <w:lang w:val="uk-UA" w:bidi="ar-SA" w:eastAsia="ru-RU"/>
        </w:rPr>
        <w:t xml:space="preserve">.</w:t>
      </w:r>
      <w:r>
        <w:rPr>
          <w:lang w:val="uk-UA"/>
        </w:rPr>
      </w:r>
    </w:p>
    <w:p>
      <w:pPr>
        <w:ind w:firstLine="709"/>
        <w:jc w:val="both"/>
        <w:rPr>
          <w:rFonts w:ascii="Times New Roman" w:hAnsi="Times New Roman" w:eastAsia="Times New Roman"/>
          <w:color w:val="FF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Головним розпорядником бюджетних коштів є Менська міська рада, їх одержувачем – громадське об’єднання ветеранів</w:t>
      </w:r>
      <w:r>
        <w:rPr>
          <w:rFonts w:ascii="Times New Roman" w:hAnsi="Times New Roman" w:eastAsia="Times New Roman"/>
          <w:iCs/>
          <w:sz w:val="28"/>
          <w:szCs w:val="28"/>
          <w:lang w:val="uk-UA"/>
        </w:rPr>
        <w:t xml:space="preserve"> України Менської міської ОТГ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Координація співпраці усіх громадських організацій – учасників програми здійснюється в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ідділом охорони здоров’я та соціального захисту населення Менської міської ради. Фінансування за напрямками Програм здійснюється з врахуванням Меморандуму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(Угоди)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про співпрацю між громадськими об’єднаннями ветеранів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 через одержувача коштів - </w:t>
      </w:r>
      <w:r>
        <w:rPr>
          <w:rFonts w:ascii="Times New Roman" w:hAnsi="Times New Roman" w:eastAsia="Times New Roman"/>
          <w:iCs/>
          <w:sz w:val="28"/>
          <w:szCs w:val="28"/>
          <w:lang w:val="uk-UA"/>
        </w:rPr>
        <w:t xml:space="preserve">Організацію ветеранів України Менської міської ОТГ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3. Для отримання бюджетних коштів з метою їх використання в рамках виконання Програми фінансової підтримки громадських об’єднань ветеранів на 2021 рік, затвердженої даним рішенням (далі – Програма),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громадська організація – одержувач бюджетних коштів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подає до Менської міської ради відповідну заявку щодо потреби коштів та напрямки їх використання.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Така заявка, а також інші необхідні документи, подаються не пізніше, ніж за 10 днів до проведення заходів,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до відділу бухгалтерського обліку та звітності Менської міської ради за встановленою ним формою.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4.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Координація діяльності з питань реалізації Програми покладається на відділ охорони здоров’я та соціального захисту населення Менської міської ради.</w:t>
      </w:r>
      <w:r>
        <w:rPr>
          <w:lang w:val="uk-UA"/>
        </w:rPr>
      </w:r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5. Звіт про використання бюджетних коштів за попередній рік (у разі їх отримання) з відповідними підтверджувальними документами, засвідчений підписом керівника громадської організації – одержувача коштів, що скріплений її печаткою, подається до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відділу бухгалтерського обліку та звітності Менської міської ради.</w:t>
      </w:r>
      <w:r>
        <w:rPr>
          <w:lang w:val="uk-UA"/>
        </w:rPr>
      </w:r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6.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Операції, пов’язані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використанням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коштів, проводяться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відповідно до Порядку обслуговування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місцевого бюджету за видатками, затвердженого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Державним казначейством України.</w:t>
      </w:r>
      <w:r>
        <w:rPr>
          <w:lang w:val="uk-UA"/>
        </w:rPr>
      </w:r>
    </w:p>
    <w:p>
      <w:pPr>
        <w:ind w:firstLine="709"/>
        <w:jc w:val="both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7.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Складання і подання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бухгалтерської та фінансової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звітності про використання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коштів, а також контроль за їх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цільовим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витрачанням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здійснюються в установленому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bidi="ar-SA" w:eastAsia="ru-RU"/>
        </w:rPr>
        <w:t xml:space="preserve">законодавством порядку.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здійснення внутрішнього контролю за витрачанням бюджетних коштів та з метою виділення додаткових коштів, головний розпорядник коштів або профільні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постійні комісії міської ради мають право затребувати у громадської організації, що отримує фінансову підтримку з бюджету, проміжний фінансовий звіт з відповідними документами, які це підтверджують.</w:t>
      </w:r>
      <w:r>
        <w:rPr>
          <w:lang w:val="uk-UA"/>
        </w:rPr>
      </w:r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Відповідальність за нецільове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використання бюджетних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коштів покладається на одержувач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коштів.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10.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shd w:val="clear" w:color="auto" w:fill="FFFFFF"/>
          <w:lang w:val="uk-UA" w:eastAsia="ru-RU"/>
        </w:rPr>
        <w:t xml:space="preserve">Перерозподіл обсягів фінансування, встановлених у пункті 3 додатку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до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проводиться за письмовою згодою керівників громадських організацій – учасників Програми та головного розпорядника бюджетних коштів.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11. Зміна розміру фінансування Програми в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sz w:val="28"/>
          <w:szCs w:val="28"/>
          <w:lang w:val="uk-UA" w:eastAsia="ru-RU"/>
        </w:rPr>
        <w:t xml:space="preserve">цілому та окремих її учасників проводиться у порядку, визначеному для  складання, розгляду, затвердження та основних вимог до виконання кошторисів бюджетних установ.</w:t>
      </w:r>
      <w:r>
        <w:rPr>
          <w:lang w:val="uk-UA"/>
        </w:rPr>
      </w:r>
    </w:p>
    <w:p>
      <w:pPr>
        <w:ind w:firstLine="708"/>
        <w:jc w:val="both"/>
        <w:rPr>
          <w:rFonts w:ascii="Times New Roman" w:hAnsi="Times New Roman" w:eastAsia="Times New Roman"/>
          <w:bCs/>
          <w:iCs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12. Залишки кошторисних призначень, визначених на реалізацію Програми, що складуться на кінець бюджетного року, використовуються у порядку, визначеному Бюджетним кодексом України.</w:t>
      </w:r>
      <w:r>
        <w:rPr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Batang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8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6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3" w:hanging="3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01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173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1245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1317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1389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1461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1533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16055" w:hanging="175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366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438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510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582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654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726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98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8706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0" w:hanging="40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03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isLgl w:val="false"/>
      <w:suff w:val="tab"/>
      <w:lvlText w:val="%2."/>
      <w:lvlJc w:val="left"/>
      <w:pPr>
        <w:ind w:left="347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346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418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490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562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634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706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7789" w:firstLine="0"/>
      </w:pPr>
      <w:rPr>
        <w:rFonts w:ascii="Times New Roman" w:hAnsi="Times New Roman" w:cs="Times New Roman" w:eastAsia="Times New Roman"/>
        <w:b w:val="false"/>
        <w:i w:val="false"/>
        <w:strike w:val="false"/>
        <w:dstrike w:val="false"/>
        <w:color w:val="000000"/>
        <w:sz w:val="28"/>
        <w:szCs w:val="28"/>
        <w:u w:val="none"/>
        <w:vertAlign w:val="baseline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3"/>
  </w:num>
  <w:num w:numId="5">
    <w:abstractNumId w:val="28"/>
  </w:num>
  <w:num w:numId="6">
    <w:abstractNumId w:val="1"/>
  </w:num>
  <w:num w:numId="7">
    <w:abstractNumId w:val="17"/>
  </w:num>
  <w:num w:numId="8">
    <w:abstractNumId w:val="7"/>
  </w:num>
  <w:num w:numId="9">
    <w:abstractNumId w:val="15"/>
  </w:num>
  <w:num w:numId="10">
    <w:abstractNumId w:val="27"/>
  </w:num>
  <w:num w:numId="11">
    <w:abstractNumId w:val="16"/>
  </w:num>
  <w:num w:numId="12">
    <w:abstractNumId w:val="6"/>
  </w:num>
  <w:num w:numId="13">
    <w:abstractNumId w:val="12"/>
  </w:num>
  <w:num w:numId="14">
    <w:abstractNumId w:val="22"/>
  </w:num>
  <w:num w:numId="15">
    <w:abstractNumId w:val="5"/>
  </w:num>
  <w:num w:numId="16">
    <w:abstractNumId w:val="14"/>
  </w:num>
  <w:num w:numId="17">
    <w:abstractNumId w:val="10"/>
  </w:num>
  <w:num w:numId="18">
    <w:abstractNumId w:val="9"/>
  </w:num>
  <w:num w:numId="19">
    <w:abstractNumId w:val="4"/>
  </w:num>
  <w:num w:numId="20">
    <w:abstractNumId w:val="3"/>
  </w:num>
  <w:num w:numId="21">
    <w:abstractNumId w:val="20"/>
  </w:num>
  <w:num w:numId="22">
    <w:abstractNumId w:val="21"/>
  </w:num>
  <w:num w:numId="23">
    <w:abstractNumId w:val="0"/>
  </w:num>
  <w:num w:numId="24">
    <w:abstractNumId w:val="11"/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9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3"/>
  </w:num>
  <w:num w:numId="31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 w:default="1">
    <w:name w:val="Normal"/>
    <w:qFormat/>
    <w:rPr>
      <w:lang w:val="ru-RU" w:bidi="en-US" w:eastAsia="en-US"/>
    </w:rPr>
  </w:style>
  <w:style w:type="character" w:styleId="448" w:default="1">
    <w:name w:val="Default Paragraph Font"/>
    <w:uiPriority w:val="1"/>
    <w:semiHidden/>
    <w:unhideWhenUsed/>
  </w:style>
  <w:style w:type="table" w:styleId="4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0" w:default="1">
    <w:name w:val="No List"/>
    <w:uiPriority w:val="99"/>
    <w:semiHidden/>
    <w:unhideWhenUsed/>
  </w:style>
  <w:style w:type="paragraph" w:styleId="451" w:customStyle="1">
    <w:name w:val="Heading 1"/>
    <w:basedOn w:val="447"/>
    <w:next w:val="447"/>
    <w:link w:val="5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52" w:customStyle="1">
    <w:name w:val="Heading 2"/>
    <w:basedOn w:val="447"/>
    <w:next w:val="447"/>
    <w:link w:val="5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53" w:customStyle="1">
    <w:name w:val="Heading 3"/>
    <w:basedOn w:val="447"/>
    <w:next w:val="447"/>
    <w:link w:val="5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54" w:customStyle="1">
    <w:name w:val="Heading 4"/>
    <w:basedOn w:val="447"/>
    <w:next w:val="447"/>
    <w:link w:val="5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55" w:customStyle="1">
    <w:name w:val="Heading 5"/>
    <w:basedOn w:val="447"/>
    <w:next w:val="447"/>
    <w:link w:val="5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6" w:customStyle="1">
    <w:name w:val="Heading 6"/>
    <w:basedOn w:val="447"/>
    <w:next w:val="447"/>
    <w:link w:val="51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7" w:customStyle="1">
    <w:name w:val="Heading 7"/>
    <w:basedOn w:val="447"/>
    <w:next w:val="447"/>
    <w:link w:val="51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8" w:customStyle="1">
    <w:name w:val="Heading 8"/>
    <w:basedOn w:val="447"/>
    <w:next w:val="447"/>
    <w:link w:val="5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9" w:customStyle="1">
    <w:name w:val="Heading 9"/>
    <w:basedOn w:val="447"/>
    <w:next w:val="447"/>
    <w:link w:val="5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60" w:customStyle="1">
    <w:name w:val="Header"/>
    <w:basedOn w:val="447"/>
    <w:link w:val="522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461" w:customStyle="1">
    <w:name w:val="Footer"/>
    <w:basedOn w:val="447"/>
    <w:link w:val="523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462" w:customStyle="1">
    <w:name w:val="Plain Table 1"/>
    <w:basedOn w:val="44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 w:customStyle="1">
    <w:name w:val="Plain Table 2"/>
    <w:basedOn w:val="44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4" w:customStyle="1">
    <w:name w:val="Plain Table 3"/>
    <w:basedOn w:val="4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5" w:customStyle="1">
    <w:name w:val="Plain Table 4"/>
    <w:basedOn w:val="4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Plain Table 5"/>
    <w:basedOn w:val="4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7" w:customStyle="1">
    <w:name w:val="Grid Table 1 Light"/>
    <w:basedOn w:val="44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2"/>
    <w:basedOn w:val="44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"/>
    <w:basedOn w:val="44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4"/>
    <w:basedOn w:val="44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5 Dark"/>
    <w:basedOn w:val="44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2" w:customStyle="1">
    <w:name w:val="Grid Table 6 Colorful"/>
    <w:basedOn w:val="44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3" w:customStyle="1">
    <w:name w:val="Grid Table 7 Colorful"/>
    <w:basedOn w:val="44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"/>
    <w:basedOn w:val="4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2"/>
    <w:basedOn w:val="44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6" w:customStyle="1">
    <w:name w:val="List Table 3"/>
    <w:basedOn w:val="44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 w:customStyle="1">
    <w:name w:val="List Table 4"/>
    <w:basedOn w:val="44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 w:customStyle="1">
    <w:name w:val="List Table 5 Dark"/>
    <w:basedOn w:val="44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79" w:customStyle="1">
    <w:name w:val="List Table 6 Colorful"/>
    <w:basedOn w:val="44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80" w:customStyle="1">
    <w:name w:val="List Table 7 Colorful"/>
    <w:basedOn w:val="44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Таблица простая 11"/>
    <w:basedOn w:val="44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 w:customStyle="1">
    <w:name w:val="Таблица простая 21"/>
    <w:basedOn w:val="44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 w:customStyle="1">
    <w:name w:val="Таблица простая 31"/>
    <w:basedOn w:val="4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 w:customStyle="1">
    <w:name w:val="Таблица простая 41"/>
    <w:basedOn w:val="4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Таблица простая 51"/>
    <w:basedOn w:val="4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 w:customStyle="1">
    <w:name w:val="Таблица-сетка 1 светлая1"/>
    <w:basedOn w:val="44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Таблица-сетка 21"/>
    <w:basedOn w:val="44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Таблица-сетка 31"/>
    <w:basedOn w:val="44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Таблица-сетка 41"/>
    <w:basedOn w:val="44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0" w:customStyle="1">
    <w:name w:val="Таблица-сетка 5 темная1"/>
    <w:basedOn w:val="44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Таблица-сетка 6 цветная1"/>
    <w:basedOn w:val="44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2" w:customStyle="1">
    <w:name w:val="Таблица-сетка 7 цветная1"/>
    <w:basedOn w:val="44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Список-таблица 1 светлая1"/>
    <w:basedOn w:val="44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Список-таблица 21"/>
    <w:basedOn w:val="44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5" w:customStyle="1">
    <w:name w:val="Список-таблица 31"/>
    <w:basedOn w:val="44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Список-таблица 41"/>
    <w:basedOn w:val="44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Список-таблица 5 темная1"/>
    <w:basedOn w:val="44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Список-таблица 6 цветная1"/>
    <w:basedOn w:val="44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499" w:customStyle="1">
    <w:name w:val="Список-таблица 7 цветная1"/>
    <w:basedOn w:val="44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500" w:customStyle="1">
    <w:name w:val="Заголовок 11"/>
    <w:link w:val="525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501" w:customStyle="1">
    <w:name w:val="Заголовок 21"/>
    <w:link w:val="526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502" w:customStyle="1">
    <w:name w:val="Заголовок 31"/>
    <w:link w:val="527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503" w:customStyle="1">
    <w:name w:val="Заголовок 41"/>
    <w:link w:val="528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504" w:customStyle="1">
    <w:name w:val="Заголовок 51"/>
    <w:link w:val="529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505" w:customStyle="1">
    <w:name w:val="Заголовок 61"/>
    <w:link w:val="530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506" w:customStyle="1">
    <w:name w:val="Заголовок 71"/>
    <w:link w:val="531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507" w:customStyle="1">
    <w:name w:val="Заголовок 81"/>
    <w:link w:val="532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508" w:customStyle="1">
    <w:name w:val="Заголовок 91"/>
    <w:link w:val="533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509" w:customStyle="1">
    <w:name w:val="Heading 1 Char"/>
    <w:basedOn w:val="448"/>
    <w:link w:val="451"/>
    <w:uiPriority w:val="9"/>
    <w:rPr>
      <w:rFonts w:ascii="Arial" w:hAnsi="Arial" w:cs="Arial" w:eastAsia="Arial"/>
      <w:sz w:val="40"/>
      <w:szCs w:val="40"/>
    </w:rPr>
  </w:style>
  <w:style w:type="character" w:styleId="510" w:customStyle="1">
    <w:name w:val="Heading 2 Char"/>
    <w:basedOn w:val="448"/>
    <w:link w:val="452"/>
    <w:uiPriority w:val="9"/>
    <w:rPr>
      <w:rFonts w:ascii="Arial" w:hAnsi="Arial" w:cs="Arial" w:eastAsia="Arial"/>
      <w:sz w:val="34"/>
    </w:rPr>
  </w:style>
  <w:style w:type="character" w:styleId="511" w:customStyle="1">
    <w:name w:val="Heading 3 Char"/>
    <w:basedOn w:val="448"/>
    <w:link w:val="453"/>
    <w:uiPriority w:val="9"/>
    <w:rPr>
      <w:rFonts w:ascii="Arial" w:hAnsi="Arial" w:cs="Arial" w:eastAsia="Arial"/>
      <w:sz w:val="30"/>
      <w:szCs w:val="30"/>
    </w:rPr>
  </w:style>
  <w:style w:type="character" w:styleId="512" w:customStyle="1">
    <w:name w:val="Heading 4 Char"/>
    <w:basedOn w:val="448"/>
    <w:link w:val="454"/>
    <w:uiPriority w:val="9"/>
    <w:rPr>
      <w:rFonts w:ascii="Arial" w:hAnsi="Arial" w:cs="Arial" w:eastAsia="Arial"/>
      <w:b/>
      <w:bCs/>
      <w:sz w:val="26"/>
      <w:szCs w:val="26"/>
    </w:rPr>
  </w:style>
  <w:style w:type="character" w:styleId="513" w:customStyle="1">
    <w:name w:val="Heading 5 Char"/>
    <w:basedOn w:val="448"/>
    <w:link w:val="455"/>
    <w:uiPriority w:val="9"/>
    <w:rPr>
      <w:rFonts w:ascii="Arial" w:hAnsi="Arial" w:cs="Arial" w:eastAsia="Arial"/>
      <w:b/>
      <w:bCs/>
      <w:sz w:val="24"/>
      <w:szCs w:val="24"/>
    </w:rPr>
  </w:style>
  <w:style w:type="character" w:styleId="514" w:customStyle="1">
    <w:name w:val="Heading 6 Char"/>
    <w:basedOn w:val="448"/>
    <w:link w:val="456"/>
    <w:uiPriority w:val="9"/>
    <w:rPr>
      <w:rFonts w:ascii="Arial" w:hAnsi="Arial" w:cs="Arial" w:eastAsia="Arial"/>
      <w:b/>
      <w:bCs/>
      <w:sz w:val="22"/>
      <w:szCs w:val="22"/>
    </w:rPr>
  </w:style>
  <w:style w:type="character" w:styleId="515" w:customStyle="1">
    <w:name w:val="Heading 7 Char"/>
    <w:basedOn w:val="448"/>
    <w:link w:val="4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16" w:customStyle="1">
    <w:name w:val="Heading 8 Char"/>
    <w:basedOn w:val="448"/>
    <w:link w:val="458"/>
    <w:uiPriority w:val="9"/>
    <w:rPr>
      <w:rFonts w:ascii="Arial" w:hAnsi="Arial" w:cs="Arial" w:eastAsia="Arial"/>
      <w:i/>
      <w:iCs/>
      <w:sz w:val="22"/>
      <w:szCs w:val="22"/>
    </w:rPr>
  </w:style>
  <w:style w:type="character" w:styleId="517" w:customStyle="1">
    <w:name w:val="Heading 9 Char"/>
    <w:basedOn w:val="448"/>
    <w:link w:val="459"/>
    <w:uiPriority w:val="9"/>
    <w:rPr>
      <w:rFonts w:ascii="Arial" w:hAnsi="Arial" w:cs="Arial" w:eastAsia="Arial"/>
      <w:i/>
      <w:iCs/>
      <w:sz w:val="21"/>
      <w:szCs w:val="21"/>
    </w:rPr>
  </w:style>
  <w:style w:type="character" w:styleId="518" w:customStyle="1">
    <w:name w:val="Title Char"/>
    <w:basedOn w:val="448"/>
    <w:uiPriority w:val="10"/>
    <w:rPr>
      <w:sz w:val="48"/>
      <w:szCs w:val="48"/>
    </w:rPr>
  </w:style>
  <w:style w:type="character" w:styleId="519" w:customStyle="1">
    <w:name w:val="Subtitle Char"/>
    <w:basedOn w:val="448"/>
    <w:uiPriority w:val="11"/>
    <w:rPr>
      <w:sz w:val="24"/>
      <w:szCs w:val="24"/>
    </w:rPr>
  </w:style>
  <w:style w:type="character" w:styleId="520" w:customStyle="1">
    <w:name w:val="Quote Char"/>
    <w:uiPriority w:val="29"/>
    <w:rPr>
      <w:i/>
    </w:rPr>
  </w:style>
  <w:style w:type="character" w:styleId="521" w:customStyle="1">
    <w:name w:val="Intense Quote Char"/>
    <w:uiPriority w:val="30"/>
    <w:rPr>
      <w:i/>
    </w:rPr>
  </w:style>
  <w:style w:type="character" w:styleId="522" w:customStyle="1">
    <w:name w:val="Header Char"/>
    <w:basedOn w:val="448"/>
    <w:link w:val="460"/>
    <w:uiPriority w:val="99"/>
  </w:style>
  <w:style w:type="character" w:styleId="523" w:customStyle="1">
    <w:name w:val="Footer Char"/>
    <w:basedOn w:val="448"/>
    <w:link w:val="461"/>
    <w:uiPriority w:val="99"/>
  </w:style>
  <w:style w:type="character" w:styleId="524" w:customStyle="1">
    <w:name w:val="Footnote Text Char"/>
    <w:uiPriority w:val="99"/>
    <w:rPr>
      <w:sz w:val="18"/>
    </w:rPr>
  </w:style>
  <w:style w:type="character" w:styleId="525" w:customStyle="1">
    <w:name w:val="Заголовок 1 Знак"/>
    <w:link w:val="500"/>
    <w:uiPriority w:val="9"/>
    <w:rPr>
      <w:rFonts w:ascii="Arial" w:hAnsi="Arial" w:cs="Arial" w:eastAsia="Arial"/>
      <w:sz w:val="40"/>
      <w:szCs w:val="40"/>
    </w:rPr>
  </w:style>
  <w:style w:type="character" w:styleId="526" w:customStyle="1">
    <w:name w:val="Заголовок 2 Знак"/>
    <w:link w:val="501"/>
    <w:uiPriority w:val="9"/>
    <w:rPr>
      <w:rFonts w:ascii="Arial" w:hAnsi="Arial" w:cs="Arial" w:eastAsia="Arial"/>
      <w:sz w:val="34"/>
    </w:rPr>
  </w:style>
  <w:style w:type="character" w:styleId="527" w:customStyle="1">
    <w:name w:val="Заголовок 3 Знак"/>
    <w:link w:val="502"/>
    <w:uiPriority w:val="9"/>
    <w:rPr>
      <w:rFonts w:ascii="Arial" w:hAnsi="Arial" w:cs="Arial" w:eastAsia="Arial"/>
      <w:sz w:val="30"/>
      <w:szCs w:val="30"/>
    </w:rPr>
  </w:style>
  <w:style w:type="character" w:styleId="528" w:customStyle="1">
    <w:name w:val="Заголовок 4 Знак"/>
    <w:link w:val="503"/>
    <w:uiPriority w:val="9"/>
    <w:rPr>
      <w:rFonts w:ascii="Arial" w:hAnsi="Arial" w:cs="Arial" w:eastAsia="Arial"/>
      <w:b/>
      <w:bCs/>
      <w:sz w:val="26"/>
      <w:szCs w:val="26"/>
    </w:rPr>
  </w:style>
  <w:style w:type="character" w:styleId="529" w:customStyle="1">
    <w:name w:val="Заголовок 5 Знак"/>
    <w:link w:val="504"/>
    <w:uiPriority w:val="9"/>
    <w:rPr>
      <w:rFonts w:ascii="Arial" w:hAnsi="Arial" w:cs="Arial" w:eastAsia="Arial"/>
      <w:b/>
      <w:bCs/>
      <w:sz w:val="24"/>
      <w:szCs w:val="24"/>
    </w:rPr>
  </w:style>
  <w:style w:type="character" w:styleId="530" w:customStyle="1">
    <w:name w:val="Заголовок 6 Знак"/>
    <w:link w:val="505"/>
    <w:uiPriority w:val="9"/>
    <w:rPr>
      <w:rFonts w:ascii="Arial" w:hAnsi="Arial" w:cs="Arial" w:eastAsia="Arial"/>
      <w:b/>
      <w:bCs/>
      <w:sz w:val="22"/>
      <w:szCs w:val="22"/>
    </w:rPr>
  </w:style>
  <w:style w:type="character" w:styleId="531" w:customStyle="1">
    <w:name w:val="Заголовок 7 Знак"/>
    <w:link w:val="5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2" w:customStyle="1">
    <w:name w:val="Заголовок 8 Знак"/>
    <w:link w:val="507"/>
    <w:uiPriority w:val="9"/>
    <w:rPr>
      <w:rFonts w:ascii="Arial" w:hAnsi="Arial" w:cs="Arial" w:eastAsia="Arial"/>
      <w:i/>
      <w:iCs/>
      <w:sz w:val="22"/>
      <w:szCs w:val="22"/>
    </w:rPr>
  </w:style>
  <w:style w:type="character" w:styleId="533" w:customStyle="1">
    <w:name w:val="Заголовок 9 Знак"/>
    <w:link w:val="508"/>
    <w:uiPriority w:val="9"/>
    <w:rPr>
      <w:rFonts w:ascii="Arial" w:hAnsi="Arial" w:cs="Arial" w:eastAsia="Arial"/>
      <w:i/>
      <w:iCs/>
      <w:sz w:val="21"/>
      <w:szCs w:val="21"/>
    </w:rPr>
  </w:style>
  <w:style w:type="paragraph" w:styleId="534">
    <w:name w:val="List Paragraph"/>
    <w:link w:val="718"/>
    <w:qFormat/>
    <w:uiPriority w:val="34"/>
    <w:rPr>
      <w:lang w:val="ru-RU" w:bidi="en-US" w:eastAsia="en-US"/>
    </w:rPr>
    <w:pPr>
      <w:contextualSpacing w:val="true"/>
      <w:ind w:left="720"/>
    </w:pPr>
  </w:style>
  <w:style w:type="paragraph" w:styleId="535">
    <w:name w:val="No Spacing"/>
    <w:qFormat/>
    <w:uiPriority w:val="1"/>
    <w:rPr>
      <w:lang w:val="ru-RU" w:bidi="en-US" w:eastAsia="en-US"/>
    </w:rPr>
  </w:style>
  <w:style w:type="paragraph" w:styleId="536">
    <w:name w:val="Title"/>
    <w:link w:val="537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537" w:customStyle="1">
    <w:name w:val="Название Знак"/>
    <w:link w:val="536"/>
    <w:uiPriority w:val="10"/>
    <w:rPr>
      <w:sz w:val="48"/>
      <w:szCs w:val="48"/>
    </w:rPr>
  </w:style>
  <w:style w:type="paragraph" w:styleId="538">
    <w:name w:val="Subtitle"/>
    <w:link w:val="539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539" w:customStyle="1">
    <w:name w:val="Подзаголовок Знак"/>
    <w:link w:val="538"/>
    <w:uiPriority w:val="11"/>
    <w:rPr>
      <w:sz w:val="24"/>
      <w:szCs w:val="24"/>
    </w:rPr>
  </w:style>
  <w:style w:type="paragraph" w:styleId="540">
    <w:name w:val="Quote"/>
    <w:link w:val="541"/>
    <w:qFormat/>
    <w:uiPriority w:val="29"/>
    <w:rPr>
      <w:i/>
      <w:lang w:val="ru-RU" w:bidi="en-US" w:eastAsia="en-US"/>
    </w:rPr>
    <w:pPr>
      <w:ind w:left="720" w:right="720"/>
    </w:pPr>
  </w:style>
  <w:style w:type="character" w:styleId="541" w:customStyle="1">
    <w:name w:val="Цитата 2 Знак"/>
    <w:link w:val="540"/>
    <w:uiPriority w:val="29"/>
    <w:rPr>
      <w:i/>
    </w:rPr>
  </w:style>
  <w:style w:type="paragraph" w:styleId="542">
    <w:name w:val="Intense Quote"/>
    <w:link w:val="543"/>
    <w:qFormat/>
    <w:uiPriority w:val="30"/>
    <w:rPr>
      <w:i/>
      <w:lang w:val="ru-RU" w:bidi="en-US" w:eastAsia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3" w:customStyle="1">
    <w:name w:val="Выделенная цитата Знак"/>
    <w:link w:val="542"/>
    <w:uiPriority w:val="30"/>
    <w:rPr>
      <w:i/>
    </w:rPr>
  </w:style>
  <w:style w:type="paragraph" w:styleId="544" w:customStyle="1">
    <w:name w:val="Верхний колонтитул1"/>
    <w:link w:val="54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5" w:customStyle="1">
    <w:name w:val="Верхній колонтитул Знак"/>
    <w:link w:val="544"/>
    <w:uiPriority w:val="99"/>
  </w:style>
  <w:style w:type="paragraph" w:styleId="546" w:customStyle="1">
    <w:name w:val="Нижний колонтитул1"/>
    <w:link w:val="547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547" w:customStyle="1">
    <w:name w:val="Нижній колонтитул Знак"/>
    <w:link w:val="546"/>
    <w:uiPriority w:val="99"/>
  </w:style>
  <w:style w:type="table" w:styleId="548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2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3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74">
    <w:name w:val="Hyperlink"/>
    <w:uiPriority w:val="99"/>
    <w:unhideWhenUsed/>
    <w:rPr>
      <w:color w:val="0000FF"/>
      <w:u w:val="single"/>
    </w:rPr>
  </w:style>
  <w:style w:type="paragraph" w:styleId="675">
    <w:name w:val="footnote text"/>
    <w:link w:val="676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676" w:customStyle="1">
    <w:name w:val="Текст сноски Знак"/>
    <w:link w:val="675"/>
    <w:uiPriority w:val="99"/>
    <w:rPr>
      <w:sz w:val="18"/>
    </w:rPr>
  </w:style>
  <w:style w:type="character" w:styleId="677">
    <w:name w:val="footnote reference"/>
    <w:uiPriority w:val="99"/>
    <w:unhideWhenUsed/>
    <w:rPr>
      <w:vertAlign w:val="superscript"/>
    </w:rPr>
  </w:style>
  <w:style w:type="paragraph" w:styleId="678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679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680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681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682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683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684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685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686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687">
    <w:name w:val="TOC Heading"/>
    <w:uiPriority w:val="39"/>
    <w:unhideWhenUsed/>
    <w:rPr>
      <w:lang w:val="ru-RU" w:bidi="en-US" w:eastAsia="en-US"/>
    </w:rPr>
  </w:style>
  <w:style w:type="paragraph" w:styleId="688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689" w:customStyle="1">
    <w:name w:val="Основной шрифт абзаца1"/>
    <w:semiHidden/>
  </w:style>
  <w:style w:type="table" w:styleId="690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691" w:customStyle="1">
    <w:name w:val="Нет списка1"/>
    <w:semiHidden/>
  </w:style>
  <w:style w:type="paragraph" w:styleId="692" w:customStyle="1">
    <w:name w:val="Абзац списка1"/>
    <w:basedOn w:val="688"/>
    <w:pPr>
      <w:contextualSpacing w:val="true"/>
      <w:ind w:left="720"/>
    </w:pPr>
  </w:style>
  <w:style w:type="paragraph" w:styleId="693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694" w:customStyle="1">
    <w:name w:val="Без интервала1"/>
    <w:rPr>
      <w:rFonts w:ascii="Times New Roman" w:hAnsi="Times New Roman" w:eastAsia="Batang"/>
      <w:lang w:eastAsia="ru-RU"/>
    </w:rPr>
  </w:style>
  <w:style w:type="paragraph" w:styleId="695" w:customStyle="1">
    <w:name w:val="Стандартный HTML1"/>
    <w:basedOn w:val="688"/>
    <w:link w:val="696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96" w:customStyle="1">
    <w:name w:val="Стандартный HTML Знак"/>
    <w:link w:val="695"/>
    <w:rPr>
      <w:rFonts w:ascii="Courier New" w:hAnsi="Courier New" w:eastAsia="Times New Roman"/>
      <w:sz w:val="20"/>
      <w:szCs w:val="20"/>
      <w:lang w:eastAsia="ru-RU"/>
    </w:rPr>
  </w:style>
  <w:style w:type="character" w:styleId="697" w:customStyle="1">
    <w:name w:val="Выделение1"/>
    <w:rPr>
      <w:i/>
      <w:iCs/>
    </w:rPr>
  </w:style>
  <w:style w:type="paragraph" w:styleId="698" w:customStyle="1">
    <w:name w:val="rvps2"/>
    <w:basedOn w:val="68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99" w:customStyle="1">
    <w:name w:val="Основной текст_"/>
    <w:link w:val="700"/>
    <w:uiPriority w:val="99"/>
    <w:rPr>
      <w:sz w:val="25"/>
      <w:shd w:val="clear" w:color="auto" w:fill="FFFFFF"/>
    </w:rPr>
  </w:style>
  <w:style w:type="paragraph" w:styleId="700" w:customStyle="1">
    <w:name w:val="Основной текст2"/>
    <w:basedOn w:val="688"/>
    <w:link w:val="699"/>
    <w:uiPriority w:val="99"/>
    <w:rPr>
      <w:sz w:val="25"/>
      <w:szCs w:val="20"/>
      <w:lang w:val="en-US"/>
    </w:rPr>
    <w:pPr>
      <w:ind w:hanging="340"/>
      <w:spacing w:lineRule="exact" w:line="322" w:after="0"/>
      <w:shd w:val="clear" w:color="auto" w:fill="FFFFFF"/>
      <w:widowControl w:val="off"/>
    </w:pPr>
  </w:style>
  <w:style w:type="character" w:styleId="701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702" w:customStyle="1">
    <w:name w:val="Абзац списку1"/>
    <w:basedOn w:val="688"/>
    <w:qFormat/>
    <w:uiPriority w:val="99"/>
    <w:pPr>
      <w:contextualSpacing w:val="true"/>
      <w:ind w:left="720"/>
    </w:pPr>
  </w:style>
  <w:style w:type="character" w:styleId="703" w:customStyle="1">
    <w:name w:val="rvts9"/>
  </w:style>
  <w:style w:type="paragraph" w:styleId="704" w:customStyle="1">
    <w:name w:val="Текст выноски1"/>
    <w:basedOn w:val="688"/>
    <w:link w:val="705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705" w:customStyle="1">
    <w:name w:val="Текст выноски Знак"/>
    <w:link w:val="704"/>
    <w:semiHidden/>
    <w:rPr>
      <w:rFonts w:ascii="Arial" w:hAnsi="Arial"/>
      <w:sz w:val="18"/>
      <w:szCs w:val="18"/>
      <w:lang w:val="ru-RU" w:eastAsia="en-US"/>
    </w:rPr>
  </w:style>
  <w:style w:type="paragraph" w:styleId="706">
    <w:name w:val="HTML Preformatted"/>
    <w:basedOn w:val="447"/>
    <w:link w:val="707"/>
    <w:rPr>
      <w:rFonts w:ascii="Courier New" w:hAnsi="Courier New" w:cs="Courier New" w:eastAsia="Times New Roman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7" w:customStyle="1">
    <w:name w:val="Стандартный HTML Знак1"/>
    <w:link w:val="706"/>
    <w:rPr>
      <w:rFonts w:ascii="Courier New" w:hAnsi="Courier New" w:cs="Courier New" w:eastAsia="Times New Roman"/>
      <w:szCs w:val="20"/>
      <w:lang w:val="uk-UA" w:bidi="ar-SA" w:eastAsia="zh-CN"/>
    </w:rPr>
  </w:style>
  <w:style w:type="paragraph" w:styleId="708">
    <w:name w:val="Body Text Indent"/>
    <w:basedOn w:val="447"/>
    <w:link w:val="709"/>
    <w:rPr>
      <w:rFonts w:ascii="Times New Roman" w:hAnsi="Times New Roman" w:eastAsia="Times New Roman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09" w:customStyle="1">
    <w:name w:val="Основной текст с отступом Знак"/>
    <w:link w:val="708"/>
    <w:rPr>
      <w:rFonts w:ascii="Times New Roman" w:hAnsi="Times New Roman" w:eastAsia="Times New Roman"/>
      <w:lang w:eastAsia="ru-RU"/>
    </w:rPr>
  </w:style>
  <w:style w:type="paragraph" w:styleId="710">
    <w:name w:val="Body Text Indent 3"/>
    <w:basedOn w:val="447"/>
    <w:link w:val="71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711" w:customStyle="1">
    <w:name w:val="Основной текст с отступом 3 Знак"/>
    <w:link w:val="710"/>
    <w:uiPriority w:val="99"/>
    <w:semiHidden/>
    <w:rPr>
      <w:sz w:val="16"/>
      <w:szCs w:val="16"/>
      <w:lang w:val="ru-RU" w:bidi="en-US" w:eastAsia="en-US"/>
    </w:rPr>
  </w:style>
  <w:style w:type="paragraph" w:styleId="712" w:customStyle="1">
    <w:name w:val="Абзац списку2"/>
    <w:basedOn w:val="447"/>
    <w:rPr>
      <w:rFonts w:ascii="Verdana" w:hAnsi="Verdana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713" w:customStyle="1">
    <w:name w:val="docdata"/>
    <w:basedOn w:val="447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4">
    <w:name w:val="Strong"/>
    <w:basedOn w:val="448"/>
    <w:qFormat/>
    <w:uiPriority w:val="22"/>
    <w:rPr>
      <w:b/>
      <w:bCs/>
    </w:rPr>
  </w:style>
  <w:style w:type="character" w:styleId="715" w:customStyle="1">
    <w:name w:val="Heading #4"/>
    <w:rPr>
      <w:b/>
      <w:bCs/>
      <w:color w:val="000000"/>
      <w:spacing w:val="0"/>
      <w:position w:val="0"/>
      <w:sz w:val="24"/>
      <w:szCs w:val="24"/>
      <w:lang w:val="uk-UA" w:bidi="ar-SA" w:eastAsia="uk-UA"/>
    </w:rPr>
  </w:style>
  <w:style w:type="paragraph" w:styleId="716" w:customStyle="1">
    <w:name w:val="Heading #41"/>
    <w:rPr>
      <w:rFonts w:ascii="Times New Roman" w:hAnsi="Times New Roman" w:eastAsia="Times New Roman"/>
      <w:b/>
      <w:bCs/>
      <w:szCs w:val="20"/>
      <w:lang w:val="en-US" w:eastAsia="en-US"/>
    </w:rPr>
    <w:pPr>
      <w:jc w:val="center"/>
      <w:spacing w:lineRule="atLeast" w:line="240" w:before="360"/>
      <w:shd w:val="clear" w:color="auto" w:fill="FFFFFF"/>
      <w:widowControl w:val="off"/>
      <w:outlineLvl w:val="3"/>
    </w:pPr>
  </w:style>
  <w:style w:type="paragraph" w:styleId="717">
    <w:name w:val="Normal (Web)"/>
    <w:basedOn w:val="447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718" w:customStyle="1">
    <w:name w:val="Абзац списка Знак"/>
    <w:link w:val="534"/>
    <w:uiPriority w:val="34"/>
    <w:rPr>
      <w:lang w:val="ru-RU" w:bidi="en-US" w:eastAsia="en-US"/>
    </w:rPr>
  </w:style>
  <w:style w:type="table" w:styleId="719" w:customStyle="1">
    <w:name w:val="Сітка таблиці1"/>
    <w:rPr>
      <w:rFonts w:cs="Calibri"/>
      <w:sz w:val="22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Adminov Admin </cp:lastModifiedBy>
  <cp:revision>4</cp:revision>
  <dcterms:created xsi:type="dcterms:W3CDTF">2021-02-28T14:27:00Z</dcterms:created>
  <dcterms:modified xsi:type="dcterms:W3CDTF">2021-03-01T17:07:13Z</dcterms:modified>
</cp:coreProperties>
</file>