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0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39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/>
    </w:p>
    <w:p>
      <w:pPr>
        <w:pStyle w:val="68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8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8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Чернігівська область</w:t>
      </w:r>
      <w:r/>
    </w:p>
    <w:p>
      <w:pPr>
        <w:pStyle w:val="686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/>
    </w:p>
    <w:p>
      <w:pPr>
        <w:pStyle w:val="686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686"/>
        <w:spacing w:lineRule="auto" w:line="240" w:after="0"/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/>
    </w:p>
    <w:p>
      <w:pPr>
        <w:pStyle w:val="686"/>
        <w:spacing w:lineRule="auto" w:line="240" w:after="0"/>
        <w:tabs>
          <w:tab w:val="left" w:pos="4535" w:leader="none"/>
        </w:tabs>
        <w:rPr>
          <w:rFonts w:ascii="Times New Roman" w:hAnsi="Times New Roman"/>
          <w:color w:val="000000"/>
          <w:sz w:val="16"/>
          <w:szCs w:val="28"/>
        </w:rPr>
      </w:pPr>
      <w:r>
        <w:rPr>
          <w:rFonts w:ascii="Times New Roman" w:hAnsi="Times New Roman"/>
          <w:color w:val="000000"/>
          <w:sz w:val="16"/>
          <w:szCs w:val="28"/>
          <w:lang w:val="uk-UA"/>
        </w:rPr>
      </w:r>
      <w:r>
        <w:rPr>
          <w:sz w:val="16"/>
        </w:rPr>
      </w:r>
    </w:p>
    <w:p>
      <w:pPr>
        <w:pStyle w:val="686"/>
        <w:ind w:left="0" w:right="5244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фінансову підтримку громадських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об’єднань ветеранів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zh-CN"/>
        </w:rPr>
      </w:r>
      <w:r/>
    </w:p>
    <w:p>
      <w:pPr>
        <w:pStyle w:val="686"/>
        <w:ind w:left="0" w:right="5244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 w:eastAsia="ru-RU"/>
        </w:rPr>
      </w:r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Керуючись підпунктом «е» пункту 3 ч. 1 ст. 91 Бюджетного кодексу України, беручи до уваги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Закони України «Про статус ветеранів війни, гарантії їх соціального захисту»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«Про соціальний захист дітей війни», «Про жертви нацистських переслідувань»,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відповідно до рішен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Менської міської ради від 23.12.2020 № 62 «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Про бюджет Менської міської територіальної громади на 2021 рік» зі змінами та доповненнями, з метою забезпечення цільового використання коштів бюджету Менської міської територіальної громади, для створення належних умов підтримки громадських організацій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що працюють на території Менської міської територіальної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громади,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які виконують соціальну, патріотичну, виховну, історичну та інші важливі функції,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враховуючи пропозиції депутатів міської ради по результатах спільного засідання постійних комісій,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Менська міська рада </w:t>
      </w:r>
      <w:r/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ВИРІШИЛА: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</w:r>
      <w:r/>
    </w:p>
    <w:p>
      <w:pPr>
        <w:pStyle w:val="532"/>
        <w:numPr>
          <w:ilvl w:val="0"/>
          <w:numId w:val="31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Затвердити Програму фінансової підтримки громадських об’єднань ветерані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 Менської міської територ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іальної громади на 2021 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(додаток 1).</w:t>
      </w:r>
      <w:r>
        <w:rPr>
          <w:rFonts w:ascii="Times New Roman" w:hAnsi="Times New Roman" w:eastAsia="Times New Roman"/>
          <w:sz w:val="28"/>
          <w:shd w:val="clear" w:color="auto" w:fill="FFFFFF"/>
          <w:lang w:val="uk-UA" w:bidi="ar-SA" w:eastAsia="ru-RU"/>
        </w:rPr>
      </w:r>
      <w:r/>
    </w:p>
    <w:p>
      <w:pPr>
        <w:pStyle w:val="532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Затвердити Порядок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 (додаток 2).</w:t>
      </w:r>
      <w:r>
        <w:rPr>
          <w:rFonts w:ascii="Times New Roman" w:hAnsi="Times New Roman" w:eastAsia="Times New Roman"/>
          <w:sz w:val="28"/>
          <w:shd w:val="clear" w:color="auto" w:fill="FFFFFF"/>
          <w:lang w:val="uk-UA" w:bidi="ar-SA" w:eastAsia="ru-RU"/>
        </w:rPr>
      </w:r>
      <w:r/>
    </w:p>
    <w:p>
      <w:pPr>
        <w:pStyle w:val="532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Вважати такими, що втратили чинність рішення Менської міської ради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 23.12.2020 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34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«Про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затвердження Програми підтримки громадських організацій інвалідів та ветеранів на 2021 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», від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26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.12.2019 № 678 «Про Програму фінансової підтримки діяльності Менської територіальної організації воїнів-афганців на 2020-2022 роки».</w:t>
      </w:r>
      <w:r>
        <w:rPr>
          <w:rFonts w:ascii="Times New Roman" w:hAnsi="Times New Roman" w:eastAsia="Times New Roman"/>
          <w:sz w:val="28"/>
          <w:shd w:val="clear" w:color="auto" w:fill="FFFFFF"/>
          <w:lang w:val="uk-UA" w:bidi="ar-SA" w:eastAsia="ru-RU"/>
        </w:rPr>
      </w:r>
      <w:r/>
    </w:p>
    <w:p>
      <w:pPr>
        <w:pStyle w:val="532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ння, освіти, культури, молоді, фізкультури і спорту, постійну комісію міської ради з питань планування, фінансів, бюджету на соціально-економічного розвитку та заступників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діяльності виконкому Менської міської ради В.В.Прищепу і </w:t>
      </w:r>
      <w:r>
        <w:rPr>
          <w:rFonts w:ascii="Times New Roman" w:hAnsi="Times New Roman"/>
          <w:sz w:val="28"/>
          <w:szCs w:val="28"/>
          <w:lang w:val="uk-UA"/>
        </w:rPr>
        <w:t xml:space="preserve">С.М.</w:t>
      </w:r>
      <w:r>
        <w:rPr>
          <w:rFonts w:ascii="Times New Roman" w:hAnsi="Times New Roman"/>
          <w:sz w:val="28"/>
          <w:szCs w:val="28"/>
          <w:lang w:val="uk-UA"/>
        </w:rPr>
        <w:t xml:space="preserve">Гаєвого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686"/>
        <w:ind w:left="5669" w:right="0" w:firstLine="0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1 </w:t>
      </w:r>
      <w:r/>
    </w:p>
    <w:p>
      <w:pPr>
        <w:pStyle w:val="686"/>
        <w:ind w:left="5669" w:right="0" w:firstLine="0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рішення 3 сесії Менської міської ради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 8 скликання від 26.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02.2021 № 64 «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фінансову підтримку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ветеранів Менської міської територіальної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громади»</w:t>
      </w:r>
      <w:r>
        <w:rPr>
          <w:sz w:val="28"/>
        </w:rPr>
      </w:r>
      <w:r/>
    </w:p>
    <w:p>
      <w:pPr>
        <w:pStyle w:val="686"/>
        <w:ind w:right="5102"/>
        <w:jc w:val="both"/>
        <w:keepNext/>
        <w:spacing w:lineRule="auto" w:line="240" w:after="0"/>
        <w:tabs>
          <w:tab w:val="left" w:pos="4962" w:leader="none"/>
        </w:tabs>
        <w:rPr>
          <w:bCs/>
          <w:sz w:val="28"/>
          <w:szCs w:val="28"/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/>
    </w:p>
    <w:p>
      <w:pPr>
        <w:pStyle w:val="686"/>
        <w:ind w:right="5102"/>
        <w:jc w:val="both"/>
        <w:keepNext/>
        <w:spacing w:lineRule="auto" w:line="240" w:after="0"/>
        <w:tabs>
          <w:tab w:val="left" w:pos="4962" w:leader="none"/>
        </w:tabs>
        <w:rPr>
          <w:bCs/>
          <w:sz w:val="28"/>
          <w:szCs w:val="28"/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/>
    </w:p>
    <w:p>
      <w:pPr>
        <w:pStyle w:val="686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ПРОГРАМА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ФІНАНСОВОЇ </w:t>
      </w:r>
      <w:r>
        <w:rPr>
          <w:rFonts w:ascii="Times New Roman" w:hAnsi="Times New Roman"/>
          <w:b/>
          <w:iCs/>
          <w:sz w:val="32"/>
          <w:szCs w:val="32"/>
        </w:rPr>
        <w:t xml:space="preserve">ПІДТРИМКИ ГРОМАДСЬКИХ 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ОБ’ЄДНАНЬ</w:t>
      </w:r>
      <w:r>
        <w:rPr>
          <w:rFonts w:ascii="Times New Roman" w:hAnsi="Times New Roman"/>
          <w:b/>
          <w:iCs/>
          <w:sz w:val="32"/>
          <w:szCs w:val="32"/>
        </w:rPr>
        <w:t xml:space="preserve"> ВЕТЕРАНІВ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МЕНСЬКОЇ МІСЬКОЇ ТЕРИТОРІАЛЬНОЇ ГРОМАДИ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НА 2021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 РІК</w:t>
      </w:r>
      <w:r/>
    </w:p>
    <w:p>
      <w:pPr>
        <w:ind w:left="65"/>
        <w:jc w:val="center"/>
        <w:rPr>
          <w:lang w:val="uk-UA"/>
        </w:rPr>
      </w:pPr>
      <w:r>
        <w:rPr>
          <w:lang w:val="uk-UA"/>
        </w:rPr>
      </w:r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720" w:right="7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Мена</w:t>
      </w:r>
      <w:r/>
    </w:p>
    <w:p>
      <w:pPr>
        <w:ind w:left="720" w:right="7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</w:t>
      </w:r>
      <w:r>
        <w:rPr>
          <w:rFonts w:ascii="Times New Roman" w:hAnsi="Times New Roman"/>
          <w:lang w:val="uk-UA"/>
        </w:rPr>
        <w:t xml:space="preserve">1</w:t>
      </w:r>
      <w:r>
        <w:rPr>
          <w:rFonts w:ascii="Times New Roman" w:hAnsi="Times New Roman"/>
        </w:rPr>
        <w:t xml:space="preserve">рік</w:t>
      </w:r>
      <w:r/>
    </w:p>
    <w:p>
      <w:r>
        <w:br w:type="page"/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ПАСПОРТ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ІДТРИМКИ ГРОМАДСЬКИХ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ОБ’ЄДНАНЬ </w:t>
      </w:r>
      <w:r>
        <w:rPr>
          <w:rFonts w:ascii="Times New Roman" w:hAnsi="Times New Roman"/>
          <w:b/>
          <w:sz w:val="28"/>
          <w:szCs w:val="28"/>
        </w:rPr>
        <w:t xml:space="preserve">ВЕТЕРАНІВ НА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/>
    </w:p>
    <w:tbl>
      <w:tblPr>
        <w:tblStyle w:val="717"/>
        <w:tblW w:w="9675" w:type="dxa"/>
        <w:tblInd w:w="-31" w:type="dxa"/>
        <w:tblLayout w:type="fixed"/>
        <w:tblCellMar>
          <w:left w:w="110" w:type="dxa"/>
          <w:top w:w="11" w:type="dxa"/>
          <w:right w:w="41" w:type="dxa"/>
        </w:tblCellMar>
        <w:tblLook w:val="04A0" w:firstRow="1" w:lastRow="0" w:firstColumn="1" w:lastColumn="0" w:noHBand="0" w:noVBand="1"/>
      </w:tblPr>
      <w:tblGrid>
        <w:gridCol w:w="626"/>
        <w:gridCol w:w="3307"/>
        <w:gridCol w:w="5742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/>
          </w:p>
        </w:tc>
      </w:tr>
      <w:tr>
        <w:trPr>
          <w:trHeight w:val="3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Дата, номер і назва документу, на підставі яких розроблена Програма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2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Закони України «Про статус ветеранів війни,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їх соціального захисту», «Про соціальний захист дітей війни», «Про жертви нацистських перес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лідувань», 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Указ Президента України «Про основні засади соціального захисту ветер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анів праці та інших громадян похилого віку в Україні» від 16.12.1993 № 3721-ХІІ, розпорядження Кабінету Міністрів України «Про заходи з увічнення пам’яті захисників України на період до 2025 року»  від 20.01.2021 № 37-р, Бюджетний кодекс України та інші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охорони здоров’я та соціального захисту населення Менської міської ради</w:t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4.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lang w:val="uk-UA"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lang w:val="uk-UA" w:bidi="ar-SA" w:eastAsia="ru-RU"/>
              </w:rPr>
              <w:t xml:space="preserve">Фінансове управління, Відділ  бухгалтерського обліку та звітності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lang w:val="uk-UA" w:bidi="ar-SA"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lang w:val="uk-UA" w:bidi="ar-SA" w:eastAsia="ru-RU"/>
              </w:rPr>
              <w:t xml:space="preserve">громадські об’єднання ветеранів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lang w:val="uk-UA" w:bidi="ar-SA" w:eastAsia="ru-RU"/>
              </w:rPr>
              <w:t xml:space="preserve"> </w:t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виконавець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/>
          </w:p>
        </w:tc>
      </w:tr>
      <w:tr>
        <w:trPr>
          <w:trHeight w:val="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Учасники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рада, </w:t>
            </w:r>
            <w:r/>
          </w:p>
          <w:p>
            <w:pPr>
              <w:ind w:right="4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громадські об’єднання ветеранів </w:t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рік</w:t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8.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Загальний орієнтований обсяг ресурсів, необхідних для реалізації Програми, 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грн</w:t>
            </w:r>
            <w:r/>
          </w:p>
        </w:tc>
      </w:tr>
    </w:tbl>
    <w:p>
      <w:pPr>
        <w:ind w:left="65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ВИЗНАЧЕННЯ ПРОБЛЕМ, НА РОЗВ’ЯЗАННЯ ЯКИХ СПРЯМОВАНА ПРОГРАМА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спрямована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фінансову підтримку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діють на території Менської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які об’єднують ветеранів Другої </w:t>
      </w:r>
      <w:r>
        <w:rPr>
          <w:rFonts w:ascii="Times New Roman" w:hAnsi="Times New Roman"/>
          <w:sz w:val="28"/>
          <w:szCs w:val="28"/>
          <w:lang w:val="uk-UA"/>
        </w:rPr>
        <w:t xml:space="preserve">св</w:t>
      </w:r>
      <w:r>
        <w:rPr>
          <w:rFonts w:ascii="Times New Roman" w:hAnsi="Times New Roman"/>
          <w:sz w:val="28"/>
          <w:szCs w:val="28"/>
          <w:lang w:val="uk-UA"/>
        </w:rPr>
        <w:t xml:space="preserve">ітової війни, </w:t>
      </w:r>
      <w:r>
        <w:rPr>
          <w:rFonts w:ascii="Times New Roman" w:hAnsi="Times New Roman"/>
          <w:sz w:val="28"/>
          <w:szCs w:val="28"/>
        </w:rPr>
        <w:t xml:space="preserve">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війни</w:t>
      </w:r>
      <w:r>
        <w:rPr>
          <w:rFonts w:ascii="Times New Roman" w:hAnsi="Times New Roman"/>
          <w:sz w:val="28"/>
          <w:szCs w:val="28"/>
          <w:lang w:val="uk-UA"/>
        </w:rPr>
        <w:t xml:space="preserve">, інвалідів, громадян похилого віку, учасників бойових дій на території інших держав, </w:t>
      </w:r>
      <w:r>
        <w:rPr>
          <w:rFonts w:ascii="Times New Roman" w:hAnsi="Times New Roman"/>
          <w:sz w:val="28"/>
          <w:szCs w:val="28"/>
        </w:rPr>
        <w:t xml:space="preserve">ліквідаторів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Чорнобильській</w:t>
      </w:r>
      <w:r>
        <w:rPr>
          <w:rFonts w:ascii="Times New Roman" w:hAnsi="Times New Roman"/>
          <w:sz w:val="28"/>
          <w:szCs w:val="28"/>
        </w:rPr>
        <w:t xml:space="preserve"> АЕС, </w:t>
      </w:r>
      <w:r>
        <w:rPr>
          <w:rFonts w:ascii="Times New Roman" w:hAnsi="Times New Roman"/>
          <w:sz w:val="28"/>
          <w:szCs w:val="28"/>
        </w:rPr>
        <w:t xml:space="preserve">в’язнів-жертв</w:t>
      </w:r>
      <w:r>
        <w:rPr>
          <w:rFonts w:ascii="Times New Roman" w:hAnsi="Times New Roman"/>
          <w:sz w:val="28"/>
          <w:szCs w:val="28"/>
        </w:rPr>
        <w:t xml:space="preserve"> нацизму</w:t>
      </w:r>
      <w:r>
        <w:rPr>
          <w:rFonts w:ascii="Times New Roman" w:hAnsi="Times New Roman"/>
          <w:sz w:val="28"/>
          <w:szCs w:val="28"/>
          <w:lang w:val="uk-UA"/>
        </w:rPr>
        <w:t xml:space="preserve">, учасників бойових дій в АТО/ООС, ветеранів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ійськової служби та служби в інших силових структурах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обумовлена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потребою </w:t>
      </w:r>
      <w:r>
        <w:rPr>
          <w:rFonts w:ascii="Times New Roman" w:hAnsi="Times New Roman"/>
          <w:sz w:val="28"/>
          <w:szCs w:val="28"/>
        </w:rPr>
        <w:t xml:space="preserve">вдосконаленням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їх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ідтримки,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механізму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підвищенні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ролі</w:t>
      </w:r>
      <w:r>
        <w:rPr>
          <w:rFonts w:ascii="Times New Roman" w:hAnsi="Times New Roman"/>
          <w:sz w:val="28"/>
          <w:szCs w:val="28"/>
        </w:rPr>
        <w:t xml:space="preserve"> та авторитету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громадському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розрахована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розв’язання</w:t>
      </w:r>
      <w:r>
        <w:rPr>
          <w:rFonts w:ascii="Times New Roman" w:hAnsi="Times New Roman"/>
          <w:sz w:val="28"/>
          <w:szCs w:val="28"/>
        </w:rPr>
        <w:t xml:space="preserve"> проблем в </w:t>
      </w:r>
      <w:r>
        <w:rPr>
          <w:rFonts w:ascii="Times New Roman" w:hAnsi="Times New Roman"/>
          <w:sz w:val="28"/>
          <w:szCs w:val="28"/>
        </w:rPr>
        <w:t xml:space="preserve">напрямку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ідповідних категорій громадян, на проведення заходів з відзначення святкових, пам’ятних та історичних дат,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відвідування військових поховань і військових пам’ятників, вшанування ветеранів війни, жертв нацистських переслідувань та політичних репр</w:t>
      </w:r>
      <w:r>
        <w:rPr>
          <w:rFonts w:ascii="Times New Roman" w:hAnsi="Times New Roman"/>
          <w:sz w:val="28"/>
          <w:szCs w:val="28"/>
          <w:lang w:val="uk-UA"/>
        </w:rPr>
        <w:t xml:space="preserve">есій, захистом незалежності,</w:t>
      </w:r>
      <w:r>
        <w:rPr>
          <w:rFonts w:ascii="Times New Roman" w:hAnsi="Times New Roman"/>
          <w:sz w:val="28"/>
          <w:szCs w:val="28"/>
          <w:lang w:val="uk-UA"/>
        </w:rPr>
        <w:t xml:space="preserve"> суверенітету та територіальної цілісності України тощо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ЗАХОДИ </w:t>
      </w:r>
      <w:r>
        <w:rPr>
          <w:rFonts w:ascii="Times New Roman" w:hAnsi="Times New Roman"/>
          <w:b/>
          <w:sz w:val="28"/>
          <w:szCs w:val="28"/>
        </w:rPr>
        <w:t xml:space="preserve"> ПРОГРАМИ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</w:t>
      </w:r>
      <w:r>
        <w:rPr>
          <w:rFonts w:ascii="Times New Roman" w:hAnsi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найважливіших</w:t>
      </w:r>
      <w:r>
        <w:rPr>
          <w:rFonts w:ascii="Times New Roman" w:hAnsi="Times New Roman"/>
          <w:sz w:val="28"/>
          <w:szCs w:val="28"/>
        </w:rPr>
        <w:t xml:space="preserve"> проблем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ветеранів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свобод, </w:t>
      </w:r>
      <w:r>
        <w:rPr>
          <w:rFonts w:ascii="Times New Roman" w:hAnsi="Times New Roman"/>
          <w:sz w:val="28"/>
          <w:szCs w:val="28"/>
        </w:rPr>
        <w:t xml:space="preserve">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</w:t>
      </w:r>
      <w:r>
        <w:rPr>
          <w:rFonts w:ascii="Times New Roman" w:hAnsi="Times New Roman"/>
          <w:sz w:val="28"/>
          <w:szCs w:val="28"/>
        </w:rPr>
        <w:t xml:space="preserve">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на вирішення питання популяризації їх діяльності, активізацію громадського життя, проведення заходів, спрямованих на патріотичне виховання, історичний та духовний розвиток жителів громади.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зазначеної</w:t>
      </w:r>
      <w:r>
        <w:rPr>
          <w:rFonts w:ascii="Times New Roman" w:hAnsi="Times New Roman"/>
          <w:sz w:val="28"/>
          <w:szCs w:val="28"/>
        </w:rPr>
        <w:t xml:space="preserve"> мети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Кошти, передбачені на реалізацію Програми, спрямовуються громадським об’єднанням ветеранів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використовуватись на наступні заходи: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відзначення святкових, пам’ятних та історичних дат, пов’язаних з вшануванням та увічненням пам’яті ветеранів війни, жертв нацистськ</w:t>
      </w:r>
      <w:r>
        <w:rPr>
          <w:rFonts w:ascii="Times New Roman" w:hAnsi="Times New Roman"/>
          <w:sz w:val="28"/>
          <w:szCs w:val="28"/>
          <w:lang w:val="uk-UA"/>
        </w:rPr>
        <w:t xml:space="preserve">их переслідувань та політичних репресій,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України, а також відвідування військових поховань і військових пам’ятників;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проведення конференцій, пленумів, тренінгів, курсів, навчальних семінарів, засідань «круглого столу», спеціалізованих фестивалів, виставок, концертів, вечорів відпочинку, конкурсів та оглядів за участю творчих колективів громадських організацій ветеранів;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 (змагань, чемпіонатів тощо), 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реабілітаційних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(запрошення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реабілітологів</w:t>
      </w:r>
      <w:r>
        <w:rPr>
          <w:rFonts w:ascii="Times New Roman" w:hAnsi="Times New Roman"/>
          <w:sz w:val="28"/>
          <w:szCs w:val="28"/>
          <w:lang w:val="uk-UA"/>
        </w:rPr>
        <w:t xml:space="preserve">, психологів до зустрічі з відповідними категоріями громадян в рамках Програми, оплата їх послуг)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інформаційно-просвітницьких заходів;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заходів з військово-патріотичного виховання, організація зустрічей з ветеранами, відвідування місць поховань, музеїв, місць бойової слави тощо;</w:t>
      </w:r>
      <w:r/>
    </w:p>
    <w:p>
      <w:pPr>
        <w:ind w:left="-15" w:firstLine="711"/>
        <w:jc w:val="both"/>
        <w:tabs>
          <w:tab w:val="left" w:pos="1134" w:leader="none"/>
        </w:tabs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 та виготовлення періодичних, довідкових, інформаційних, аналітичних та методичних видань з питань соціального захисту, реабілітації, соціалізації, адаптації, працевлаштування (без права їх подальшого використання в комерційних цілях);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сприяння увічненню Перемоги у Другій світовій війні, збереження пам’ятників і меморі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алів захисникам Вітчизни, видатним людям праці, науки, культури; участі у героїко-патріотичному вихованні молоді на кращих традиціях старших поколінь з метою прищеплення поваги до культурного і духовного надбання батьків, збереження спадкоємності поколінь;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ab/>
        <w:t xml:space="preserve">8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підтримання розвитку художньої самодіяльності, фізичної культури серед ветеранів, інвалідів;</w:t>
      </w:r>
      <w:r/>
    </w:p>
    <w:p>
      <w:pPr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придбання квіткової продукції (вінків, квітів), сувенірної продукції, призів, книжок тощо;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адміністративні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витрати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організаційне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матеріально-технічне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проєктів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їх статутних завдань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саме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оплата праці (матеріальне заохочення)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громадських об’єднань 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обсягах, що не перевищує </w:t>
      </w:r>
      <w:r>
        <w:rPr>
          <w:rFonts w:ascii="Times New Roman" w:hAnsi="Times New Roman"/>
          <w:sz w:val="28"/>
          <w:szCs w:val="28"/>
          <w:lang w:val="uk-UA"/>
        </w:rPr>
        <w:t xml:space="preserve"> розмір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мінімальної заробітної плати</w:t>
      </w:r>
      <w:r>
        <w:rPr>
          <w:rFonts w:ascii="Times New Roman" w:hAnsi="Times New Roman"/>
          <w:sz w:val="28"/>
          <w:szCs w:val="28"/>
          <w:lang w:val="uk-UA"/>
        </w:rPr>
        <w:t xml:space="preserve"> на місяць)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оренда нежитлових приміщень у разі відсутності власних приміщень громадських об’єднань, або надання їм безоплатно таких приміщень у встановленому порядку;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оплата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середніх норм споживання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приміщень (</w:t>
      </w:r>
      <w:hyperlink w:tooltip="Current Document" w:anchor="n502" w:history="1">
        <w:r>
          <w:rPr>
            <w:rStyle w:val="672"/>
            <w:rFonts w:ascii="Times New Roman" w:hAnsi="Times New Roman" w:eastAsia="Arial"/>
            <w:color w:val="auto"/>
            <w:sz w:val="28"/>
            <w:szCs w:val="28"/>
            <w:u w:val="none"/>
            <w:lang w:val="uk-UA"/>
          </w:rPr>
          <w:t xml:space="preserve">статті 20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статус 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війни, гарантії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), в 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провадить свою статутну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канцелярських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оргтехніки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транспортних послуг;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заходи,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  статут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ветеранської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прибутку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696"/>
        <w:ind w:firstLine="303"/>
        <w:jc w:val="both"/>
        <w:spacing w:after="225" w:afterAutospacing="0" w:before="225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бюджетних ко</w:t>
      </w:r>
      <w:r>
        <w:rPr>
          <w:sz w:val="28"/>
          <w:szCs w:val="28"/>
          <w:lang w:val="uk-UA"/>
        </w:rPr>
        <w:t xml:space="preserve">штів на інші цілі забороняється.</w:t>
      </w:r>
      <w:r/>
    </w:p>
    <w:p>
      <w:pPr>
        <w:pStyle w:val="696"/>
        <w:ind w:firstLine="303"/>
        <w:jc w:val="both"/>
        <w:spacing w:after="225" w:afterAutospacing="0" w:before="225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shd w:val="nil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ФІНАНСОВЕ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/>
    </w:p>
    <w:p>
      <w:pPr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 xml:space="preserve">аси</w:t>
      </w:r>
      <w:r>
        <w:rPr>
          <w:rFonts w:ascii="Times New Roman" w:hAnsi="Times New Roman"/>
          <w:sz w:val="28"/>
          <w:szCs w:val="28"/>
        </w:rPr>
        <w:t xml:space="preserve">гнувань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бюджеті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заборонених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При цьому обсяг коштів визна</w:t>
      </w:r>
      <w:r>
        <w:rPr>
          <w:rFonts w:ascii="Times New Roman" w:hAnsi="Times New Roman"/>
          <w:sz w:val="28"/>
          <w:szCs w:val="28"/>
          <w:lang w:val="uk-UA"/>
        </w:rPr>
        <w:t xml:space="preserve">чається міською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формування бюджету з урахуванням його фінансових можливостей та може змінюватись в процесі виконання бюджету при внесенні змін до нього.   </w:t>
      </w:r>
      <w:r/>
    </w:p>
    <w:p>
      <w:pPr>
        <w:ind w:left="-15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Витрачання коштів громадськими організаціями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реалізацію заходів, передбачених розділом 3 даної Програми відповідно до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Порядку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</w:r>
      <w:r/>
    </w:p>
    <w:p>
      <w:pPr>
        <w:ind w:left="-15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ab/>
        <w:t xml:space="preserve">Фінансова підтримка громадських об’єднань ветеранів надається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громадським організаціям, діяльність яких поширюється на територію Менської міської територіальної громади з врахуванням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особливостей розвитку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 громаді ветеранського руху,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активності і ефективності діяльності громадських організацій ветеранського спрямування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 а також кількості учасників (членів) громадської організації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 </w:t>
      </w:r>
      <w:r/>
    </w:p>
    <w:p>
      <w:pPr>
        <w:ind w:left="-15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ab/>
        <w:t xml:space="preserve">Обсяги фінансування Програми на 2021 рік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на конкретні заходи підтримки громадських об’єднань ветеранів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визначені у Додатку до даної Програми. </w:t>
      </w:r>
      <w:r/>
    </w:p>
    <w:p>
      <w:pPr>
        <w:ind w:left="-15"/>
        <w:jc w:val="both"/>
        <w:tabs>
          <w:tab w:val="center" w:pos="448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ОЧІКУВАНІ РЕЗУЛЬТАТИ  ВИКОНАННЯ ПРОГРАМИ 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 категорій громадян;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взаємодії між громадськими об’єднаннями ветеранів та Менською міською радою з метою вирішення спільних завдань та реалізації спільних заходів;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активізація діяльності громадських організацій у громаді, зростання ролі громадськості у життєдіяльності територіальної громади.</w:t>
      </w:r>
      <w:r/>
    </w:p>
    <w:p>
      <w:pPr>
        <w:shd w:val="nil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686"/>
        <w:ind w:left="5669" w:right="142" w:firstLine="0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iCs/>
          <w:sz w:val="24"/>
          <w:szCs w:val="20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Додаток </w:t>
      </w:r>
      <w:r>
        <w:rPr>
          <w:sz w:val="24"/>
        </w:rPr>
      </w:r>
      <w:r/>
    </w:p>
    <w:p>
      <w:pPr>
        <w:pStyle w:val="686"/>
        <w:ind w:left="5669" w:right="142" w:firstLine="0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sz w:val="24"/>
          <w:szCs w:val="20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 Програми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ab/>
        <w:t xml:space="preserve">фінансової 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ab/>
        <w:t xml:space="preserve">ветеранів Менської міської територіальної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 xml:space="preserve">громади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 xml:space="preserve"> на 2021 рік</w:t>
      </w:r>
      <w:r>
        <w:rPr>
          <w:sz w:val="24"/>
        </w:rPr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ОБСЯГИ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ТА НАПРМКИ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ФІНАНСУВАННЯ </w:t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ПІДТРИМКИ ГРОМАДСЬКИХ </w:t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ОБ’ЄДНАНЬ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ВЕТЕРАНІВ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МЕНСЬКОЇ МІСЬКОЇ ТЕРИТОРІАЛЬНОЇ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НА 2021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РІК</w:t>
      </w:r>
      <w:r/>
    </w:p>
    <w:tbl>
      <w:tblPr>
        <w:tblStyle w:val="546"/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842"/>
        <w:gridCol w:w="2940"/>
        <w:gridCol w:w="2412"/>
      </w:tblGrid>
      <w:tr>
        <w:trPr/>
        <w:tc>
          <w:tcPr>
            <w:tcW w:w="5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Напрямки фінансування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Обсяги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фінансування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грн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Громадська організація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Примітка</w:t>
            </w:r>
            <w:r/>
          </w:p>
        </w:tc>
      </w:tr>
      <w:tr>
        <w:trPr/>
        <w:tc>
          <w:tcPr>
            <w:tcW w:w="58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1)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Видатки на оплату праці</w:t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2)Нарахування ЄСВ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500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,00</w:t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185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00,00</w:t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Організація ветеранів України Менської міської ОТГ 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Із розрахунку 0,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5 ставки  від мінімальної заробітної плати керівнику ветеранської організації; </w:t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0,25 ставки від мінімальної заробітної плати бухгалтеру</w:t>
            </w:r>
            <w:r/>
          </w:p>
        </w:tc>
      </w:tr>
      <w:tr>
        <w:trPr/>
        <w:tc>
          <w:tcPr>
            <w:tcW w:w="58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Оплата комунальних послуг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2400,00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Організація ветеранів України Менської міської  ОТГ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tcW w:w="58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0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Проведення заходів згідно з напрямками визначених програмою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23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600,00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Організація ветеранів України Менської міської  ОТГ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 врахуванням заходів, що проводяться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Менською районною спілко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ю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ветеранів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Чорнобиля,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первинною організацією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Асоціації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ветеранів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МВС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W w:w="58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000,00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Менська територіальна організація воїнів-афганців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tcW w:w="58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000,00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Менська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районна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організація учасників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Антитерористичної організації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-</w:t>
            </w:r>
            <w:r/>
          </w:p>
        </w:tc>
      </w:tr>
    </w:tbl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6"/>
        <w:ind w:left="5386" w:right="142" w:firstLine="0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4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Додаток 2 </w:t>
      </w:r>
      <w:r/>
    </w:p>
    <w:p>
      <w:pPr>
        <w:pStyle w:val="686"/>
        <w:ind w:left="5386" w:right="142" w:firstLine="0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4"/>
          <w:szCs w:val="20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 рішення 3 сесії Менської міської ради </w:t>
      </w: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8 скликання від 26</w:t>
      </w: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.02.2021 № __ «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 xml:space="preserve">фінансову підтримку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ab/>
        <w:t xml:space="preserve">ветеранів Менської міської територіальної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 xml:space="preserve">громади»</w:t>
      </w:r>
      <w:r>
        <w:rPr>
          <w:sz w:val="24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br/>
      </w: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ru-RU"/>
        </w:rPr>
        <w:t xml:space="preserve">ПОРЯДОК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br/>
      </w: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використання коштів, передбачених в бюджеті Менської міської територіальної громади для надання фінансової підтримки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громадським об’єднанням ветеранів </w:t>
      </w:r>
      <w:r/>
    </w:p>
    <w:p>
      <w:pPr>
        <w:ind w:left="0" w:right="0" w:firstLine="709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1. Цей Порядок визначає механізм використання коштів, передбачених в бюджеті Менської міської територіальної громади на відповідний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2021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рік по функції «Фінансова підтримка громадських організацій ветеранів» (далі по тексту – бюджетні кошти)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</w:r>
      <w:r/>
    </w:p>
    <w:p>
      <w:pPr>
        <w:ind w:left="0" w:right="0" w:firstLine="709"/>
        <w:jc w:val="both"/>
        <w:rPr>
          <w:rFonts w:ascii="Times New Roman" w:hAnsi="Times New Roman" w:eastAsia="Times New Roman"/>
          <w:color w:val="FF0000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2. Головним розпорядником бюджетних коштів є Менсь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ка міська рада, їх одержувачем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– громадськ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об’єднання ветеранів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України Менської міської ОТГ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Координація співпраці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сіх громадських організацій – учасників прогр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ми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здійснюється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ідділ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охорони здоров’я та соціального захисту населення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Фінансування за напрямками Програм здійснюється з врахуванням Меморандуму про співпрацю між громадськими об’єднаннями ветеранів через одержувача коштів -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Організацію ветеранів України Менської міської ОТГ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 Для отримання бюджетних коштів з метою їх використання в рамках виконання Програми фінансової підтримки громадських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об’єднань ветеранів на 2021 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 затвердженої даним рішенням (далі – Програма),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організація (об’єднання)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громадська організація – одержувач бюджетних коштів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подає до Менської міської ради відповідну заявку щодо потреби коштів та напрямки їх використання.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Така заявка, а також інші необхідні документи, подаються не пізніше, ніж за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днів до проведення заходів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до відділу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бухгалтерського обліку та звітності Менської міської ради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за встановленою ним формою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Координація діяльності з питань реалізації Програми покладається на відділ охорони здоров’я та соціального захисту населення Менської міської ради.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5.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Звіт про використання бюджетних коштів за попередній рік (у разі їх отримання) з відповідними підтверд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жувальними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документами, засвідчений підписом керівника громадської організації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– одержувача коштів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 що скріплений її печаткою, подається до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відділу бухгалтерського обліку та звітності Менської міської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Операції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пов’язан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використанням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проводяться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відповідно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до Порядку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обслуговування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місцевого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бюджету за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видатками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затвердженого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Державним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казначейством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України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br/>
        <w:tab/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Складання і подання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бухгалтерської та фінансової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звітності про використання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коштів, а також контроль за їх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цільовим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витрачанням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здійснюються в установленому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законодавством порядку.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здійснення внутрішнього контролю за витрачанням бюджетних коштів та з метою виділення додаткових коштів, головний розпорядник коштів або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</w:t>
      </w:r>
      <w:r>
        <w:rPr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мають право затребувати у громадської організації, що отримує фінансову підтримку з бюджету, проміжний фінансовий звіт з відповідними документами, які це підтверджують.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покладається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одержувач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86"/>
        <w:ind w:right="140"/>
        <w:jc w:val="both"/>
        <w:keepNext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bCs/>
          <w:iCs/>
          <w:color w:val="7030A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ab/>
        <w:t xml:space="preserve">10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Пере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розподіл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обсягів фінансування, встановлених у пункті 3 додатку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до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проводиться за письмовою згодою керівників грома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дських організацій – учасників Програми та головного розпорядника бюджетних коштів.</w:t>
      </w:r>
      <w:r/>
    </w:p>
    <w:p>
      <w:pPr>
        <w:pStyle w:val="686"/>
        <w:ind w:right="140"/>
        <w:jc w:val="both"/>
        <w:keepNext/>
        <w:spacing w:lineRule="auto" w:line="240" w:after="0"/>
        <w:tabs>
          <w:tab w:val="left" w:pos="567" w:leader="none"/>
          <w:tab w:val="left" w:pos="4962" w:leader="none"/>
        </w:tabs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color w:val="7030A0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11. Зміна розміру фінансування П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рограми в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цілому та окремих її учасників проводиться у порядку, визначеному для  складання, розгляду, затвердження та основних вимог до виконання кошторисів бюджетних установ.</w:t>
      </w:r>
      <w:r/>
    </w:p>
    <w:p>
      <w:pPr>
        <w:pStyle w:val="686"/>
        <w:ind w:right="140"/>
        <w:jc w:val="both"/>
        <w:keepNext/>
        <w:spacing w:lineRule="auto" w:line="240" w:after="0"/>
        <w:tabs>
          <w:tab w:val="left" w:pos="567" w:leader="none"/>
          <w:tab w:val="left" w:pos="4962" w:leader="none"/>
        </w:tabs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color w:val="7030A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 Залишки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кошторисних призна</w:t>
      </w:r>
      <w:r>
        <w:rPr>
          <w:rFonts w:ascii="Times New Roman" w:hAnsi="Times New Roman"/>
          <w:sz w:val="28"/>
          <w:szCs w:val="28"/>
          <w:lang w:val="uk-UA"/>
        </w:rPr>
        <w:t xml:space="preserve">чень, визначених на реалізацію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що складуться на кінець бюджетного року, використовуються у порядку, визначеному Бюджетним кодексом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 w:bidi="ar-SA"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 w:bidi="ar-SA" w:eastAsia="ru-RU"/>
        </w:rPr>
      </w:r>
      <w:r/>
    </w:p>
    <w:p>
      <w:pPr>
        <w:pStyle w:val="715"/>
        <w:spacing w:after="225" w:afterAutospacing="0" w:before="225" w:beforeAutospacing="0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276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"/>
  </w:num>
  <w:num w:numId="5">
    <w:abstractNumId w:val="27"/>
  </w:num>
  <w:num w:numId="6">
    <w:abstractNumId w:val="18"/>
  </w:num>
  <w:num w:numId="7">
    <w:abstractNumId w:val="8"/>
  </w:num>
  <w:num w:numId="8">
    <w:abstractNumId w:val="22"/>
  </w:num>
  <w:num w:numId="9">
    <w:abstractNumId w:val="19"/>
  </w:num>
  <w:num w:numId="10">
    <w:abstractNumId w:val="9"/>
  </w:num>
  <w:num w:numId="11">
    <w:abstractNumId w:val="17"/>
  </w:num>
  <w:num w:numId="12">
    <w:abstractNumId w:val="11"/>
  </w:num>
  <w:num w:numId="13">
    <w:abstractNumId w:val="7"/>
  </w:num>
  <w:num w:numId="14">
    <w:abstractNumId w:val="15"/>
  </w:num>
  <w:num w:numId="15">
    <w:abstractNumId w:val="16"/>
  </w:num>
  <w:num w:numId="16">
    <w:abstractNumId w:val="4"/>
  </w:num>
  <w:num w:numId="17">
    <w:abstractNumId w:val="25"/>
  </w:num>
  <w:num w:numId="18">
    <w:abstractNumId w:val="13"/>
  </w:num>
  <w:num w:numId="19">
    <w:abstractNumId w:val="14"/>
  </w:num>
  <w:num w:numId="20">
    <w:abstractNumId w:val="3"/>
  </w:num>
  <w:num w:numId="21">
    <w:abstractNumId w:val="10"/>
  </w:num>
  <w:num w:numId="22">
    <w:abstractNumId w:val="26"/>
  </w:num>
  <w:num w:numId="23">
    <w:abstractNumId w:val="21"/>
  </w:num>
  <w:num w:numId="24">
    <w:abstractNumId w:val="12"/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5">
    <w:name w:val="Heading 1"/>
    <w:basedOn w:val="475"/>
    <w:next w:val="475"/>
    <w:link w:val="5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6">
    <w:name w:val="Heading 2"/>
    <w:basedOn w:val="475"/>
    <w:next w:val="475"/>
    <w:link w:val="5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basedOn w:val="475"/>
    <w:next w:val="475"/>
    <w:link w:val="5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basedOn w:val="475"/>
    <w:next w:val="475"/>
    <w:link w:val="5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basedOn w:val="475"/>
    <w:next w:val="475"/>
    <w:link w:val="5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basedOn w:val="475"/>
    <w:next w:val="475"/>
    <w:link w:val="5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1">
    <w:name w:val="Heading 7"/>
    <w:basedOn w:val="475"/>
    <w:next w:val="475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2">
    <w:name w:val="Heading 8"/>
    <w:basedOn w:val="475"/>
    <w:next w:val="475"/>
    <w:link w:val="5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3">
    <w:name w:val="Heading 9"/>
    <w:basedOn w:val="475"/>
    <w:next w:val="475"/>
    <w:link w:val="5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54">
    <w:name w:val="Header"/>
    <w:basedOn w:val="475"/>
    <w:link w:val="5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55">
    <w:name w:val="Footer"/>
    <w:basedOn w:val="475"/>
    <w:link w:val="5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56">
    <w:name w:val="Plain Table 1"/>
    <w:basedOn w:val="4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4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>
    <w:name w:val="Grid Table 5 Dark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7 Colorful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2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0">
    <w:name w:val="List Table 3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5 Dark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3">
    <w:name w:val="List Table 6 Colorful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74">
    <w:name w:val="List Table 7 Colorful"/>
    <w:basedOn w:val="4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75" w:default="1">
    <w:name w:val="Normal"/>
    <w:qFormat/>
    <w:rPr>
      <w:lang w:val="ru-RU" w:bidi="en-US" w:eastAsia="en-US"/>
    </w:rPr>
  </w:style>
  <w:style w:type="character" w:styleId="476" w:default="1">
    <w:name w:val="Default Paragraph Font"/>
    <w:uiPriority w:val="1"/>
    <w:semiHidden/>
    <w:unhideWhenUsed/>
  </w:style>
  <w:style w:type="table" w:styleId="4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8" w:default="1">
    <w:name w:val="No List"/>
    <w:uiPriority w:val="99"/>
    <w:semiHidden/>
    <w:unhideWhenUsed/>
  </w:style>
  <w:style w:type="table" w:styleId="479" w:customStyle="1">
    <w:name w:val="Таблица простая 11"/>
    <w:basedOn w:val="4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0" w:customStyle="1">
    <w:name w:val="Таблица простая 21"/>
    <w:basedOn w:val="47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 w:customStyle="1">
    <w:name w:val="Таблица простая 31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2" w:customStyle="1">
    <w:name w:val="Таблица простая 41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Таблица простая 51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4" w:customStyle="1">
    <w:name w:val="Таблица-сетка 1 светлая1"/>
    <w:basedOn w:val="47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Таблица-сетка 21"/>
    <w:basedOn w:val="4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Таблица-сетка 31"/>
    <w:basedOn w:val="4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Таблица-сетка 41"/>
    <w:basedOn w:val="47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Таблица-сетка 5 темная1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Таблица-сетка 6 цветная1"/>
    <w:basedOn w:val="47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Таблица-сетка 7 цветная1"/>
    <w:basedOn w:val="4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Список-таблица 1 светлая1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Список-таблица 21"/>
    <w:basedOn w:val="47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3" w:customStyle="1">
    <w:name w:val="Список-таблица 31"/>
    <w:basedOn w:val="4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Список-таблица 41"/>
    <w:basedOn w:val="4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Список-таблица 5 темная1"/>
    <w:basedOn w:val="47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6" w:customStyle="1">
    <w:name w:val="Список-таблица 6 цветная1"/>
    <w:basedOn w:val="47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97" w:customStyle="1">
    <w:name w:val="Список-таблица 7 цветная1"/>
    <w:basedOn w:val="4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498" w:customStyle="1">
    <w:name w:val="Заголовок 11"/>
    <w:link w:val="523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99" w:customStyle="1">
    <w:name w:val="Заголовок 21"/>
    <w:link w:val="524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500" w:customStyle="1">
    <w:name w:val="Заголовок 31"/>
    <w:link w:val="525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501" w:customStyle="1">
    <w:name w:val="Заголовок 41"/>
    <w:link w:val="52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502" w:customStyle="1">
    <w:name w:val="Заголовок 51"/>
    <w:link w:val="52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503" w:customStyle="1">
    <w:name w:val="Заголовок 61"/>
    <w:link w:val="528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504" w:customStyle="1">
    <w:name w:val="Заголовок 71"/>
    <w:link w:val="529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505" w:customStyle="1">
    <w:name w:val="Заголовок 81"/>
    <w:link w:val="530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506" w:customStyle="1">
    <w:name w:val="Заголовок 91"/>
    <w:link w:val="53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507" w:customStyle="1">
    <w:name w:val="Heading 1 Char"/>
    <w:basedOn w:val="476"/>
    <w:uiPriority w:val="9"/>
    <w:rPr>
      <w:rFonts w:ascii="Arial" w:hAnsi="Arial" w:cs="Arial" w:eastAsia="Arial"/>
      <w:sz w:val="40"/>
      <w:szCs w:val="40"/>
    </w:rPr>
  </w:style>
  <w:style w:type="character" w:styleId="508" w:customStyle="1">
    <w:name w:val="Heading 2 Char"/>
    <w:basedOn w:val="476"/>
    <w:uiPriority w:val="9"/>
    <w:rPr>
      <w:rFonts w:ascii="Arial" w:hAnsi="Arial" w:cs="Arial" w:eastAsia="Arial"/>
      <w:sz w:val="34"/>
    </w:rPr>
  </w:style>
  <w:style w:type="character" w:styleId="509" w:customStyle="1">
    <w:name w:val="Heading 3 Char"/>
    <w:basedOn w:val="476"/>
    <w:uiPriority w:val="9"/>
    <w:rPr>
      <w:rFonts w:ascii="Arial" w:hAnsi="Arial" w:cs="Arial" w:eastAsia="Arial"/>
      <w:sz w:val="30"/>
      <w:szCs w:val="30"/>
    </w:rPr>
  </w:style>
  <w:style w:type="character" w:styleId="510" w:customStyle="1">
    <w:name w:val="Heading 4 Char"/>
    <w:basedOn w:val="476"/>
    <w:uiPriority w:val="9"/>
    <w:rPr>
      <w:rFonts w:ascii="Arial" w:hAnsi="Arial" w:cs="Arial" w:eastAsia="Arial"/>
      <w:b/>
      <w:bCs/>
      <w:sz w:val="26"/>
      <w:szCs w:val="26"/>
    </w:rPr>
  </w:style>
  <w:style w:type="character" w:styleId="511" w:customStyle="1">
    <w:name w:val="Heading 5 Char"/>
    <w:basedOn w:val="476"/>
    <w:uiPriority w:val="9"/>
    <w:rPr>
      <w:rFonts w:ascii="Arial" w:hAnsi="Arial" w:cs="Arial" w:eastAsia="Arial"/>
      <w:b/>
      <w:bCs/>
      <w:sz w:val="24"/>
      <w:szCs w:val="24"/>
    </w:rPr>
  </w:style>
  <w:style w:type="character" w:styleId="512" w:customStyle="1">
    <w:name w:val="Heading 6 Char"/>
    <w:basedOn w:val="476"/>
    <w:uiPriority w:val="9"/>
    <w:rPr>
      <w:rFonts w:ascii="Arial" w:hAnsi="Arial" w:cs="Arial" w:eastAsia="Arial"/>
      <w:b/>
      <w:bCs/>
      <w:sz w:val="22"/>
      <w:szCs w:val="22"/>
    </w:rPr>
  </w:style>
  <w:style w:type="character" w:styleId="513" w:customStyle="1">
    <w:name w:val="Heading 7 Char"/>
    <w:basedOn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4" w:customStyle="1">
    <w:name w:val="Heading 8 Char"/>
    <w:basedOn w:val="476"/>
    <w:uiPriority w:val="9"/>
    <w:rPr>
      <w:rFonts w:ascii="Arial" w:hAnsi="Arial" w:cs="Arial" w:eastAsia="Arial"/>
      <w:i/>
      <w:iCs/>
      <w:sz w:val="22"/>
      <w:szCs w:val="22"/>
    </w:rPr>
  </w:style>
  <w:style w:type="character" w:styleId="515" w:customStyle="1">
    <w:name w:val="Heading 9 Char"/>
    <w:basedOn w:val="476"/>
    <w:uiPriority w:val="9"/>
    <w:rPr>
      <w:rFonts w:ascii="Arial" w:hAnsi="Arial" w:cs="Arial" w:eastAsia="Arial"/>
      <w:i/>
      <w:iCs/>
      <w:sz w:val="21"/>
      <w:szCs w:val="21"/>
    </w:rPr>
  </w:style>
  <w:style w:type="character" w:styleId="516" w:customStyle="1">
    <w:name w:val="Title Char"/>
    <w:basedOn w:val="476"/>
    <w:uiPriority w:val="10"/>
    <w:rPr>
      <w:sz w:val="48"/>
      <w:szCs w:val="48"/>
    </w:rPr>
  </w:style>
  <w:style w:type="character" w:styleId="517" w:customStyle="1">
    <w:name w:val="Subtitle Char"/>
    <w:basedOn w:val="476"/>
    <w:uiPriority w:val="11"/>
    <w:rPr>
      <w:sz w:val="24"/>
      <w:szCs w:val="24"/>
    </w:rPr>
  </w:style>
  <w:style w:type="character" w:styleId="518" w:customStyle="1">
    <w:name w:val="Quote Char"/>
    <w:uiPriority w:val="29"/>
    <w:rPr>
      <w:i/>
    </w:rPr>
  </w:style>
  <w:style w:type="character" w:styleId="519" w:customStyle="1">
    <w:name w:val="Intense Quote Char"/>
    <w:uiPriority w:val="30"/>
    <w:rPr>
      <w:i/>
    </w:rPr>
  </w:style>
  <w:style w:type="character" w:styleId="520" w:customStyle="1">
    <w:name w:val="Header Char"/>
    <w:basedOn w:val="476"/>
    <w:uiPriority w:val="99"/>
  </w:style>
  <w:style w:type="character" w:styleId="521" w:customStyle="1">
    <w:name w:val="Footer Char"/>
    <w:basedOn w:val="476"/>
    <w:uiPriority w:val="99"/>
  </w:style>
  <w:style w:type="character" w:styleId="522" w:customStyle="1">
    <w:name w:val="Footnote Text Char"/>
    <w:uiPriority w:val="99"/>
    <w:rPr>
      <w:sz w:val="18"/>
    </w:rPr>
  </w:style>
  <w:style w:type="character" w:styleId="523" w:customStyle="1">
    <w:name w:val="Заголовок 1 Знак"/>
    <w:link w:val="498"/>
    <w:uiPriority w:val="9"/>
    <w:rPr>
      <w:rFonts w:ascii="Arial" w:hAnsi="Arial" w:cs="Arial" w:eastAsia="Arial"/>
      <w:sz w:val="40"/>
      <w:szCs w:val="40"/>
    </w:rPr>
  </w:style>
  <w:style w:type="character" w:styleId="524" w:customStyle="1">
    <w:name w:val="Заголовок 2 Знак"/>
    <w:link w:val="499"/>
    <w:uiPriority w:val="9"/>
    <w:rPr>
      <w:rFonts w:ascii="Arial" w:hAnsi="Arial" w:cs="Arial" w:eastAsia="Arial"/>
      <w:sz w:val="34"/>
    </w:rPr>
  </w:style>
  <w:style w:type="character" w:styleId="525" w:customStyle="1">
    <w:name w:val="Заголовок 3 Знак"/>
    <w:link w:val="500"/>
    <w:uiPriority w:val="9"/>
    <w:rPr>
      <w:rFonts w:ascii="Arial" w:hAnsi="Arial" w:cs="Arial" w:eastAsia="Arial"/>
      <w:sz w:val="30"/>
      <w:szCs w:val="30"/>
    </w:rPr>
  </w:style>
  <w:style w:type="character" w:styleId="526" w:customStyle="1">
    <w:name w:val="Заголовок 4 Знак"/>
    <w:link w:val="501"/>
    <w:uiPriority w:val="9"/>
    <w:rPr>
      <w:rFonts w:ascii="Arial" w:hAnsi="Arial" w:cs="Arial" w:eastAsia="Arial"/>
      <w:b/>
      <w:bCs/>
      <w:sz w:val="26"/>
      <w:szCs w:val="26"/>
    </w:rPr>
  </w:style>
  <w:style w:type="character" w:styleId="527" w:customStyle="1">
    <w:name w:val="Заголовок 5 Знак"/>
    <w:link w:val="502"/>
    <w:uiPriority w:val="9"/>
    <w:rPr>
      <w:rFonts w:ascii="Arial" w:hAnsi="Arial" w:cs="Arial" w:eastAsia="Arial"/>
      <w:b/>
      <w:bCs/>
      <w:sz w:val="24"/>
      <w:szCs w:val="24"/>
    </w:rPr>
  </w:style>
  <w:style w:type="character" w:styleId="528" w:customStyle="1">
    <w:name w:val="Заголовок 6 Знак"/>
    <w:link w:val="503"/>
    <w:uiPriority w:val="9"/>
    <w:rPr>
      <w:rFonts w:ascii="Arial" w:hAnsi="Arial" w:cs="Arial" w:eastAsia="Arial"/>
      <w:b/>
      <w:bCs/>
      <w:sz w:val="22"/>
      <w:szCs w:val="22"/>
    </w:rPr>
  </w:style>
  <w:style w:type="character" w:styleId="529" w:customStyle="1">
    <w:name w:val="Заголовок 7 Знак"/>
    <w:link w:val="5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0" w:customStyle="1">
    <w:name w:val="Заголовок 8 Знак"/>
    <w:link w:val="505"/>
    <w:uiPriority w:val="9"/>
    <w:rPr>
      <w:rFonts w:ascii="Arial" w:hAnsi="Arial" w:cs="Arial" w:eastAsia="Arial"/>
      <w:i/>
      <w:iCs/>
      <w:sz w:val="22"/>
      <w:szCs w:val="22"/>
    </w:rPr>
  </w:style>
  <w:style w:type="character" w:styleId="531" w:customStyle="1">
    <w:name w:val="Заголовок 9 Знак"/>
    <w:link w:val="506"/>
    <w:uiPriority w:val="9"/>
    <w:rPr>
      <w:rFonts w:ascii="Arial" w:hAnsi="Arial" w:cs="Arial" w:eastAsia="Arial"/>
      <w:i/>
      <w:iCs/>
      <w:sz w:val="21"/>
      <w:szCs w:val="21"/>
    </w:rPr>
  </w:style>
  <w:style w:type="paragraph" w:styleId="532">
    <w:name w:val="List Paragraph"/>
    <w:link w:val="716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533">
    <w:name w:val="No Spacing"/>
    <w:qFormat/>
    <w:uiPriority w:val="1"/>
    <w:rPr>
      <w:lang w:val="ru-RU" w:bidi="en-US" w:eastAsia="en-US"/>
    </w:rPr>
  </w:style>
  <w:style w:type="paragraph" w:styleId="534">
    <w:name w:val="Title"/>
    <w:link w:val="535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35" w:customStyle="1">
    <w:name w:val="Название Знак"/>
    <w:link w:val="534"/>
    <w:uiPriority w:val="10"/>
    <w:rPr>
      <w:sz w:val="48"/>
      <w:szCs w:val="48"/>
    </w:rPr>
  </w:style>
  <w:style w:type="paragraph" w:styleId="536">
    <w:name w:val="Subtitle"/>
    <w:link w:val="537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37" w:customStyle="1">
    <w:name w:val="Подзаголовок Знак"/>
    <w:link w:val="536"/>
    <w:uiPriority w:val="11"/>
    <w:rPr>
      <w:sz w:val="24"/>
      <w:szCs w:val="24"/>
    </w:rPr>
  </w:style>
  <w:style w:type="paragraph" w:styleId="538">
    <w:name w:val="Quote"/>
    <w:link w:val="539"/>
    <w:qFormat/>
    <w:uiPriority w:val="29"/>
    <w:rPr>
      <w:i/>
      <w:lang w:val="ru-RU" w:bidi="en-US" w:eastAsia="en-US"/>
    </w:rPr>
    <w:pPr>
      <w:ind w:left="720" w:right="720"/>
    </w:pPr>
  </w:style>
  <w:style w:type="character" w:styleId="539" w:customStyle="1">
    <w:name w:val="Цитата 2 Знак"/>
    <w:link w:val="538"/>
    <w:uiPriority w:val="29"/>
    <w:rPr>
      <w:i/>
    </w:rPr>
  </w:style>
  <w:style w:type="paragraph" w:styleId="540">
    <w:name w:val="Intense Quote"/>
    <w:link w:val="541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1" w:customStyle="1">
    <w:name w:val="Выделенная цитата Знак"/>
    <w:link w:val="540"/>
    <w:uiPriority w:val="30"/>
    <w:rPr>
      <w:i/>
    </w:rPr>
  </w:style>
  <w:style w:type="paragraph" w:styleId="542" w:customStyle="1">
    <w:name w:val="Верхний колонтитул1"/>
    <w:link w:val="54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3" w:customStyle="1">
    <w:name w:val="Верхній колонтитул Знак"/>
    <w:link w:val="542"/>
    <w:uiPriority w:val="99"/>
  </w:style>
  <w:style w:type="paragraph" w:styleId="544" w:customStyle="1">
    <w:name w:val="Нижний колонтитул1"/>
    <w:link w:val="54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5" w:customStyle="1">
    <w:name w:val="Нижній колонтитул Знак"/>
    <w:link w:val="544"/>
    <w:uiPriority w:val="99"/>
  </w:style>
  <w:style w:type="table" w:styleId="546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72">
    <w:name w:val="Hyperlink"/>
    <w:uiPriority w:val="99"/>
    <w:unhideWhenUsed/>
    <w:rPr>
      <w:color w:val="0000FF"/>
      <w:u w:val="single"/>
    </w:rPr>
  </w:style>
  <w:style w:type="paragraph" w:styleId="673">
    <w:name w:val="footnote text"/>
    <w:link w:val="674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74" w:customStyle="1">
    <w:name w:val="Текст сноски Знак"/>
    <w:link w:val="673"/>
    <w:uiPriority w:val="99"/>
    <w:rPr>
      <w:sz w:val="18"/>
    </w:rPr>
  </w:style>
  <w:style w:type="character" w:styleId="675">
    <w:name w:val="footnote reference"/>
    <w:uiPriority w:val="99"/>
    <w:unhideWhenUsed/>
    <w:rPr>
      <w:vertAlign w:val="superscript"/>
    </w:rPr>
  </w:style>
  <w:style w:type="paragraph" w:styleId="676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77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78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79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80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81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82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83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84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85">
    <w:name w:val="TOC Heading"/>
    <w:uiPriority w:val="39"/>
    <w:unhideWhenUsed/>
    <w:rPr>
      <w:lang w:val="ru-RU" w:bidi="en-US" w:eastAsia="en-US"/>
    </w:rPr>
  </w:style>
  <w:style w:type="paragraph" w:styleId="686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87" w:customStyle="1">
    <w:name w:val="Основной шрифт абзаца1"/>
    <w:semiHidden/>
  </w:style>
  <w:style w:type="table" w:styleId="688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89" w:customStyle="1">
    <w:name w:val="Нет списка1"/>
    <w:semiHidden/>
  </w:style>
  <w:style w:type="paragraph" w:styleId="690" w:customStyle="1">
    <w:name w:val="Абзац списка1"/>
    <w:basedOn w:val="686"/>
    <w:pPr>
      <w:contextualSpacing w:val="true"/>
      <w:ind w:left="720"/>
    </w:pPr>
  </w:style>
  <w:style w:type="paragraph" w:styleId="691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92" w:customStyle="1">
    <w:name w:val="Без интервала1"/>
    <w:rPr>
      <w:rFonts w:ascii="Times New Roman" w:hAnsi="Times New Roman" w:eastAsia="Batang"/>
      <w:lang w:eastAsia="ru-RU"/>
    </w:rPr>
  </w:style>
  <w:style w:type="paragraph" w:styleId="693" w:customStyle="1">
    <w:name w:val="Стандартный HTML1"/>
    <w:basedOn w:val="686"/>
    <w:link w:val="694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4" w:customStyle="1">
    <w:name w:val="Стандартный HTML Знак"/>
    <w:link w:val="693"/>
    <w:rPr>
      <w:rFonts w:ascii="Courier New" w:hAnsi="Courier New" w:eastAsia="Times New Roman"/>
      <w:sz w:val="20"/>
      <w:szCs w:val="20"/>
      <w:lang w:eastAsia="ru-RU"/>
    </w:rPr>
  </w:style>
  <w:style w:type="character" w:styleId="695" w:customStyle="1">
    <w:name w:val="Выделение1"/>
    <w:rPr>
      <w:i/>
      <w:iCs/>
    </w:rPr>
  </w:style>
  <w:style w:type="paragraph" w:styleId="696" w:customStyle="1">
    <w:name w:val="rvps2"/>
    <w:basedOn w:val="68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97" w:customStyle="1">
    <w:name w:val="Основной текст_"/>
    <w:link w:val="698"/>
    <w:uiPriority w:val="99"/>
    <w:rPr>
      <w:sz w:val="25"/>
      <w:shd w:val="clear" w:color="auto" w:fill="FFFFFF"/>
    </w:rPr>
  </w:style>
  <w:style w:type="paragraph" w:styleId="698" w:customStyle="1">
    <w:name w:val="Основной текст2"/>
    <w:basedOn w:val="686"/>
    <w:link w:val="697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99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700" w:customStyle="1">
    <w:name w:val="Абзац списку1"/>
    <w:basedOn w:val="686"/>
    <w:qFormat/>
    <w:uiPriority w:val="99"/>
    <w:pPr>
      <w:contextualSpacing w:val="true"/>
      <w:ind w:left="720"/>
    </w:pPr>
  </w:style>
  <w:style w:type="character" w:styleId="701" w:customStyle="1">
    <w:name w:val="rvts9"/>
  </w:style>
  <w:style w:type="paragraph" w:styleId="702" w:customStyle="1">
    <w:name w:val="Текст выноски1"/>
    <w:basedOn w:val="686"/>
    <w:link w:val="703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703" w:customStyle="1">
    <w:name w:val="Текст выноски Знак"/>
    <w:link w:val="702"/>
    <w:semiHidden/>
    <w:rPr>
      <w:rFonts w:ascii="Arial" w:hAnsi="Arial"/>
      <w:sz w:val="18"/>
      <w:szCs w:val="18"/>
      <w:lang w:val="ru-RU" w:eastAsia="en-US"/>
    </w:rPr>
  </w:style>
  <w:style w:type="paragraph" w:styleId="704">
    <w:name w:val="HTML Preformatted"/>
    <w:basedOn w:val="475"/>
    <w:link w:val="705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5" w:customStyle="1">
    <w:name w:val="Стандартный HTML Знак1"/>
    <w:link w:val="704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706">
    <w:name w:val="Body Text Indent"/>
    <w:basedOn w:val="475"/>
    <w:link w:val="707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7" w:customStyle="1">
    <w:name w:val="Основной текст с отступом Знак"/>
    <w:link w:val="706"/>
    <w:rPr>
      <w:rFonts w:ascii="Times New Roman" w:hAnsi="Times New Roman" w:eastAsia="Times New Roman"/>
      <w:lang w:eastAsia="ru-RU"/>
    </w:rPr>
  </w:style>
  <w:style w:type="paragraph" w:styleId="708">
    <w:name w:val="Body Text Indent 3"/>
    <w:basedOn w:val="475"/>
    <w:link w:val="709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09" w:customStyle="1">
    <w:name w:val="Основной текст с отступом 3 Знак"/>
    <w:link w:val="708"/>
    <w:uiPriority w:val="99"/>
    <w:semiHidden/>
    <w:rPr>
      <w:sz w:val="16"/>
      <w:szCs w:val="16"/>
      <w:lang w:val="ru-RU" w:bidi="en-US" w:eastAsia="en-US"/>
    </w:rPr>
  </w:style>
  <w:style w:type="paragraph" w:styleId="710" w:customStyle="1">
    <w:name w:val="Абзац списку2"/>
    <w:basedOn w:val="475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1" w:customStyle="1">
    <w:name w:val="docdata"/>
    <w:basedOn w:val="475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2">
    <w:name w:val="Strong"/>
    <w:basedOn w:val="476"/>
    <w:qFormat/>
    <w:uiPriority w:val="22"/>
    <w:rPr>
      <w:b/>
      <w:bCs/>
    </w:rPr>
  </w:style>
  <w:style w:type="character" w:styleId="713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714" w:customStyle="1">
    <w:name w:val="Heading #41"/>
    <w:rPr>
      <w:rFonts w:ascii="Times New Roman" w:hAnsi="Times New Roman" w:eastAsia="Times New Roman"/>
      <w:b/>
      <w:bCs/>
      <w:szCs w:val="20"/>
      <w:lang w:val="en-US" w:eastAsia="en-US"/>
    </w:rPr>
    <w:pPr>
      <w:jc w:val="center"/>
      <w:spacing w:lineRule="atLeast" w:line="240" w:before="360"/>
      <w:shd w:val="clear" w:color="auto" w:fill="FFFFFF"/>
      <w:widowControl w:val="off"/>
      <w:outlineLvl w:val="3"/>
    </w:pPr>
  </w:style>
  <w:style w:type="paragraph" w:styleId="715">
    <w:name w:val="Normal (Web)"/>
    <w:basedOn w:val="475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6" w:customStyle="1">
    <w:name w:val="Абзац списка Знак"/>
    <w:link w:val="532"/>
    <w:uiPriority w:val="34"/>
    <w:rPr>
      <w:lang w:val="ru-RU" w:bidi="en-US" w:eastAsia="en-US"/>
    </w:rPr>
  </w:style>
  <w:style w:type="table" w:styleId="717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Гречуха Ольга Петрівна</cp:lastModifiedBy>
  <cp:revision>31</cp:revision>
  <dcterms:created xsi:type="dcterms:W3CDTF">2021-02-23T11:54:00Z</dcterms:created>
  <dcterms:modified xsi:type="dcterms:W3CDTF">2021-02-25T09:58:16Z</dcterms:modified>
</cp:coreProperties>
</file>