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8" w:right="283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2 до рішення 3 сесії Менської міської ради 8 скликання від 19.02.2021 №23 «Про погодження </w:t>
      </w:r>
      <w:r>
        <w:rPr>
          <w:rFonts w:ascii="Times New Roman" w:hAnsi="Times New Roman" w:cs="Times New Roman"/>
        </w:rPr>
        <w:t xml:space="preserve">проєкту</w:t>
      </w:r>
      <w:r>
        <w:rPr>
          <w:rFonts w:ascii="Times New Roman" w:hAnsi="Times New Roman" w:cs="Times New Roman"/>
        </w:rPr>
        <w:t xml:space="preserve"> рішення «Про затвердження ставок орендної плати за земельні ділянки на території Менської міської територіальної громади»»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Аналіз регуляторного впливу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проєкту рішення сесії Менської міської ради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«Про затвердження ставок орендної плати за земельні ділянки на території Менської міської територіальної громади».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Аналіз регуляторного 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розроблений на виконання та дотриманням вимог Закону України «Про засади державної регуляторної політики у сфері господарської діяльності» та постанови Кабінету Міністрів України від 11.03.2004 р. №308 «Про затвердження методик проведення аналізу впливу 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 відстеження результативності регуляторного акта» (надалі – Аналіз).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1.Визначення проблеми.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Земельним та Податковим кодексами України встановлено, що використання землі в Україні є платним.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Згідно до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повноваження щодо встановлення місцевих податків і зборів відносяться до виключної компетенції сесії ради. За вимогами Податкового кодексу України розмір орендної плати встановлюється у договорі оренди, але річна сума платежу: не може бути меншою за розмір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земельного податку; не може перевищувати 12 відсотків нормативної грошової оцінки та може перевищувати граничний розмір орендної плати (12 відсотків), у разі визначення орендаря на конкурентних засадах. Орендна плата за земельні ділянки комунальної власно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сті, наразі, встановлюється у відповідності діючих ставок орендної плати, затверджених 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рішенням 40 сесії 7 скликання Менської міської ради від 10.07.2020 р. 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 257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які не суперечать вимогам законодавства, однак потребують зваженого перегляду з урахуванням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розмірів нових ставок податку та потреб міського бюджету, а також у зв’язку зі зміною території громади.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Проблема, яку передбачається розв’язати шляхом прийняття вказаного рішення – це приведення ставок орендної плати у відповідність до діючих нових ставок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податку, залучення додаткових коштів до міського бюджету, створення єдиного механізму справляння орендної плати за використання земель комунальної власності, невитребуваних земельних ділянок (паїв) на території 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Розв’язання даної проблеми за допомогою ринкового механізму неможлив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е, оскільки чинне законодавство чітко регламентує, що саме органи місцевого самоврядування встановлюють розмір плати за землю. Впровадження даного регулювання є доцільним у зв’язку з тим, що інших альтернатив розв’язання проблеми не існує.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Метою розроблено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 регуляторного акта є приведення ставок орендної плати у відповідність до діючих нових ставок податку, залучення додаткових коштів до міського бюджету, створення єдиного механізму справляння орендної плати за використання земель комунальної власності,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витребуваних земельних ділянок (паїв) на території 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Дія даного регуляторного акта поширюється на усіх орендарів земельних ділянок комунальної власності, невитребуваних земельних ділянок (паїв) на території Менської міської територіальної громади. 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099"/>
        <w:gridCol w:w="2671"/>
        <w:gridCol w:w="2575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193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 w:eastAsia="Times New Roman"/>
                <w:sz w:val="26"/>
                <w:szCs w:val="26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Групи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2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Так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378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uk-UA"/>
              </w:rPr>
              <w:t xml:space="preserve">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193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Громадяни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2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+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378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193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Орган місцевого самоврядування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2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+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378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193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Суб’єкти господарювання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2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+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378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2.Визначення цілей регулювання.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Цілями запропонованого регуляторного акта є: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створення єдиного механізму справляння орендної плати за використання земель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невитребуваних земельних ділянок (паїв) на території Менської міської територіальної громади;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вдосконалення земельних відносин на основі встановлення ставок плати за використання земель комунальної власності, невитребуваних земельних ділянок (паїв) в з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алежності від цільового призначення земельної ділянки з урахуванням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Класифікації видів цільового призначення земель та діючих нових ставок податку;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збільшення надходжень до міського бюджету за рахунок перегляду ставок орендної плати за використання земель комунальної власності, невитребуваних земельних ділянок (паїв) та направлення додаткових коштів на соціальний розв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иток міста.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3.Визначення та оцінка усіх прийнятних альтернативних способів досягнення встановлених цілей.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3.1. Визначення альтернативних способів: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>
        <w:trPr>
          <w:tblHeader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4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9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Опис альтернативи</w:t>
            </w:r>
            <w:r/>
          </w:p>
        </w:tc>
      </w:tr>
      <w:tr>
        <w:trPr>
          <w:trHeight w:val="506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401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954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існуючих ставок орендної плати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401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95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встановлення місцевих податків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та плати за землю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належить до повноважень органів місцевого самоврядування.</w:t>
            </w:r>
            <w:r/>
          </w:p>
        </w:tc>
      </w:tr>
      <w:tr>
        <w:trPr>
          <w:trHeight w:val="1256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401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3: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595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Забезпечить вирішення проблеми. Дана альтернатива є найбільш оптимальною і прийнятною. Перевага обраного способу досягнення цілей полягає в тому, що цим регуляторним актом конкретизовано ставки орендної плати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Класифікації вид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ів цільового призначення земель, забезпечить додаткові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надходження 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міського бюджету та фінансування соціальних програм міста.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3.2.Оцінка вибраних альтернативних способів досягнення цілей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Оцінка впливу на сферу інтересів органу місцевого самоврядування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38"/>
        <w:gridCol w:w="4387"/>
        <w:gridCol w:w="1620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86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 w:eastAsia="Times New Roman"/>
                <w:sz w:val="26"/>
                <w:szCs w:val="26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4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Вигоди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8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86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альтернатива є неприйнятною, так як не поширюється на всю територію Менської міської територіальної громади 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8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рівні існуючих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86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повноваження щодо встановлення місцевих податків і зборів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плати за землю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відносять до виключної компетенції органів місцевого самоврядування.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86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86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забезпечення раціонального та ефективного використання земельних ділянок;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забезпечення наповнення міського бюджету та фінансування соціальних програм міста.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86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рівні існуючих</w:t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Оцінка впливу на сферу інтересів громадян</w:t>
      </w:r>
      <w:r/>
    </w:p>
    <w:tbl>
      <w:tblPr>
        <w:tblW w:w="5075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85"/>
        <w:gridCol w:w="4223"/>
        <w:gridCol w:w="2088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1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2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Вигоди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Витрати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18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2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Землекористувачі земельних ділянок з цільовим призначенням, вид якого запроваджено у відповідності внесених змін до Класифікації видів цільового призначення земель, будуть сплачу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вати орендну плату, відповідно до раніше прийнятого рішення про затвердження ставок орендної плати за земельні ділянки, проте дане рішення не поширюється на новоприєднані території, тим самим ущемляються права окремих землекористувачів, у зв’язку із знижен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ням конкурентоспроможності для тих, у кого ставка орендної плати більша.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рівні існуючих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18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2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повноваж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ення щодо встановлення місцевих податків і зборів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плати за землю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відносять до виключної компетенції органів місцевого самоврядування.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18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2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встановлення ставок орендної плати з урахування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видів цільового призначення земельних ділянок;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передбачуваність дій влади;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додаткові надходження до бюджету, які спрямовуються на розвиток громади.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88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 пов’язані зі сплатою до міського бюджету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орендної плати за використання земель комунальної власності, невитребуваних земельних ділянок (паїв)</w:t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Оцінка впливу на сферу інтересів суб’єктів господарювання</w:t>
      </w:r>
      <w:r/>
    </w:p>
    <w:tbl>
      <w:tblPr>
        <w:tblW w:w="5075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79"/>
        <w:gridCol w:w="1134"/>
        <w:gridCol w:w="1279"/>
        <w:gridCol w:w="1128"/>
        <w:gridCol w:w="1276"/>
      </w:tblGrid>
      <w:tr>
        <w:trPr>
          <w:trHeight w:val="278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679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Показник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Великі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79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Середні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28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Малі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Разом</w:t>
            </w:r>
            <w:r/>
          </w:p>
        </w:tc>
      </w:tr>
      <w:tr>
        <w:trPr>
          <w:trHeight w:val="557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679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Кількість суб’єктів господарювання, що підпадають під дію регулювання, одиниць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79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28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87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91</w:t>
            </w:r>
            <w:r/>
          </w:p>
        </w:tc>
      </w:tr>
      <w:tr>
        <w:trPr>
          <w:trHeight w:val="557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679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Питома вага групи у загальній кількості, відсотків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79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28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90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100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Arial" w:hAnsi="Arial" w:cs="Arial" w:eastAsia="Times New Roman"/>
          <w:sz w:val="26"/>
          <w:szCs w:val="26"/>
          <w:lang w:eastAsia="uk-UA"/>
        </w:rPr>
      </w:pPr>
      <w:r/>
      <w:r>
        <w:rPr>
          <w:rFonts w:ascii="Arial" w:hAnsi="Arial" w:cs="Arial" w:eastAsia="Times New Roman"/>
          <w:sz w:val="26"/>
          <w:szCs w:val="26"/>
          <w:lang w:eastAsia="uk-UA"/>
        </w:rPr>
      </w:r>
      <w:r/>
    </w:p>
    <w:tbl>
      <w:tblPr>
        <w:tblW w:w="5075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41"/>
        <w:gridCol w:w="4513"/>
        <w:gridCol w:w="1843"/>
      </w:tblGrid>
      <w:tr>
        <w:trPr>
          <w:trHeight w:val="248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5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Вигоди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Витрати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14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51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Землекористувачі земельних ділянок з цільовим призначенням, вид якого запроваджено у відповідності внесених змін до Класифікації видів цільового призначення земель, будуть сплачувати орендну плату, відповідно до раніше прийнятого рішення про затвердження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тавок орендної плати за земельні ділянки, проте дане рішення не поширюється на новоприєднані території, тим самим ущемляються права окремих землекористувачів, у зв’язку із зниженням конкурентоспроможності для тих, у кого ставка орендної плати більша.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вні існуючих</w:t>
            </w:r>
            <w:r/>
          </w:p>
        </w:tc>
      </w:tr>
      <w:tr>
        <w:trPr>
          <w:trHeight w:val="1398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14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51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повноваження щодо встановлення місцевих податків і зборів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плати за землю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відносять до виключної компетенції органів місцевого самоврядування.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  <w:tr>
        <w:trPr>
          <w:trHeight w:val="2976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14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451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встановлення ставок орендної плати з урахування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видів цільового призначення земельних ділянок;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передбачуваність дій влади;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прогнозування умов господарювання і витрат, зумовлених використанням земель комунальної власності та 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витребуваних земельних ділянок (паїв);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виконання вимог чинного законодавства.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843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 пов’язані зі сплатою до міського бюджету орендної плати за використання земель комунальної власності</w:t>
            </w:r>
            <w:r/>
          </w:p>
        </w:tc>
      </w:tr>
    </w:tbl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Оцінюючи визначені альтернативи слід зазначити, що перша альтернатива не є прийнятною, оскільки вона веде до ущемлення права окремих землекористувачів, у зв’язку із зниженням конкурентоспроможності для тих, у кого ставка орендної плати більша, а також прив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еде до відмови від поставлених цілей по збільшенню надходжень до місцевого бюджету та фінансування соціально-економічного розвитку міста. У разі не прийняття органом місцевого самоврядування цього рішення, орендна плата буде нараховуватись у відповідності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діючих ставок, затверджених 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рішенням 40 сесії 7 скликання Менської міської ради від 10.07.2020 р. №</w:t>
      </w:r>
      <w:r>
        <w:rPr>
          <w:rFonts w:ascii="Times New Roman" w:hAnsi="Times New Roman" w:cs="Times New Roman" w:eastAsia="Times New Roman"/>
          <w:color w:val="FF0000"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257</w:t>
      </w:r>
      <w:r>
        <w:rPr>
          <w:rFonts w:ascii="Times New Roman" w:hAnsi="Times New Roman" w:cs="Times New Roman" w:eastAsia="Times New Roman"/>
          <w:color w:val="FF0000"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 ст.288 Податкового кодексу України.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Прийняття міською радою запропонованого регуляторного 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Arial" w:hAnsi="Arial" w:cs="Arial" w:eastAsia="Times New Roman"/>
          <w:sz w:val="26"/>
          <w:szCs w:val="26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4.Вибір найбільш оптимального альтернативного способу досягнення цілей.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Вибір оптимального альтернативного</w:t>
      </w: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 способу досягнення цілей здійснено з урахуванням системи бальної оцінки ступеня досягнення визначених цілей.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>
        <w:trPr>
          <w:trHeight w:val="1106"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Рейтинг результативності (досягнення цілей під час вирішення проблеми)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Бал результативності</w:t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(за 4-бальною системою оцінки)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Коментарі щодо присвоє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ння відповідного бала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Важливі аспекти проблеми існуватимуть далі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Цілі прийняття регуляторного акта, які не можуть бути досягнуті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Цілі регуляторного акта, які можуть бути досягнуті повною мірою</w:t>
            </w:r>
            <w:r/>
          </w:p>
        </w:tc>
      </w:tr>
    </w:tbl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Регуляторний акт, що пропонується прийняти, зачіпає інтереси усіх орендарів земельних ділянок комунальної власності, невитребуваних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земельних ділянок (паїв)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розташованих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.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наведених нижче таблицях пропонуються вигоди, а також витрати, які очікуються внаслідок застосування запропонованого регуляторного акта.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>
        <w:trPr>
          <w:trHeight w:val="1306"/>
          <w:tblHeader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Рейтинг результативності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Вигоди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(підсумки)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Витрати (підсумки)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Обґрунтування відповідного місця альтернативи в рейтингу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рівні існуючих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Проблема продовжує існувати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Цілі прийняття регуляторного акта, які не можуть бути досягнуті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забезпечення раціонального та ефективного використання земельних ділянок;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забезпечення наповнення міського бюджету та фінансуванн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я соціальних програм міста.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рівні існуючих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Цілі регуляторного акта, які можуть бути досягнуті повною мірою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24"/>
        <w:gridCol w:w="4259"/>
        <w:gridCol w:w="2162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56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Рейтинг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2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Аргументи щодо переваги обраної альтернативи/причини відмови від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5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Оцінка ризику зовнішніх чинників на дію запропонованого регуляторного акта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5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27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 прийнятна / не вирішує порушеного питання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5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Зовнішні чинники 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5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27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 прийнята / відсутні ринкові механізми для вирішення даної проблеми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5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Зовнішні чинники 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5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27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Єдина можлива альтернатива, яка забезпечує раціональне та ефективне використання земель 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омунальної власності, невитребуваних земельних ділянок (паїв 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розміщених на території Менської міської територіальної громади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та забезпечує наповнення міського бюджету для фінансування соціальних програм міста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5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Зовнішні чинники відсутні</w:t>
            </w:r>
            <w:r/>
          </w:p>
        </w:tc>
      </w:tr>
    </w:tbl>
    <w:p>
      <w:pPr>
        <w:ind w:firstLine="2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Для реалізації обрано Альтернативу 3 – прийняття запропонованого проєкту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рішення, тобто встановлення економічно обґрунтованих розмірів ставок орендної плати, які будуть не обтяжливими для суб’єктів господарювання, при цьому надходження до міського бюджету збільшуватимуться. Задекларовані цілі прийняття регуляторного акта будут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ь досягнуті повною мірою.</w:t>
      </w:r>
      <w:r/>
    </w:p>
    <w:p>
      <w:pPr>
        <w:ind w:firstLine="2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Прийняття такого рішення відповідає вимогам чинного законодавства, приводить ставки орендної плати у відповідність до діючої Класифікації видів цільового призначення земель, затвердженої наказом Державного комітету України із земе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льних ресурсів від 23.07.2010р.№548 (зі змінами) та поширюються га всю територіальну громаду.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5. Механізми та заходи, які забезпечать розв’язання визначеної проблеми шляхом прийняття запропонованого регуляторного акта.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Реалізація запропонованого регулюванн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 здійснюється шляхом впровадження наступних заходів:</w:t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прийняття місцевого нормативного документу, який в рамках чинного законодавства дає можливість удосконалити і зробити прозорим порядок та механізм визначення орендної плати за земельні ділянки комунальн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ої власності, невитребуваних земельних ділянок (паїв) наданих в оренду з урахуванням цільового призначення земельних ділянок;</w:t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забезпечення прозорості і вільного доступу до інформації щодо визначення розміру орендної плати за використання земельних ділянок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комунальної власності, невитребуваних земельних ділянок (паїв)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територіальної громади та забезпечує наповнення міського бюджету для фінансування соціальних програм міста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6. Визначення очікуваних результатів прийняття запропонованого регуляторного 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 результатами прийняття регуляторного акта має бути досягнуто цілей, передбачених у розділі 2 цього Аналізу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36"/>
        <w:gridCol w:w="3871"/>
        <w:gridCol w:w="2738"/>
      </w:tblGrid>
      <w:tr>
        <w:trPr>
          <w:tblHeader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Групи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Вигоди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Витрати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Органи місцевого самоврядування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71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забезпечення раціонального та ефективного використання земельних ділянок;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забезпечення наповнення міського бюджету та фінансування соціальних програм міста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5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Залишаться на існуючому рівні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Суб’єкти господарювання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71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встановлення ставок орендної плати з урахуванням цільового призначення земельних ділянок, зокрема нових видів цільового призначення земельних ділянок;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передбачуваність дій влади;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прогнозування умов господарювання і витрат, зумовлених використанням земель комунальної власності.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5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 пов’язані зі сплатою до міського бюджету орендної плати за використання земель комунальної власності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Громадяни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71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встановлення ставок орендної плат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и з урахуванням цільового призначення земельних ділянок, зокрема нових видів цільового призначення земельних ділянок;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передбачуваність дій влади;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додаткові надходження до бюджету, які спрямовуються на розвитку міста для громади.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5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Arial" w:hAnsi="Arial" w:cs="Arial" w:eastAsia="Times New Roman"/>
          <w:sz w:val="26"/>
          <w:szCs w:val="26"/>
          <w:lang w:eastAsia="uk-UA"/>
        </w:rPr>
      </w:pPr>
      <w:r>
        <w:rPr>
          <w:rFonts w:ascii="Arial" w:hAnsi="Arial" w:cs="Arial" w:eastAsia="Times New Roman"/>
          <w:sz w:val="26"/>
          <w:szCs w:val="26"/>
          <w:lang w:eastAsia="uk-UA"/>
        </w:rPr>
        <w:t xml:space="preserve"> 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7.Обгрунтування запропонованого строку дії регуляторного акта.</w:t>
      </w:r>
      <w:r/>
    </w:p>
    <w:p>
      <w:pPr>
        <w:ind w:firstLine="2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Строк дії цього регуляторного акта встановлюється на необмежений строк з моменту набрання чинності, оскільки необхідність виконання норм регуляторного акта є постійною. Може бути переглянутим 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разі зміни законодавства.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8.Визначення показників результативності регуляторного акта.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uk-UA"/>
        </w:rPr>
        <w:t xml:space="preserve">Показниками результативності регуляторного акта є: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Розмір надходжень до місцевого бюджету, пов’язаних з дією регуляторного 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передбачається збільшення надходжень за використання земель комунальної власності, невитребуван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их земельних ділянок (паїв)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Кількість суб’єктів, на яких поширюється дія акта – на момент розробки регуляторного акта – 104, в тому числі суб’єктів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господарювання – 104. Кількість може змінюватись у відповідності до норм земельного законодавства.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4472C4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Рівень поінформованості платників орендної плати – високий, оскільки проект регуляторного акта та аналіз регуляторного впливу офіційно оприлюднені на веб-сай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ті Менської міської ради ради: </w:t>
      </w:r>
      <w:r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  <w:t xml:space="preserve">http://mena.cg.gov.ua</w:t>
      </w:r>
      <w:r/>
    </w:p>
    <w:p>
      <w:pPr>
        <w:spacing w:lineRule="auto" w:line="240" w:after="0" w:afterAutospacing="0" w:before="0" w:beforeAutospacing="0"/>
        <w:rPr>
          <w:rFonts w:ascii="Arial" w:hAnsi="Arial" w:cs="Arial" w:eastAsia="Times New Roman"/>
          <w:sz w:val="26"/>
          <w:szCs w:val="26"/>
          <w:lang w:eastAsia="uk-UA"/>
        </w:rPr>
      </w:pPr>
      <w:r>
        <w:rPr>
          <w:rFonts w:ascii="Arial" w:hAnsi="Arial" w:cs="Arial" w:eastAsia="Times New Roman"/>
          <w:sz w:val="26"/>
          <w:szCs w:val="26"/>
          <w:lang w:eastAsia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9. Заходи за допомогою яких буде здійснюватися відстеження результативності регуляторного акта.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Відстеження результативності даного регуляторного акта буде здійснюватись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 допомогою аналізу надходжень до міського бюджету орендної плати за використання земель комунальної власності, невитребуваних земельних ділянок (паїв).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Оцінка ефективності запропонованого регуляторного акта буде здійснена за підсумками проведення базово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го, повторного та періодичного відстеження результативності регуляторного акта.</w:t>
      </w:r>
      <w:r/>
    </w:p>
    <w:p>
      <w:pPr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  <w:b/>
          <w:bCs/>
          <w:sz w:val="16"/>
          <w:szCs w:val="1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16"/>
          <w:szCs w:val="16"/>
          <w:lang w:eastAsia="uk-UA"/>
        </w:rPr>
      </w:r>
      <w:r/>
    </w:p>
    <w:p>
      <w:pPr>
        <w:ind w:right="1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Начальник відділу земельних відносин,</w:t>
      </w:r>
      <w:r/>
    </w:p>
    <w:p>
      <w:pPr>
        <w:ind w:right="1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агропромислового комплексу та екології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ab/>
        <w:t xml:space="preserve">П.О. Терентієв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ntiqua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4"/>
    <w:link w:val="39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4"/>
    <w:link w:val="417"/>
    <w:uiPriority w:val="10"/>
    <w:rPr>
      <w:sz w:val="48"/>
      <w:szCs w:val="48"/>
    </w:rPr>
  </w:style>
  <w:style w:type="character" w:styleId="35">
    <w:name w:val="Subtitle Char"/>
    <w:basedOn w:val="404"/>
    <w:link w:val="419"/>
    <w:uiPriority w:val="11"/>
    <w:rPr>
      <w:sz w:val="24"/>
      <w:szCs w:val="24"/>
    </w:rPr>
  </w:style>
  <w:style w:type="character" w:styleId="37">
    <w:name w:val="Quote Char"/>
    <w:link w:val="421"/>
    <w:uiPriority w:val="29"/>
    <w:rPr>
      <w:i/>
    </w:rPr>
  </w:style>
  <w:style w:type="character" w:styleId="39">
    <w:name w:val="Intense Quote Char"/>
    <w:link w:val="423"/>
    <w:uiPriority w:val="30"/>
    <w:rPr>
      <w:i/>
    </w:rPr>
  </w:style>
  <w:style w:type="character" w:styleId="41">
    <w:name w:val="Header Char"/>
    <w:basedOn w:val="404"/>
    <w:link w:val="425"/>
    <w:uiPriority w:val="99"/>
  </w:style>
  <w:style w:type="character" w:styleId="43">
    <w:name w:val="Footer Char"/>
    <w:basedOn w:val="404"/>
    <w:link w:val="427"/>
    <w:uiPriority w:val="99"/>
  </w:style>
  <w:style w:type="character" w:styleId="172">
    <w:name w:val="Footnote Text Char"/>
    <w:link w:val="555"/>
    <w:uiPriority w:val="99"/>
    <w:rPr>
      <w:sz w:val="18"/>
    </w:rPr>
  </w:style>
  <w:style w:type="paragraph" w:styleId="394" w:default="1">
    <w:name w:val="Normal"/>
    <w:qFormat/>
  </w:style>
  <w:style w:type="paragraph" w:styleId="395">
    <w:name w:val="Heading 1"/>
    <w:basedOn w:val="394"/>
    <w:next w:val="394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6">
    <w:name w:val="Heading 2"/>
    <w:basedOn w:val="394"/>
    <w:next w:val="394"/>
    <w:link w:val="4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next w:val="394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next w:val="394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next w:val="394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next w:val="394"/>
    <w:link w:val="4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next w:val="394"/>
    <w:link w:val="4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next w:val="394"/>
    <w:link w:val="41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next w:val="394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Заголовок 1 Знак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408" w:customStyle="1">
    <w:name w:val="Заголовок 2 Знак"/>
    <w:basedOn w:val="404"/>
    <w:link w:val="396"/>
    <w:uiPriority w:val="9"/>
    <w:rPr>
      <w:rFonts w:ascii="Arial" w:hAnsi="Arial" w:cs="Arial" w:eastAsia="Arial"/>
      <w:sz w:val="34"/>
    </w:rPr>
  </w:style>
  <w:style w:type="character" w:styleId="409" w:customStyle="1">
    <w:name w:val="Заголовок 3 Знак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410" w:customStyle="1">
    <w:name w:val="Заголовок 4 Знак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11" w:customStyle="1">
    <w:name w:val="Заголовок 5 Знак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412" w:customStyle="1">
    <w:name w:val="Заголовок 6 Знак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13" w:customStyle="1">
    <w:name w:val="Заголовок 7 Знак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 w:customStyle="1">
    <w:name w:val="Заголовок 8 Знак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5" w:customStyle="1">
    <w:name w:val="Заголовок 9 Знак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No Spacing"/>
    <w:qFormat/>
    <w:uiPriority w:val="1"/>
    <w:pPr>
      <w:spacing w:lineRule="auto" w:line="240" w:after="0"/>
    </w:pPr>
  </w:style>
  <w:style w:type="paragraph" w:styleId="417">
    <w:name w:val="Title"/>
    <w:basedOn w:val="394"/>
    <w:next w:val="394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Заголовок Знак"/>
    <w:basedOn w:val="404"/>
    <w:link w:val="417"/>
    <w:uiPriority w:val="10"/>
    <w:rPr>
      <w:sz w:val="48"/>
      <w:szCs w:val="48"/>
    </w:rPr>
  </w:style>
  <w:style w:type="paragraph" w:styleId="419">
    <w:name w:val="Subtitle"/>
    <w:basedOn w:val="394"/>
    <w:next w:val="394"/>
    <w:link w:val="420"/>
    <w:qFormat/>
    <w:uiPriority w:val="11"/>
    <w:rPr>
      <w:sz w:val="24"/>
      <w:szCs w:val="24"/>
    </w:rPr>
    <w:pPr>
      <w:spacing w:after="200" w:before="200"/>
    </w:pPr>
  </w:style>
  <w:style w:type="character" w:styleId="420" w:customStyle="1">
    <w:name w:val="Подзаголовок Знак"/>
    <w:basedOn w:val="404"/>
    <w:link w:val="419"/>
    <w:uiPriority w:val="11"/>
    <w:rPr>
      <w:sz w:val="24"/>
      <w:szCs w:val="24"/>
    </w:rPr>
  </w:style>
  <w:style w:type="paragraph" w:styleId="421">
    <w:name w:val="Quote"/>
    <w:basedOn w:val="394"/>
    <w:next w:val="394"/>
    <w:link w:val="422"/>
    <w:qFormat/>
    <w:uiPriority w:val="29"/>
    <w:rPr>
      <w:i/>
    </w:rPr>
    <w:pPr>
      <w:ind w:left="720" w:right="720"/>
    </w:pPr>
  </w:style>
  <w:style w:type="character" w:styleId="422" w:customStyle="1">
    <w:name w:val="Цитата 2 Знак"/>
    <w:link w:val="421"/>
    <w:uiPriority w:val="29"/>
    <w:rPr>
      <w:i/>
    </w:rPr>
  </w:style>
  <w:style w:type="paragraph" w:styleId="423">
    <w:name w:val="Intense Quote"/>
    <w:basedOn w:val="394"/>
    <w:next w:val="394"/>
    <w:link w:val="42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 w:customStyle="1">
    <w:name w:val="Выделенная цитата Знак"/>
    <w:link w:val="423"/>
    <w:uiPriority w:val="30"/>
    <w:rPr>
      <w:i/>
    </w:rPr>
  </w:style>
  <w:style w:type="paragraph" w:styleId="425">
    <w:name w:val="Header"/>
    <w:basedOn w:val="394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 w:customStyle="1">
    <w:name w:val="Верхний колонтитул Знак"/>
    <w:basedOn w:val="404"/>
    <w:link w:val="425"/>
    <w:uiPriority w:val="99"/>
  </w:style>
  <w:style w:type="paragraph" w:styleId="427">
    <w:name w:val="Footer"/>
    <w:basedOn w:val="394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 w:customStyle="1">
    <w:name w:val="Нижний колонтитул Знак"/>
    <w:basedOn w:val="404"/>
    <w:link w:val="427"/>
    <w:uiPriority w:val="99"/>
  </w:style>
  <w:style w:type="table" w:styleId="429">
    <w:name w:val="Table Grid"/>
    <w:basedOn w:val="4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0" w:customStyle="1">
    <w:name w:val="Table Grid Light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1">
    <w:name w:val="Plain Table 1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4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 w:customStyle="1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9" w:customStyle="1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0" w:customStyle="1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1" w:customStyle="1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2" w:customStyle="1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3" w:customStyle="1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4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1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2" w:customStyle="1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3" w:customStyle="1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4" w:customStyle="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5" w:customStyle="1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6" w:customStyle="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7" w:customStyle="1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8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3" w:customStyle="1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4" w:customStyle="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5" w:customStyle="1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6" w:customStyle="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7" w:customStyle="1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8" w:customStyle="1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9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1" w:customStyle="1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2" w:customStyle="1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3" w:customStyle="1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4" w:customStyle="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5" w:customStyle="1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6" w:customStyle="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7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6" w:customStyle="1">
    <w:name w:val="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7" w:customStyle="1">
    <w:name w:val="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8" w:customStyle="1">
    <w:name w:val="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9" w:customStyle="1">
    <w:name w:val="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0" w:customStyle="1">
    <w:name w:val="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1" w:customStyle="1">
    <w:name w:val="Bordered &amp; 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Bordered &amp; 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3" w:customStyle="1">
    <w:name w:val="Bordered &amp; 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4" w:customStyle="1">
    <w:name w:val="Bordered &amp; 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5" w:customStyle="1">
    <w:name w:val="Bordered &amp; 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6" w:customStyle="1">
    <w:name w:val="Bordered &amp; 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7" w:customStyle="1">
    <w:name w:val="Bordered &amp; 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8" w:customStyle="1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9" w:customStyle="1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0" w:customStyle="1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1" w:customStyle="1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2" w:customStyle="1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3" w:customStyle="1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4" w:customStyle="1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555">
    <w:name w:val="footnote text"/>
    <w:basedOn w:val="394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 w:customStyle="1">
    <w:name w:val="Текст сноски Знак"/>
    <w:link w:val="555"/>
    <w:uiPriority w:val="99"/>
    <w:rPr>
      <w:sz w:val="18"/>
    </w:rPr>
  </w:style>
  <w:style w:type="character" w:styleId="557">
    <w:name w:val="footnote reference"/>
    <w:basedOn w:val="404"/>
    <w:uiPriority w:val="99"/>
    <w:unhideWhenUsed/>
    <w:rPr>
      <w:vertAlign w:val="superscript"/>
    </w:rPr>
  </w:style>
  <w:style w:type="paragraph" w:styleId="558">
    <w:name w:val="toc 1"/>
    <w:basedOn w:val="394"/>
    <w:next w:val="394"/>
    <w:uiPriority w:val="39"/>
    <w:unhideWhenUsed/>
    <w:pPr>
      <w:spacing w:after="57"/>
    </w:pPr>
  </w:style>
  <w:style w:type="paragraph" w:styleId="559">
    <w:name w:val="toc 2"/>
    <w:basedOn w:val="394"/>
    <w:next w:val="394"/>
    <w:uiPriority w:val="39"/>
    <w:unhideWhenUsed/>
    <w:pPr>
      <w:ind w:left="283"/>
      <w:spacing w:after="57"/>
    </w:pPr>
  </w:style>
  <w:style w:type="paragraph" w:styleId="560">
    <w:name w:val="toc 3"/>
    <w:basedOn w:val="394"/>
    <w:next w:val="394"/>
    <w:uiPriority w:val="39"/>
    <w:unhideWhenUsed/>
    <w:pPr>
      <w:ind w:left="567"/>
      <w:spacing w:after="57"/>
    </w:pPr>
  </w:style>
  <w:style w:type="paragraph" w:styleId="561">
    <w:name w:val="toc 4"/>
    <w:basedOn w:val="394"/>
    <w:next w:val="394"/>
    <w:uiPriority w:val="39"/>
    <w:unhideWhenUsed/>
    <w:pPr>
      <w:ind w:left="850"/>
      <w:spacing w:after="57"/>
    </w:pPr>
  </w:style>
  <w:style w:type="paragraph" w:styleId="562">
    <w:name w:val="toc 5"/>
    <w:basedOn w:val="394"/>
    <w:next w:val="394"/>
    <w:uiPriority w:val="39"/>
    <w:unhideWhenUsed/>
    <w:pPr>
      <w:ind w:left="1134"/>
      <w:spacing w:after="57"/>
    </w:pPr>
  </w:style>
  <w:style w:type="paragraph" w:styleId="563">
    <w:name w:val="toc 6"/>
    <w:basedOn w:val="394"/>
    <w:next w:val="394"/>
    <w:uiPriority w:val="39"/>
    <w:unhideWhenUsed/>
    <w:pPr>
      <w:ind w:left="1417"/>
      <w:spacing w:after="57"/>
    </w:pPr>
  </w:style>
  <w:style w:type="paragraph" w:styleId="564">
    <w:name w:val="toc 7"/>
    <w:basedOn w:val="394"/>
    <w:next w:val="394"/>
    <w:uiPriority w:val="39"/>
    <w:unhideWhenUsed/>
    <w:pPr>
      <w:ind w:left="1701"/>
      <w:spacing w:after="57"/>
    </w:pPr>
  </w:style>
  <w:style w:type="paragraph" w:styleId="565">
    <w:name w:val="toc 8"/>
    <w:basedOn w:val="394"/>
    <w:next w:val="394"/>
    <w:uiPriority w:val="39"/>
    <w:unhideWhenUsed/>
    <w:pPr>
      <w:ind w:left="1984"/>
      <w:spacing w:after="57"/>
    </w:pPr>
  </w:style>
  <w:style w:type="paragraph" w:styleId="566">
    <w:name w:val="toc 9"/>
    <w:basedOn w:val="394"/>
    <w:next w:val="394"/>
    <w:uiPriority w:val="39"/>
    <w:unhideWhenUsed/>
    <w:pPr>
      <w:ind w:left="2268"/>
      <w:spacing w:after="57"/>
    </w:pPr>
  </w:style>
  <w:style w:type="paragraph" w:styleId="567">
    <w:name w:val="TOC Heading"/>
    <w:uiPriority w:val="39"/>
    <w:unhideWhenUsed/>
  </w:style>
  <w:style w:type="paragraph" w:styleId="568" w:customStyle="1">
    <w:name w:val="msonormal"/>
    <w:basedOn w:val="39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39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70">
    <w:name w:val="Strong"/>
    <w:basedOn w:val="404"/>
    <w:qFormat/>
    <w:uiPriority w:val="22"/>
    <w:rPr>
      <w:b/>
      <w:bCs/>
    </w:rPr>
  </w:style>
  <w:style w:type="character" w:styleId="571">
    <w:name w:val="Hyperlink"/>
    <w:basedOn w:val="404"/>
    <w:uiPriority w:val="99"/>
    <w:unhideWhenUsed/>
    <w:rPr>
      <w:color w:val="0000FF"/>
      <w:u w:val="single"/>
    </w:rPr>
  </w:style>
  <w:style w:type="character" w:styleId="572">
    <w:name w:val="Emphasis"/>
    <w:basedOn w:val="404"/>
    <w:qFormat/>
    <w:uiPriority w:val="20"/>
    <w:rPr>
      <w:i/>
      <w:iCs/>
    </w:rPr>
  </w:style>
  <w:style w:type="paragraph" w:styleId="573" w:customStyle="1">
    <w:name w:val="Нормальний текст"/>
    <w:basedOn w:val="394"/>
    <w:rPr>
      <w:rFonts w:ascii="Antiqua" w:hAnsi="Antiqua" w:cs="Times New Roman" w:eastAsia="Times New Roman"/>
      <w:sz w:val="26"/>
      <w:szCs w:val="20"/>
      <w:lang w:eastAsia="ru-RU"/>
    </w:rPr>
    <w:pPr>
      <w:ind w:firstLine="567"/>
      <w:spacing w:lineRule="auto" w:line="240" w:after="0" w:before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44</cp:revision>
  <dcterms:created xsi:type="dcterms:W3CDTF">2020-01-08T14:12:00Z</dcterms:created>
  <dcterms:modified xsi:type="dcterms:W3CDTF">2021-02-22T14:07:01Z</dcterms:modified>
</cp:coreProperties>
</file>