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E5" w:rsidRDefault="00E07233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</w:t>
      </w:r>
    </w:p>
    <w:p w:rsidR="008069E5" w:rsidRDefault="00E07233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8069E5" w:rsidRDefault="00E07233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</w:t>
      </w:r>
    </w:p>
    <w:p w:rsidR="008069E5" w:rsidRDefault="00BA22B2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</w:t>
      </w:r>
      <w:r w:rsidR="00E07233">
        <w:rPr>
          <w:sz w:val="28"/>
          <w:szCs w:val="28"/>
          <w:lang w:val="uk-UA"/>
        </w:rPr>
        <w:t xml:space="preserve"> лютого 2021 року</w:t>
      </w:r>
      <w:r>
        <w:rPr>
          <w:sz w:val="28"/>
          <w:szCs w:val="28"/>
          <w:lang w:val="uk-UA"/>
        </w:rPr>
        <w:t xml:space="preserve"> № 26</w:t>
      </w:r>
    </w:p>
    <w:p w:rsidR="008069E5" w:rsidRDefault="00E07233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виконання бюджету Менської </w:t>
      </w:r>
    </w:p>
    <w:p w:rsidR="008069E5" w:rsidRDefault="00E07233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об’єднаної територіальної </w:t>
      </w:r>
    </w:p>
    <w:p w:rsidR="008069E5" w:rsidRDefault="00E07233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за 2020 рік»</w:t>
      </w:r>
    </w:p>
    <w:p w:rsidR="008069E5" w:rsidRDefault="008069E5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</w:p>
    <w:p w:rsidR="008069E5" w:rsidRDefault="00E07233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8069E5" w:rsidRDefault="00E07233">
      <w:pPr>
        <w:pStyle w:val="afc"/>
        <w:ind w:firstLine="567"/>
        <w:rPr>
          <w:b/>
        </w:rPr>
      </w:pPr>
      <w:r>
        <w:rPr>
          <w:b/>
        </w:rPr>
        <w:t>про виконання  бюджету Менської міської об’єднаної територіальної громади за 2020 рік</w:t>
      </w:r>
    </w:p>
    <w:p w:rsidR="008069E5" w:rsidRDefault="008069E5">
      <w:pPr>
        <w:pStyle w:val="afc"/>
        <w:ind w:firstLine="567"/>
        <w:rPr>
          <w:b/>
        </w:rPr>
      </w:pPr>
    </w:p>
    <w:p w:rsidR="008069E5" w:rsidRDefault="00E07233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загального фонду бюджету Менської ОТГ за 2020 рік свідчать про те, що план надходжень податків, зборів, платежів (без міжбюджетних трансфертів) виконано на 102,35 %, перевиконання становить 2386,4 тис. грн. (план – 101 517,5 тис. грн., факт – 103 904,0 тис. грн): </w:t>
      </w:r>
    </w:p>
    <w:p w:rsidR="008069E5" w:rsidRDefault="00E07233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u w:val="single"/>
          <w:lang w:val="uk-UA"/>
        </w:rPr>
        <w:t xml:space="preserve">податкові надходження </w:t>
      </w:r>
      <w:r>
        <w:rPr>
          <w:sz w:val="28"/>
          <w:szCs w:val="28"/>
          <w:lang w:val="uk-UA"/>
        </w:rPr>
        <w:t xml:space="preserve">виконані на  102,4 %, перевиконання становить       2 318,1 тис. грн.; </w:t>
      </w:r>
    </w:p>
    <w:p w:rsidR="008069E5" w:rsidRDefault="00E07233">
      <w:pPr>
        <w:pStyle w:val="af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неподаткові надходження</w:t>
      </w:r>
      <w:r>
        <w:rPr>
          <w:sz w:val="28"/>
          <w:szCs w:val="28"/>
          <w:lang w:val="uk-UA"/>
        </w:rPr>
        <w:t xml:space="preserve"> виконані на 105,3 %, перевиконання становить  162,3 тис. грн.</w:t>
      </w:r>
    </w:p>
    <w:p w:rsidR="008069E5" w:rsidRDefault="00E07233">
      <w:pPr>
        <w:pStyle w:val="af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доходи від операцій з капіталом</w:t>
      </w:r>
      <w:r>
        <w:rPr>
          <w:sz w:val="28"/>
          <w:szCs w:val="28"/>
          <w:lang w:val="uk-UA"/>
        </w:rPr>
        <w:t xml:space="preserve"> отримані в розмірі 6,0 тис. грн.</w:t>
      </w:r>
    </w:p>
    <w:p w:rsidR="008069E5" w:rsidRDefault="00E07233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дотацій та субвенцій складають – 76 884,8 тис. грн., в тому числі: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дотація (41020100) – 10 182,3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субвенція (41033900) – 48 868,7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субвенція (41034200) – 4 492,3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субвенція на житло (41050900) – 804,4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субвенція на інсулін (41051500) – 142,2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субвенція на інсулін (41055000) – 659,7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субвенція на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-ресурсний центр за рахунок освітньої субвенції (41051000) – 938,7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субвенція на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-ресурсний центр (41051200) – 254,4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залишок освітньої субвенції (41051100) – 1111,8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субвенція НУШ (41051400) – 995,9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субвенція на проведення місцевих виборів (41053000) – 1 495,3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субвенція «Спроможна школа для кращих результатів» (41054900) – 3 390,9 тис. грн.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дотація на утримання закладів освіти (41040200) – 3 185,6 тис. грн;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субвенції з місцевого бюджету (41053900) – 362,6 тис. грн, з них: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567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депутатських повноважень (з обласного бюджету) – 102,0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567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депутатських повноважень (з районного бюджету) – 2,5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567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фінансова підтримка зразкового </w:t>
      </w:r>
      <w:proofErr w:type="spellStart"/>
      <w:r>
        <w:rPr>
          <w:sz w:val="28"/>
          <w:szCs w:val="28"/>
          <w:lang w:val="uk-UA"/>
        </w:rPr>
        <w:t>хореографічно</w:t>
      </w:r>
      <w:proofErr w:type="spellEnd"/>
      <w:r>
        <w:rPr>
          <w:sz w:val="28"/>
          <w:szCs w:val="28"/>
          <w:lang w:val="uk-UA"/>
        </w:rPr>
        <w:t>-циркового колективу «Фієста» (з районного бюджету) – 10,0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567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співфінансування дитячо-юнацької спортивної школи ДЮСШ (з районного бюджету) – 204,4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567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співфінансування відділення стаціонарного догляду для постійного або тимчасового проживання громадян ( з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селищного бюджету) – 29,1 тис. грн.;</w:t>
      </w:r>
    </w:p>
    <w:p w:rsidR="008069E5" w:rsidRDefault="00E07233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567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забезпечення виплати заробітної плати працівникам Менського районного територіального центру соціального обслуговування – 14,6 тис. грн. (з районного бюджету).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Видаткова частина загального фонду бюджету виконана в сумі 172 667,8 тис. грн., що складає 97,8 %  до планового періоду, а саме на: </w:t>
      </w:r>
    </w:p>
    <w:p w:rsidR="008069E5" w:rsidRDefault="00E07233">
      <w:pPr>
        <w:pStyle w:val="af7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оплату праці працівників бюджетних установ та нарахування на неї – 125 632,3 тис. грн. </w:t>
      </w:r>
    </w:p>
    <w:p w:rsidR="008069E5" w:rsidRDefault="00E07233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спожиті енергоносії  - 7 394,1 тис. грн.</w:t>
      </w:r>
    </w:p>
    <w:p w:rsidR="008069E5" w:rsidRDefault="00E07233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придбання продуктів харчування – 2 880,3 тис. грн. </w:t>
      </w:r>
    </w:p>
    <w:p w:rsidR="008069E5" w:rsidRDefault="00E07233">
      <w:pPr>
        <w:pStyle w:val="af7"/>
        <w:ind w:right="-57" w:firstLine="567"/>
        <w:jc w:val="both"/>
      </w:pPr>
      <w:r>
        <w:rPr>
          <w:sz w:val="28"/>
          <w:szCs w:val="28"/>
          <w:lang w:val="uk-UA"/>
        </w:rPr>
        <w:t xml:space="preserve">4. медикаменти – 395,1 тис. грн. </w:t>
      </w:r>
    </w:p>
    <w:p w:rsidR="008069E5" w:rsidRDefault="00E07233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інші виплати населенню – 846,6 тис. грн.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медична субвенція – 5 294,2 тис. грн., з них на інсулін 801,9 тис. грн.;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інші субвенції з місцевого бюджету – 8 875,5 тис. грн.: 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Центральну районну лікарню – 3 064,4 тис. грн, в тому числі 400,0 тис. грн. </w:t>
      </w:r>
      <w:r>
        <w:rPr>
          <w:sz w:val="28"/>
          <w:szCs w:val="28"/>
          <w:lang w:val="uk-UA" w:eastAsia="zh-CN"/>
        </w:rPr>
        <w:t>на придбання апарату штучної вентиляції легень</w:t>
      </w:r>
      <w:r>
        <w:rPr>
          <w:sz w:val="28"/>
          <w:szCs w:val="28"/>
          <w:lang w:val="uk-UA"/>
        </w:rPr>
        <w:t>;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Центр первинної медико-санітарної допомоги – 344,5 тис. грн., в тому числі 100,0 тис. грн.</w:t>
      </w:r>
      <w:r>
        <w:rPr>
          <w:sz w:val="28"/>
          <w:szCs w:val="28"/>
          <w:lang w:val="uk-UA" w:eastAsia="zh-CN"/>
        </w:rPr>
        <w:t xml:space="preserve"> на протиепідемічні заходи, 34,0 тис. грн на медичне страхування</w:t>
      </w:r>
      <w:r>
        <w:rPr>
          <w:sz w:val="28"/>
          <w:szCs w:val="28"/>
          <w:lang w:val="uk-UA"/>
        </w:rPr>
        <w:t>;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proofErr w:type="spellStart"/>
      <w:r>
        <w:rPr>
          <w:sz w:val="28"/>
          <w:szCs w:val="28"/>
          <w:lang w:val="uk-UA"/>
        </w:rPr>
        <w:t>Степанівський</w:t>
      </w:r>
      <w:proofErr w:type="spellEnd"/>
      <w:r>
        <w:rPr>
          <w:sz w:val="28"/>
          <w:szCs w:val="28"/>
          <w:lang w:val="uk-UA"/>
        </w:rPr>
        <w:t xml:space="preserve"> МНВК – 2 582,0 тис. грн.;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соціальні програми – 535,3 тис. грн.;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інсулін – 240,0 тис. грн.;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proofErr w:type="spellStart"/>
      <w:r>
        <w:rPr>
          <w:sz w:val="28"/>
          <w:szCs w:val="28"/>
          <w:lang w:val="uk-UA"/>
        </w:rPr>
        <w:t>екстренну</w:t>
      </w:r>
      <w:proofErr w:type="spellEnd"/>
      <w:r>
        <w:rPr>
          <w:sz w:val="28"/>
          <w:szCs w:val="28"/>
          <w:lang w:val="uk-UA"/>
        </w:rPr>
        <w:t xml:space="preserve"> медицину – 1 790,0 тис. грн;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співфінансування придбання шкільного автобуса  – 711,0 тис. грн. (з них повернуто 401,7 тис. грн.) ;</w:t>
      </w:r>
    </w:p>
    <w:p w:rsidR="008069E5" w:rsidRDefault="00E07233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proofErr w:type="spellStart"/>
      <w:r>
        <w:rPr>
          <w:sz w:val="28"/>
          <w:szCs w:val="28"/>
          <w:lang w:val="uk-UA"/>
        </w:rPr>
        <w:t>Борзнянську</w:t>
      </w:r>
      <w:proofErr w:type="spellEnd"/>
      <w:r>
        <w:rPr>
          <w:sz w:val="28"/>
          <w:szCs w:val="28"/>
          <w:lang w:val="uk-UA"/>
        </w:rPr>
        <w:t xml:space="preserve"> районну раду (запчастини для шкільного автобуса) – 10,0 тис. грн.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поточні трансферти підприємствам – 8 210,2 тис. грн.;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субвенція на виконання програми соціально-економічного розвитку – 120,0 тис. грн.;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інші видатки – 13 019,5 тис. грн. (що складає 7,5 % від загальної суми видатків).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 бюджетних установ направлено 143 355,2 тис. грн., з них на утримання: 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органів  місцевого самоврядування – 18 186,7 тис. грн., 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дошкільних навчальних закладів – 19 867,0 тис. грн., 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загальноосвітніх закладів – 69 835,4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шкіл естетичного виховання – 4 015,4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позашкільної освіти – 3 431,5 тис. грн., 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навчально-тренувальної роботи (ДЮСШ) – 1 709,6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інших закладів освіти (бухгалтерія, методкабінет, </w:t>
      </w:r>
      <w:proofErr w:type="spellStart"/>
      <w:r>
        <w:rPr>
          <w:sz w:val="28"/>
          <w:szCs w:val="28"/>
          <w:lang w:val="uk-UA"/>
        </w:rPr>
        <w:t>госпгрупа</w:t>
      </w:r>
      <w:proofErr w:type="spellEnd"/>
      <w:r>
        <w:rPr>
          <w:sz w:val="28"/>
          <w:szCs w:val="28"/>
          <w:lang w:val="uk-UA"/>
        </w:rPr>
        <w:t>, профцентр) – 3 184,1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ІРЦ – 844,0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публічної бібліотеки – 2 937,4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краєзнавчого музею – 410,8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будинки культури -  6 489,2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інші заклади культури (бухгалтерія) – 741,5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територіального центру соціального обслуговування – 7 539,4 тис. грн.,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центр соціальних служб для сім’ї, дітей та молоді – 1 520,4 тис. грн.</w:t>
      </w:r>
    </w:p>
    <w:p w:rsidR="008069E5" w:rsidRDefault="00E07233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місцевої пожежної охорони– 2 642,8 тис. грн.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спеціального фонду  бюджету Менської ОТГ за 2020 рік (без урахування трансфертів) свідчать про те, що план надходжень виконано на 89,9 %, недовиконання становить 740,7 тис. грн. 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Видаткова частина спеціального фонду бюджету виконана в сумі 14 143,0 тис. грн., що складає 80,5 %  до планового періоду.</w:t>
      </w:r>
    </w:p>
    <w:p w:rsidR="008069E5" w:rsidRDefault="00E07233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захищені статті видатків спрямовано 1 761,0 тис. грн.</w:t>
      </w:r>
    </w:p>
    <w:p w:rsidR="008069E5" w:rsidRDefault="008069E5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8069E5" w:rsidRDefault="008069E5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8069E5" w:rsidRDefault="00E07233">
      <w:pPr>
        <w:pStyle w:val="a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Фінансового управління</w:t>
      </w:r>
    </w:p>
    <w:p w:rsidR="008069E5" w:rsidRDefault="00E07233" w:rsidP="00BA22B2">
      <w:pPr>
        <w:pStyle w:val="aff"/>
        <w:tabs>
          <w:tab w:val="left" w:pos="7088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Менської міської ради                             </w:t>
      </w:r>
      <w:r w:rsidR="00BA22B2">
        <w:rPr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В.В. Костенко</w:t>
      </w:r>
    </w:p>
    <w:sectPr w:rsidR="008069E5" w:rsidSect="00BA2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DD" w:rsidRDefault="00194ADD">
      <w:r>
        <w:separator/>
      </w:r>
    </w:p>
  </w:endnote>
  <w:endnote w:type="continuationSeparator" w:id="0">
    <w:p w:rsidR="00194ADD" w:rsidRDefault="0019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DD" w:rsidRDefault="00194ADD">
      <w:r>
        <w:separator/>
      </w:r>
    </w:p>
  </w:footnote>
  <w:footnote w:type="continuationSeparator" w:id="0">
    <w:p w:rsidR="00194ADD" w:rsidRDefault="0019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A23"/>
    <w:multiLevelType w:val="hybridMultilevel"/>
    <w:tmpl w:val="CD7A7F2C"/>
    <w:lvl w:ilvl="0" w:tplc="3A96DA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1D0468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92C0713A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1866816E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F8AC709C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9FFE4B24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1D6B1AA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56C8AE7A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BE43642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65FB18D4"/>
    <w:multiLevelType w:val="hybridMultilevel"/>
    <w:tmpl w:val="482E7634"/>
    <w:lvl w:ilvl="0" w:tplc="32DA585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14E2614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9FA87FB6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FA400CE2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77FC7680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92648B52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4B72E3E2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DD9E8A5A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32F2E64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E5"/>
    <w:rsid w:val="00194ADD"/>
    <w:rsid w:val="004C0E63"/>
    <w:rsid w:val="008069E5"/>
    <w:rsid w:val="00BA22B2"/>
    <w:rsid w:val="00E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BDB8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afb">
    <w:name w:val="Название Знак;Номер таблиці Знак"/>
    <w:link w:val="afc"/>
    <w:rPr>
      <w:sz w:val="28"/>
      <w:szCs w:val="28"/>
      <w:lang w:val="uk-UA"/>
    </w:rPr>
  </w:style>
  <w:style w:type="paragraph" w:customStyle="1" w:styleId="afc">
    <w:name w:val="Название;Номер таблиці"/>
    <w:basedOn w:val="af7"/>
    <w:link w:val="afb"/>
    <w:pPr>
      <w:jc w:val="center"/>
    </w:pPr>
    <w:rPr>
      <w:sz w:val="28"/>
      <w:szCs w:val="28"/>
      <w:lang w:val="uk-UA"/>
    </w:rPr>
  </w:style>
  <w:style w:type="character" w:customStyle="1" w:styleId="13">
    <w:name w:val="Название Знак1"/>
    <w:rPr>
      <w:rFonts w:ascii="Cambria" w:eastAsia="Times New Roman" w:hAnsi="Cambria"/>
      <w:b/>
      <w:bCs/>
      <w:sz w:val="32"/>
      <w:szCs w:val="32"/>
    </w:rPr>
  </w:style>
  <w:style w:type="paragraph" w:customStyle="1" w:styleId="afd">
    <w:name w:val="Основной текст с отступом"/>
    <w:basedOn w:val="af7"/>
    <w:link w:val="afe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aff">
    <w:name w:val="Обычный (веб)"/>
    <w:basedOn w:val="a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f7"/>
    <w:link w:val="23"/>
    <w:pPr>
      <w:widowControl w:val="0"/>
      <w:shd w:val="clear" w:color="auto" w:fill="FFFFFF"/>
      <w:spacing w:line="168" w:lineRule="exact"/>
      <w:jc w:val="both"/>
    </w:pPr>
    <w:rPr>
      <w:sz w:val="17"/>
      <w:szCs w:val="17"/>
    </w:rPr>
  </w:style>
  <w:style w:type="paragraph" w:customStyle="1" w:styleId="aff0">
    <w:name w:val="Текст выноски"/>
    <w:basedOn w:val="af7"/>
    <w:link w:val="aff1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</w:rPr>
  </w:style>
  <w:style w:type="paragraph" w:customStyle="1" w:styleId="aff2">
    <w:name w:val="Верхний колонтитул"/>
    <w:basedOn w:val="af7"/>
    <w:link w:val="aff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f8"/>
    <w:link w:val="aff2"/>
  </w:style>
  <w:style w:type="paragraph" w:customStyle="1" w:styleId="aff4">
    <w:name w:val="Нижний колонтитул"/>
    <w:basedOn w:val="af7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f8"/>
    <w:link w:val="a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2021-02-08T13:33:00Z</dcterms:created>
  <dcterms:modified xsi:type="dcterms:W3CDTF">2021-02-17T12:54:00Z</dcterms:modified>
</cp:coreProperties>
</file>