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39" w:rsidRDefault="00030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Аналіз регуляторного впливу</w:t>
      </w:r>
    </w:p>
    <w:p w:rsidR="00DE4F39" w:rsidRDefault="0003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проєкту рішення сесії Менської міської ради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«Про затвердження ставок орендної плати за земельні ділянки на території Менської міської територіальної громади».</w:t>
      </w:r>
    </w:p>
    <w:p w:rsidR="00DE4F39" w:rsidRDefault="0003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регуляторного акта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розроблений на виконання та дотриманням вимог Закону України «Про засади державної регуляторної політики у сфері господарської діяльності» та постанови Кабінету Міністрів України від 11.03.2004 р. №308 «Про затвердження методик проведення аналізу впливу 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відстеження результативності регуляторного акта» (надалі – Аналіз).</w:t>
      </w:r>
    </w:p>
    <w:p w:rsidR="00DE4F39" w:rsidRDefault="0003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1.Визначення проблеми.</w:t>
      </w:r>
    </w:p>
    <w:p w:rsidR="00DE4F39" w:rsidRDefault="00030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Земельним та Податковим кодексами України встановлено, що використання землі в Україні є платним.</w:t>
      </w:r>
    </w:p>
    <w:p w:rsidR="00DE4F39" w:rsidRDefault="00030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до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повноваження щодо встановлення місцевих податків і зборів відносяться до виключної компетенції сесії ради. За вимогами Податкового кодексу України розмір орендної плати встановлюється у договорі оренди, але річна сума платежу: не може бути меншою за розмір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земельного податку; не може перевищувати 12 відсотків нормативної грошової оцінки та може перевищувати граничний розмір орендної плати (12 відсотків), у разі визначення орендаря на конкурентних засадах. Орендна плата за земельні ділянки комунальної власно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сті, наразі, встановлюється у відповідності діючих ставок орендної плати, затверджених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рішенням 40 сесії 7 скликання Менської міської ради від 10.07.2020 р. </w:t>
      </w:r>
      <w:r w:rsidRPr="00FA7EB3">
        <w:rPr>
          <w:rFonts w:ascii="Times New Roman" w:eastAsia="Times New Roman" w:hAnsi="Times New Roman" w:cs="Times New Roman"/>
          <w:sz w:val="26"/>
          <w:szCs w:val="26"/>
          <w:lang w:eastAsia="uk-UA"/>
        </w:rPr>
        <w:t>№</w:t>
      </w:r>
      <w:r w:rsidRPr="00FA7EB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257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не суперечать вимогам законодавства, однак потребують зваженого перегляду з урахуванням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розмірів нових ставок податку та потреб міського бюджету, а також у зв’язку зі зміною території громади.</w:t>
      </w:r>
    </w:p>
    <w:p w:rsidR="00DE4F39" w:rsidRDefault="00030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Проблема, яку передбачається розв’язати шляхом прийняття вказаного рішення – це приведення ставок орендної плати у відповідність до діючих нових ставок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податку, залучення додаткових коштів до міського бюджету, створення єдиного механізму справляння орендної плати за використання земель комунальної власності, невитребуваних земельних ділянок (паїв) на території Менської</w:t>
      </w:r>
      <w:r w:rsidR="00FA7E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Розв’язання даної проблеми за допомогою ринкового механізму неможлив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е, оскільки чинне законодавство чітко регламентує, що саме органи місцевого самоврядування встановлюють розмір плати за землю. Впровадження даного регулювання є доцільним у зв’язку з тим, що інших альтернатив розв’язання проблеми не існує.</w:t>
      </w:r>
    </w:p>
    <w:p w:rsidR="00DE4F39" w:rsidRDefault="00030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розроблено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регуляторного акта є приведення ставок орендної плати у відповідність до діючих нових ставок податку, залучення додаткових коштів до міського бюджету, створення єдиного механізму справляння орендної плати за використання земель комунальної власності,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витребуваних земельних ділянок (паїв) на території Менської</w:t>
      </w:r>
      <w:r w:rsidR="00FA7E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Дія даного регуляторного акта поширюється на усіх орендарів земельних ділянок комунальної власності, невитребуваних земельних ділянок (паїв) на території Менської міської територіальної громади.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2671"/>
        <w:gridCol w:w="2575"/>
      </w:tblGrid>
      <w:tr w:rsidR="00DE4F39">
        <w:tc>
          <w:tcPr>
            <w:tcW w:w="219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Групи</w:t>
            </w:r>
          </w:p>
        </w:tc>
        <w:tc>
          <w:tcPr>
            <w:tcW w:w="142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3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DE4F39">
        <w:tc>
          <w:tcPr>
            <w:tcW w:w="219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142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3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E4F39">
        <w:tc>
          <w:tcPr>
            <w:tcW w:w="219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 місцевого самоврядування</w:t>
            </w:r>
          </w:p>
        </w:tc>
        <w:tc>
          <w:tcPr>
            <w:tcW w:w="142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3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E4F39">
        <w:tc>
          <w:tcPr>
            <w:tcW w:w="219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Суб’єкти господарювання</w:t>
            </w:r>
          </w:p>
        </w:tc>
        <w:tc>
          <w:tcPr>
            <w:tcW w:w="142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3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E4F39" w:rsidRDefault="0003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2.Визначення цілей регулювання.</w:t>
      </w:r>
    </w:p>
    <w:p w:rsidR="00DE4F39" w:rsidRDefault="0003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Цілями запропонованого регуляторного акта є:</w:t>
      </w:r>
    </w:p>
    <w:p w:rsidR="00DE4F39" w:rsidRDefault="0003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створення єдиного механізму справляння орендної плати за використання земель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невитребуваних земельних ділянок (паїв) на території Менської міської територіальної громади;</w:t>
      </w:r>
    </w:p>
    <w:p w:rsidR="00DE4F39" w:rsidRDefault="0003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вдосконалення земельних відносин на основі встановлення ставок плати за використання земель комунальної власності, невитребуваних земельних ділянок (паїв) в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алежності від цільового призначення земельної ділянки з урахуванням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Класифікації видів цільового призначення земель та діючих нових ставок податку;</w:t>
      </w:r>
    </w:p>
    <w:p w:rsidR="00DE4F39" w:rsidRDefault="0003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збільшення надходжень до міського бюджету за рахунок перегляду ставок орендної плати за використання земель комунальної власності, невитребуваних земельних ділянок (паїв) та направлення додаткових коштів на соціальний розв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иток міста.</w:t>
      </w:r>
    </w:p>
    <w:p w:rsidR="00DE4F39" w:rsidRDefault="0003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3.Визначення та оцінка усіх прийнятних альтернативних способів досягнення встановлених цілей.</w:t>
      </w:r>
    </w:p>
    <w:p w:rsidR="00DE4F39" w:rsidRDefault="0003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3.1. Визначення альтернативних способів: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5663"/>
      </w:tblGrid>
      <w:tr w:rsidR="00DE4F39">
        <w:trPr>
          <w:tblHeader/>
        </w:trPr>
        <w:tc>
          <w:tcPr>
            <w:tcW w:w="19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303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Опис альтернативи</w:t>
            </w:r>
          </w:p>
        </w:tc>
      </w:tr>
      <w:tr w:rsidR="00DE4F39">
        <w:tc>
          <w:tcPr>
            <w:tcW w:w="19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</w:tc>
        <w:tc>
          <w:tcPr>
            <w:tcW w:w="303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 w:rsidP="001D0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Збереження </w:t>
            </w:r>
            <w:r w:rsidR="001D04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існуючих ставок орендної плати</w:t>
            </w:r>
          </w:p>
        </w:tc>
      </w:tr>
      <w:tr w:rsidR="00DE4F39">
        <w:tc>
          <w:tcPr>
            <w:tcW w:w="19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303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Дана проблема не може бути вирішена за допомогою ринкових механізмів, оскільки законодавством визначено, що встановлення місцевих податків</w:t>
            </w:r>
            <w:r w:rsidR="001D04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плати за землю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належить до повноважень органів місцевого самоврядування.</w:t>
            </w:r>
          </w:p>
        </w:tc>
      </w:tr>
      <w:tr w:rsidR="00DE4F39">
        <w:tc>
          <w:tcPr>
            <w:tcW w:w="19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Альтернатива 3:</w:t>
            </w:r>
          </w:p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запропонованого проекту рішення</w:t>
            </w:r>
          </w:p>
        </w:tc>
        <w:tc>
          <w:tcPr>
            <w:tcW w:w="303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 w:rsidP="001D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Забезпечить вирішення проблеми. Дана альтернатива є найбільш оптимальною і прийнятною. Перевага обраного способу досягнення цілей полягає в тому, що цим регуляторним актом конкретизовано ставки орендної плати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Класифікації вид</w:t>
            </w:r>
            <w:r w:rsidR="001D04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 цільового призначення земель, забезпечить додаткові</w:t>
            </w:r>
            <w:r w:rsidR="001D04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D04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надходження до</w:t>
            </w:r>
            <w:r w:rsidR="001D04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міського бюджету та фінансування соціальних програм міста.</w:t>
            </w:r>
          </w:p>
        </w:tc>
      </w:tr>
    </w:tbl>
    <w:p w:rsidR="00DE4F39" w:rsidRDefault="0003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3.2.Оцінка вибраних альтернативних способів досягнення цілей</w:t>
      </w:r>
    </w:p>
    <w:p w:rsidR="00DE4F39" w:rsidRDefault="00030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Оцінка впливу на сферу інтересів органу місцевого самоврядування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4387"/>
        <w:gridCol w:w="1620"/>
      </w:tblGrid>
      <w:tr w:rsidR="00DE4F39">
        <w:tc>
          <w:tcPr>
            <w:tcW w:w="17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23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8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</w:tr>
      <w:tr w:rsidR="00DE4F39">
        <w:tc>
          <w:tcPr>
            <w:tcW w:w="17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Дана альтернатива є неприйнятною, так як не поширюється на всю територію Менської міської територіальної громади </w:t>
            </w:r>
          </w:p>
        </w:tc>
        <w:tc>
          <w:tcPr>
            <w:tcW w:w="8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рівні існуючих</w:t>
            </w:r>
          </w:p>
        </w:tc>
      </w:tr>
      <w:tr w:rsidR="00DE4F39">
        <w:tc>
          <w:tcPr>
            <w:tcW w:w="17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23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Дана проблема не може бути вирішена за допомогою ринкових механізмів, оскільки повноваження щодо встановлення місцевих податків і зборів</w:t>
            </w:r>
            <w:r w:rsidR="000B29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плати за землю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відносять до виключної компетенції органів місцевого самоврядування.</w:t>
            </w:r>
          </w:p>
        </w:tc>
        <w:tc>
          <w:tcPr>
            <w:tcW w:w="8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DE4F39">
        <w:tc>
          <w:tcPr>
            <w:tcW w:w="17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 проекту рішення</w:t>
            </w:r>
          </w:p>
        </w:tc>
        <w:tc>
          <w:tcPr>
            <w:tcW w:w="23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забезпечення раціонального та ефективного використання земельних ділянок;</w:t>
            </w:r>
          </w:p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забезпечення наповнення міського бюджету та фінансування соціальних програм міста.</w:t>
            </w:r>
          </w:p>
        </w:tc>
        <w:tc>
          <w:tcPr>
            <w:tcW w:w="8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рівні існуючих</w:t>
            </w:r>
          </w:p>
        </w:tc>
      </w:tr>
    </w:tbl>
    <w:p w:rsidR="00DE4F39" w:rsidRDefault="0003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:rsidR="00DE4F39" w:rsidRDefault="00030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4224"/>
        <w:gridCol w:w="1947"/>
      </w:tblGrid>
      <w:tr w:rsidR="00DE4F39">
        <w:tc>
          <w:tcPr>
            <w:tcW w:w="17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230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94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Витрати</w:t>
            </w:r>
          </w:p>
        </w:tc>
      </w:tr>
      <w:tr w:rsidR="00DE4F39">
        <w:tc>
          <w:tcPr>
            <w:tcW w:w="17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Альтернатива 1:</w:t>
            </w:r>
          </w:p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Землекористувачі земельних ділянок з цільовим призначенням, вид якого запроваджено у відповідності внесених змін до Класифікації видів цільового призначення земель, будуть сплачу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вати орендну плату, відповідно до раніше прийнятого рішення про затвердження ставок орендної плати за земельні ділянки, проте дане рішення не поширюється на новоприєднані території, тим самим ущемляються права окремих землекористувачів, у зв’язку із знижен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ням конкурентоспроможності для тих, у кого ставка орендної плати більша.</w:t>
            </w:r>
          </w:p>
        </w:tc>
        <w:tc>
          <w:tcPr>
            <w:tcW w:w="94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рівні існуючих</w:t>
            </w:r>
          </w:p>
        </w:tc>
      </w:tr>
      <w:tr w:rsidR="00DE4F39">
        <w:tc>
          <w:tcPr>
            <w:tcW w:w="17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230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Дана проблема не може бути вирішена за допомогою ринкових механізмів, оскільки повноваж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ення щодо встановлення місцевих податків і зборів</w:t>
            </w:r>
            <w:r w:rsidR="000B29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0B29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плати за землю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відносять до виключної компетенції органів місцевого самоврядування.</w:t>
            </w:r>
          </w:p>
        </w:tc>
        <w:tc>
          <w:tcPr>
            <w:tcW w:w="94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DE4F39">
        <w:tc>
          <w:tcPr>
            <w:tcW w:w="17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запропонованого проекту рішення</w:t>
            </w:r>
          </w:p>
        </w:tc>
        <w:tc>
          <w:tcPr>
            <w:tcW w:w="230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встановлення ставок орендної плати з урахування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видів цільового призначення земельних ділянок;</w:t>
            </w:r>
          </w:p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передбачуваність дій влади;</w:t>
            </w:r>
          </w:p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додаткові надходження до бюджету, які спрямовуються на розвиток громади.</w:t>
            </w:r>
          </w:p>
        </w:tc>
        <w:tc>
          <w:tcPr>
            <w:tcW w:w="94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пов’язані зі сплатою до міського бюджету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орендної плати за використання земель комунальної власності, невитребуваних земельних ділянок (паїв)</w:t>
            </w:r>
          </w:p>
        </w:tc>
      </w:tr>
    </w:tbl>
    <w:p w:rsidR="00DE4F39" w:rsidRDefault="00DE4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DE4F39" w:rsidRDefault="0003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Оцінка впливу на сферу інтересів суб’єктів господарювання</w:t>
      </w:r>
    </w:p>
    <w:tbl>
      <w:tblPr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1133"/>
        <w:gridCol w:w="1278"/>
        <w:gridCol w:w="850"/>
        <w:gridCol w:w="989"/>
      </w:tblGrid>
      <w:tr w:rsidR="00DE4F39">
        <w:trPr>
          <w:trHeight w:val="278"/>
        </w:trPr>
        <w:tc>
          <w:tcPr>
            <w:tcW w:w="261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63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Великі</w:t>
            </w:r>
          </w:p>
        </w:tc>
        <w:tc>
          <w:tcPr>
            <w:tcW w:w="71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Середні</w:t>
            </w:r>
          </w:p>
        </w:tc>
        <w:tc>
          <w:tcPr>
            <w:tcW w:w="47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Малі</w:t>
            </w:r>
          </w:p>
        </w:tc>
        <w:tc>
          <w:tcPr>
            <w:tcW w:w="55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</w:tr>
      <w:tr w:rsidR="00DE4F39">
        <w:trPr>
          <w:trHeight w:val="557"/>
        </w:trPr>
        <w:tc>
          <w:tcPr>
            <w:tcW w:w="261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63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7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55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</w:tr>
      <w:tr w:rsidR="00DE4F39">
        <w:trPr>
          <w:trHeight w:val="557"/>
        </w:trPr>
        <w:tc>
          <w:tcPr>
            <w:tcW w:w="261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Питома вага групи у загальній кількості, відсотків</w:t>
            </w:r>
          </w:p>
        </w:tc>
        <w:tc>
          <w:tcPr>
            <w:tcW w:w="63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7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55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:rsidR="00DE4F39" w:rsidRDefault="00030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uk-UA"/>
        </w:rPr>
      </w:pPr>
      <w:r>
        <w:rPr>
          <w:rFonts w:ascii="Arial" w:eastAsia="Times New Roman" w:hAnsi="Arial" w:cs="Arial"/>
          <w:sz w:val="26"/>
          <w:szCs w:val="26"/>
          <w:lang w:eastAsia="uk-UA"/>
        </w:rPr>
        <w:t> </w:t>
      </w:r>
    </w:p>
    <w:p w:rsidR="00DE4F39" w:rsidRDefault="00DE4F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4482"/>
        <w:gridCol w:w="1716"/>
      </w:tblGrid>
      <w:tr w:rsidR="00DE4F39">
        <w:tc>
          <w:tcPr>
            <w:tcW w:w="16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23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9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Витрати</w:t>
            </w:r>
          </w:p>
        </w:tc>
      </w:tr>
      <w:tr w:rsidR="00DE4F39">
        <w:tc>
          <w:tcPr>
            <w:tcW w:w="16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Землекористувачі земельних ділянок з цільовим призначенням, вид якого запроваджено у відповідності внесених змін до Класифікації видів цільового призначення земель, будуть сплачувати орендну плату, відповідно до раніше прийнятого рішення про затвердження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тавок орендної плати за земельні ділянки, проте дане рішення не поширюється на новоприєднані території, тим самим ущемляються права окремих землекористувачів, у зв’язку із зниженням конкурентоспроможності для тих, у кого ставка орендної плати більша.</w:t>
            </w:r>
          </w:p>
        </w:tc>
        <w:tc>
          <w:tcPr>
            <w:tcW w:w="9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вні існуючих</w:t>
            </w:r>
          </w:p>
        </w:tc>
      </w:tr>
      <w:tr w:rsidR="00DE4F39">
        <w:tc>
          <w:tcPr>
            <w:tcW w:w="16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23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Дана проблема не може бути вирішена за допомогою ринкових механізмів, оскільки повноваження щодо встановлення місцевих податків і зборів</w:t>
            </w:r>
            <w:r w:rsidR="000B29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0B29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плати за землю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відносять до виключної компетенції органів місцевого самоврядування.</w:t>
            </w:r>
          </w:p>
        </w:tc>
        <w:tc>
          <w:tcPr>
            <w:tcW w:w="9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DE4F39">
        <w:tc>
          <w:tcPr>
            <w:tcW w:w="16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 проекту рішення</w:t>
            </w:r>
          </w:p>
        </w:tc>
        <w:tc>
          <w:tcPr>
            <w:tcW w:w="23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встановлення ставок орендної плати з урахування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видів цільового призначення земельних ділянок;</w:t>
            </w:r>
          </w:p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передбачуваність дій влади;</w:t>
            </w:r>
          </w:p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прогнозування умов господарювання і витрат, зумовлених використанням земель комунальної власності та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витребуваних земельних ділянок (паїв);</w:t>
            </w:r>
          </w:p>
          <w:p w:rsidR="00DE4F39" w:rsidRDefault="000300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виконання вимог чинного законодавства.</w:t>
            </w:r>
          </w:p>
        </w:tc>
        <w:tc>
          <w:tcPr>
            <w:tcW w:w="9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пов’язані зі сплатою до міського бюджету орендної плати за використання земель комунальної власності</w:t>
            </w:r>
          </w:p>
        </w:tc>
      </w:tr>
    </w:tbl>
    <w:p w:rsidR="00DE4F39" w:rsidRDefault="000300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:rsidR="00DE4F39" w:rsidRDefault="000300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Оцінюючи визначені альтернативи слід зазначити, що перша альтернатива не є прийнятною, оскільки вона веде до ущемлення права окремих землекористувачів, у зв’язку із зниженням конкурентоспроможності для тих, у кого ставка орендної плати більша, а також прив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еде до відмови від поставлених цілей по збільшенню надходжень до місцевого бюджету та фінансування соціально-економічного розвитку міста. У разі не прийняття органом місцевого самоврядування цього рішення, орендна плата буде нараховуватись у відповідності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діючих ставок, затверджених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рішенням 40 сесії 7 скликання Менської міської ради від 10.07.2020 р. №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 </w:t>
      </w:r>
      <w:r w:rsidRPr="000B29DE">
        <w:rPr>
          <w:rFonts w:ascii="Times New Roman" w:eastAsia="Times New Roman" w:hAnsi="Times New Roman" w:cs="Times New Roman"/>
          <w:sz w:val="26"/>
          <w:szCs w:val="26"/>
          <w:lang w:eastAsia="uk-UA"/>
        </w:rPr>
        <w:t>257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ст.288 Податкового кодексу України.</w:t>
      </w:r>
    </w:p>
    <w:p w:rsidR="00DE4F39" w:rsidRDefault="000300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міською радою запропонованого регуляторного акта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дасть можливість вирішити визначені проблеми при дотриманні норм чинного законодавства України, в найбільш короткий термін, з найменшими витратами.</w:t>
      </w:r>
    </w:p>
    <w:p w:rsidR="00DE4F39" w:rsidRDefault="0003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Arial" w:eastAsia="Times New Roman" w:hAnsi="Arial" w:cs="Arial"/>
          <w:sz w:val="26"/>
          <w:szCs w:val="26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4.Вибір найбільш оптимального альтернативного способу досягнення цілей.</w:t>
      </w:r>
    </w:p>
    <w:p w:rsidR="00DE4F39" w:rsidRDefault="000300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Вибір оптимального альтернативного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способу досягнення цілей здійснено з урахуванням системи бальної оцінки ступеня досягнення визначених цілей.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DE4F39"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Бал результативності</w:t>
            </w:r>
          </w:p>
          <w:p w:rsidR="00DE4F39" w:rsidRDefault="000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(за 4-бальною системою оцінки)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Коментарі щодо присвоє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ння відповідного бала</w:t>
            </w:r>
          </w:p>
        </w:tc>
      </w:tr>
      <w:tr w:rsidR="00DE4F39"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Важливі аспекти проблеми існуватимуть далі</w:t>
            </w:r>
          </w:p>
        </w:tc>
      </w:tr>
      <w:tr w:rsidR="00DE4F39"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Цілі прийняття регуляторного акта, які не можуть бути досягнуті</w:t>
            </w:r>
          </w:p>
        </w:tc>
      </w:tr>
      <w:tr w:rsidR="00DE4F39"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запропонованого проекту рішення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Цілі регуляторного акта, які можуть бути досягнуті повною мірою</w:t>
            </w:r>
          </w:p>
        </w:tc>
      </w:tr>
    </w:tbl>
    <w:p w:rsidR="00DE4F39" w:rsidRDefault="0003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Регуляторний акт, що пропонується прийняти, зачіпає інтереси усіх орендарів земельних ділянок комунальної власності, невитребуваних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земельних ділянок (паїв)</w:t>
      </w:r>
      <w:r w:rsidR="000B2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розташованих на території Менської міської територіальної громади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E4F39" w:rsidRDefault="00030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 наведених нижче таблицях пропонуються вигоди, а також витрати, які очікуються внаслідок застосування запропонованого регуляторного акта.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DE4F39">
        <w:trPr>
          <w:tblHeader/>
        </w:trPr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Рейтинг результативності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Вигоди</w:t>
            </w:r>
          </w:p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(підсумки)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Витрати (підсумки)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відповідного місця альтернативи в рейтингу</w:t>
            </w:r>
          </w:p>
        </w:tc>
      </w:tr>
      <w:tr w:rsidR="00DE4F39"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рівні існуючих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Проблема продовжує існувати</w:t>
            </w:r>
          </w:p>
        </w:tc>
      </w:tr>
      <w:tr w:rsidR="00DE4F39"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Цілі прийняття регуляторного акта, які не можуть бути досягнуті</w:t>
            </w:r>
          </w:p>
        </w:tc>
      </w:tr>
      <w:tr w:rsidR="00DE4F39"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запропонованого проекту рішення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забезпечення раціонального та ефективного використання земельних ділянок;</w:t>
            </w:r>
          </w:p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забезпечення наповнення міського бюджету та фінансуванн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соціальних програм міста.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рівні існуючих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Цілі регуляторного акта, які можуть бути досягнуті повною мірою</w:t>
            </w:r>
          </w:p>
        </w:tc>
      </w:tr>
    </w:tbl>
    <w:p w:rsidR="00DE4F39" w:rsidRDefault="00DE4F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4259"/>
        <w:gridCol w:w="2162"/>
      </w:tblGrid>
      <w:tr w:rsidR="00DE4F39">
        <w:tc>
          <w:tcPr>
            <w:tcW w:w="15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15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DE4F39">
        <w:tc>
          <w:tcPr>
            <w:tcW w:w="15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</w:tc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прийнятна / не вирішує порушеного питання</w:t>
            </w:r>
          </w:p>
        </w:tc>
        <w:tc>
          <w:tcPr>
            <w:tcW w:w="115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Зовнішні чинники відсутні</w:t>
            </w:r>
          </w:p>
        </w:tc>
      </w:tr>
      <w:tr w:rsidR="00DE4F39">
        <w:tc>
          <w:tcPr>
            <w:tcW w:w="15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механізмів</w:t>
            </w:r>
          </w:p>
        </w:tc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прийнята / відсутні ринкові механізми для вирішення даної проблеми</w:t>
            </w:r>
          </w:p>
        </w:tc>
        <w:tc>
          <w:tcPr>
            <w:tcW w:w="115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Зовнішні чинники відсутні</w:t>
            </w:r>
          </w:p>
        </w:tc>
      </w:tr>
      <w:tr w:rsidR="00DE4F39">
        <w:tc>
          <w:tcPr>
            <w:tcW w:w="15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Альтернатива 3: Прийняття запропонованого проекту рішення</w:t>
            </w:r>
          </w:p>
        </w:tc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Єдина можлива альтернатива, яка забезпечує раціональне та ефективне використання земель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омунальної власності, невитребуваних земельних ділянок (паїв )</w:t>
            </w:r>
            <w:r w:rsidR="000B29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розміщених на території Менської міської територіальної громади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забезпечує наповнення міського бюджету для фінансування соціальних програм міста</w:t>
            </w:r>
          </w:p>
        </w:tc>
        <w:tc>
          <w:tcPr>
            <w:tcW w:w="115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Зовнішні чинники відсутні</w:t>
            </w:r>
          </w:p>
        </w:tc>
      </w:tr>
    </w:tbl>
    <w:p w:rsidR="00DE4F39" w:rsidRDefault="000300F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реалізації обрано Альтернативу 3 – прийняття запропонованого проєкту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рішення, тобто встановлення економічно обґрунтованих розмірів ставок орендної плати, які будуть не обтяжливими для суб’єктів господарювання, при цьому надходження до міського бюджету збільшуватимуться. Задекларовані цілі прийняття регуляторного акта будут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 досягнуті повною мірою.</w:t>
      </w:r>
    </w:p>
    <w:p w:rsidR="00DE4F39" w:rsidRDefault="000300F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такого рішення відповідає вимогам чинного законодавства, приводить ставки орендної плати у відповідність до діючої Класифікації видів цільового призначення земель, затвердженої наказом Державного комітету України із земе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льних ресурсів від 23.07.2010р.№548 (зі змінами) та поширюються га всю територіальну громаду.</w:t>
      </w:r>
    </w:p>
    <w:p w:rsidR="00DE4F39" w:rsidRDefault="0003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Механізми та заходи, які забезпечать розв’язання визначеної проблеми шляхом прийняття запропонованого регуляторного акта.</w:t>
      </w:r>
    </w:p>
    <w:p w:rsidR="00DE4F39" w:rsidRDefault="0003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запропонованого регулюванн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здійснюється шляхом впровадження наступних заходів:</w:t>
      </w:r>
    </w:p>
    <w:p w:rsidR="00DE4F39" w:rsidRDefault="000300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місцевого нормативного документу, який в рамках чинного законодавства дає можливість удосконалити і зробити прозорим порядок та механізм визначення орендної плати за земельні ділянки комунальн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власності, невитребуваних земельних ділянок (паїв) наданих в оренду з урахуванням цільового призначення земельних ділянок;</w:t>
      </w:r>
    </w:p>
    <w:p w:rsidR="00DE4F39" w:rsidRPr="000B29DE" w:rsidRDefault="000300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прозорості і вільного доступу до інформації щодо визначення розміру орендної плати за використання земельних ділянок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комунальної власності, невитребуваних земельних ділянок (паїв)</w:t>
      </w:r>
      <w:r w:rsidR="000B29DE" w:rsidRPr="000B29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B29DE" w:rsidRPr="000B29DE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Менської міської територіальної громади та забезпечує наповнення міського бюджету для фінансування соціальних програм міста</w:t>
      </w:r>
      <w:r w:rsidRPr="000B29D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4F39" w:rsidRDefault="0003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Визначення очікуваних результатів прийняття запропонованого регуляторного акта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4F39" w:rsidRDefault="0003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прийняття регуляторного акта має бути досягнуто цілей, передбачених у розділі 2 цього Аналізу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3871"/>
        <w:gridCol w:w="2738"/>
      </w:tblGrid>
      <w:tr w:rsidR="00DE4F39">
        <w:trPr>
          <w:tblHeader/>
        </w:trPr>
        <w:tc>
          <w:tcPr>
            <w:tcW w:w="14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Групи</w:t>
            </w:r>
          </w:p>
        </w:tc>
        <w:tc>
          <w:tcPr>
            <w:tcW w:w="207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146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Витрати</w:t>
            </w:r>
          </w:p>
        </w:tc>
      </w:tr>
      <w:tr w:rsidR="00DE4F39">
        <w:tc>
          <w:tcPr>
            <w:tcW w:w="14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 місцевого самоврядування</w:t>
            </w:r>
          </w:p>
        </w:tc>
        <w:tc>
          <w:tcPr>
            <w:tcW w:w="207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забезпечення раціонального та ефективного використання земельних ділянок;</w:t>
            </w:r>
          </w:p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забезпечення наповнення міського бюджету та фінансування соціальних програм міста</w:t>
            </w:r>
          </w:p>
        </w:tc>
        <w:tc>
          <w:tcPr>
            <w:tcW w:w="146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Залишаться на існуючому рівні</w:t>
            </w:r>
          </w:p>
        </w:tc>
      </w:tr>
      <w:tr w:rsidR="00DE4F39">
        <w:tc>
          <w:tcPr>
            <w:tcW w:w="14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Суб’єкти господарювання</w:t>
            </w:r>
          </w:p>
        </w:tc>
        <w:tc>
          <w:tcPr>
            <w:tcW w:w="207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встановлення ставок орендної плати з урахуванням цільового призначення земельних ділянок, зокрема нових видів цільового призначення земельних ділянок;</w:t>
            </w:r>
          </w:p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передбачуваність дій влади;</w:t>
            </w:r>
          </w:p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прогнозування умов господарювання і витрат, зумовлених використанням земель комунальної власності.</w:t>
            </w:r>
          </w:p>
        </w:tc>
        <w:tc>
          <w:tcPr>
            <w:tcW w:w="146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пов’язані зі сплатою до міського бюджету орендної плати за використання земель комунальної власності</w:t>
            </w:r>
          </w:p>
        </w:tc>
      </w:tr>
      <w:tr w:rsidR="00DE4F39">
        <w:tc>
          <w:tcPr>
            <w:tcW w:w="14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207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встановлення ставок орендної 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 з урахуванням цільового призначення земельних ділянок, зокрема нових видів цільового призначення земельних ділянок;</w:t>
            </w:r>
          </w:p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передбачуваність дій влади;</w:t>
            </w:r>
          </w:p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додаткові надходження до бюджету, які спрямовуються на розвитку міста для громади.</w:t>
            </w:r>
          </w:p>
        </w:tc>
        <w:tc>
          <w:tcPr>
            <w:tcW w:w="146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4F39" w:rsidRDefault="0003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E4F39" w:rsidRDefault="00030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uk-UA"/>
        </w:rPr>
      </w:pPr>
      <w:r>
        <w:rPr>
          <w:rFonts w:ascii="Arial" w:eastAsia="Times New Roman" w:hAnsi="Arial" w:cs="Arial"/>
          <w:sz w:val="26"/>
          <w:szCs w:val="26"/>
          <w:lang w:eastAsia="uk-UA"/>
        </w:rPr>
        <w:t> </w:t>
      </w:r>
    </w:p>
    <w:p w:rsidR="00DE4F39" w:rsidRDefault="0003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7.Обгрунтування запропонованого строку дії регуляторного акта.</w:t>
      </w:r>
    </w:p>
    <w:p w:rsidR="00DE4F39" w:rsidRDefault="000300F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 дії цього регуляторного акта встановлюється на необмежений строк з моменту набрання чинності, оскільки необхідність виконання норм регуляторного акта є постійною. Може бути переглянутим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зміни законодавства.</w:t>
      </w:r>
    </w:p>
    <w:p w:rsidR="00DE4F39" w:rsidRDefault="0003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8.Визначення показників результативності регуляторного акта.</w:t>
      </w:r>
    </w:p>
    <w:p w:rsidR="00DE4F39" w:rsidRDefault="0003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Показниками результативності регуляторного акта є:</w:t>
      </w:r>
    </w:p>
    <w:p w:rsidR="00DE4F39" w:rsidRDefault="000300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надходжень до місцевого бюджету, пов’язаних з дією регуляторного акта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передбачається збільшення надходжень за використання земель комунальної власності, невитребуван</w:t>
      </w:r>
      <w:r w:rsidR="000B29DE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земельних ділянок (паїв)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4F39" w:rsidRDefault="000300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Кількість суб’єктів, на яких поширюється дія акта – на момент розробки регуляторного акта – 104, в тому числі суб’єктів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господарювання – 104. Кількість може змінюватись у відповідності до норм земельного законодавства.</w:t>
      </w:r>
    </w:p>
    <w:p w:rsidR="00DE4F39" w:rsidRDefault="000300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72C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поінформованості платників орендної плати – високий, оскільки проект регуляторного акта та аналіз регуляторного впливу офіційно оприлюднені на веб-сай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ті Менської міської ради ради: </w:t>
      </w:r>
      <w:r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  <w:t>http://mena.cg.gov.ua</w:t>
      </w:r>
    </w:p>
    <w:p w:rsidR="00DE4F39" w:rsidRDefault="00DE4F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uk-UA"/>
        </w:rPr>
      </w:pPr>
    </w:p>
    <w:p w:rsidR="00DE4F39" w:rsidRDefault="00030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9. Заходи за допомогою яких буде здійснюватися відстеження результативності регуляторного акта.</w:t>
      </w:r>
    </w:p>
    <w:p w:rsidR="00DE4F39" w:rsidRDefault="0003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Відстеження результативності даного регуляторного акта буде здійснюватись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допомогою аналізу надходжень до міського бюджету орендної плати за використання земель комунальної власності, невитребуваних земельних ділянок (паїв).</w:t>
      </w:r>
    </w:p>
    <w:p w:rsidR="00DE4F39" w:rsidRDefault="0003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ефективності запропонованого регуляторного акта буде здійснена за підсумками проведення базово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го, повторного та періодичного відстеження результативності регуляторного акта.</w:t>
      </w:r>
    </w:p>
    <w:p w:rsidR="00DE4F39" w:rsidRDefault="00DE4F39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DE4F39" w:rsidRDefault="000300F2">
      <w:pPr>
        <w:tabs>
          <w:tab w:val="left" w:pos="6946"/>
        </w:tabs>
        <w:spacing w:before="100" w:beforeAutospacing="1" w:after="100" w:afterAutospacing="1" w:line="240" w:lineRule="auto"/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Начальник відділу земельних відносин,</w:t>
      </w:r>
    </w:p>
    <w:p w:rsidR="00DE4F39" w:rsidRDefault="000300F2">
      <w:pPr>
        <w:tabs>
          <w:tab w:val="left" w:pos="6946"/>
        </w:tabs>
        <w:spacing w:before="100" w:beforeAutospacing="1" w:after="100" w:afterAutospacing="1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агропромислового комплексу та екології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П.О. Терентієв</w:t>
      </w:r>
    </w:p>
    <w:sectPr w:rsidR="00DE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F2" w:rsidRDefault="000300F2">
      <w:pPr>
        <w:spacing w:after="0" w:line="240" w:lineRule="auto"/>
      </w:pPr>
      <w:r>
        <w:separator/>
      </w:r>
    </w:p>
  </w:endnote>
  <w:endnote w:type="continuationSeparator" w:id="0">
    <w:p w:rsidR="000300F2" w:rsidRDefault="0003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F2" w:rsidRDefault="000300F2">
      <w:pPr>
        <w:spacing w:after="0" w:line="240" w:lineRule="auto"/>
      </w:pPr>
      <w:r>
        <w:separator/>
      </w:r>
    </w:p>
  </w:footnote>
  <w:footnote w:type="continuationSeparator" w:id="0">
    <w:p w:rsidR="000300F2" w:rsidRDefault="0003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1AB"/>
    <w:multiLevelType w:val="hybridMultilevel"/>
    <w:tmpl w:val="E196EED0"/>
    <w:lvl w:ilvl="0" w:tplc="6276C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C07A8">
      <w:start w:val="1"/>
      <w:numFmt w:val="lowerLetter"/>
      <w:lvlText w:val="%2."/>
      <w:lvlJc w:val="left"/>
      <w:pPr>
        <w:ind w:left="1440" w:hanging="360"/>
      </w:pPr>
    </w:lvl>
    <w:lvl w:ilvl="2" w:tplc="08027900">
      <w:start w:val="1"/>
      <w:numFmt w:val="lowerRoman"/>
      <w:lvlText w:val="%3."/>
      <w:lvlJc w:val="right"/>
      <w:pPr>
        <w:ind w:left="2160" w:hanging="180"/>
      </w:pPr>
    </w:lvl>
    <w:lvl w:ilvl="3" w:tplc="5EB22EDE">
      <w:start w:val="1"/>
      <w:numFmt w:val="decimal"/>
      <w:lvlText w:val="%4."/>
      <w:lvlJc w:val="left"/>
      <w:pPr>
        <w:ind w:left="2880" w:hanging="360"/>
      </w:pPr>
    </w:lvl>
    <w:lvl w:ilvl="4" w:tplc="7660CCB2">
      <w:start w:val="1"/>
      <w:numFmt w:val="lowerLetter"/>
      <w:lvlText w:val="%5."/>
      <w:lvlJc w:val="left"/>
      <w:pPr>
        <w:ind w:left="3600" w:hanging="360"/>
      </w:pPr>
    </w:lvl>
    <w:lvl w:ilvl="5" w:tplc="4AA8815A">
      <w:start w:val="1"/>
      <w:numFmt w:val="lowerRoman"/>
      <w:lvlText w:val="%6."/>
      <w:lvlJc w:val="right"/>
      <w:pPr>
        <w:ind w:left="4320" w:hanging="180"/>
      </w:pPr>
    </w:lvl>
    <w:lvl w:ilvl="6" w:tplc="E1783F86">
      <w:start w:val="1"/>
      <w:numFmt w:val="decimal"/>
      <w:lvlText w:val="%7."/>
      <w:lvlJc w:val="left"/>
      <w:pPr>
        <w:ind w:left="5040" w:hanging="360"/>
      </w:pPr>
    </w:lvl>
    <w:lvl w:ilvl="7" w:tplc="8348C0DA">
      <w:start w:val="1"/>
      <w:numFmt w:val="lowerLetter"/>
      <w:lvlText w:val="%8."/>
      <w:lvlJc w:val="left"/>
      <w:pPr>
        <w:ind w:left="5760" w:hanging="360"/>
      </w:pPr>
    </w:lvl>
    <w:lvl w:ilvl="8" w:tplc="E52419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41BD5"/>
    <w:multiLevelType w:val="hybridMultilevel"/>
    <w:tmpl w:val="FEC0AAE6"/>
    <w:lvl w:ilvl="0" w:tplc="D078145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E6CEF4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20B4168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6A6C46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6BDAF1C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0BB2EAE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013CBE1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183AAF8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5F6E85F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07FE8"/>
    <w:multiLevelType w:val="hybridMultilevel"/>
    <w:tmpl w:val="96EA1708"/>
    <w:lvl w:ilvl="0" w:tplc="F4F055A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C5AAC0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EC8AC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CFADE8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535A3E9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538C9CB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9A80935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C0BEBD3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B860B93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4729B"/>
    <w:multiLevelType w:val="hybridMultilevel"/>
    <w:tmpl w:val="CD167FC6"/>
    <w:lvl w:ilvl="0" w:tplc="5EBEFCBA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102118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4F8F27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7E61D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2D281D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BCC7C7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0D093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28442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756F95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39"/>
    <w:rsid w:val="000300F2"/>
    <w:rsid w:val="000B29DE"/>
    <w:rsid w:val="001D042D"/>
    <w:rsid w:val="00DE4F39"/>
    <w:rsid w:val="00F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5F0B"/>
  <w15:docId w15:val="{2F410288-70B9-48A8-BC04-43BC3660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character" w:styleId="af6">
    <w:name w:val="Emphasis"/>
    <w:basedOn w:val="a0"/>
    <w:uiPriority w:val="20"/>
    <w:qFormat/>
    <w:rPr>
      <w:i/>
      <w:iCs/>
    </w:rPr>
  </w:style>
  <w:style w:type="paragraph" w:customStyle="1" w:styleId="af7">
    <w:name w:val="Нормальний текст"/>
    <w:basedOn w:val="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10476</Words>
  <Characters>5972</Characters>
  <Application>Microsoft Office Word</Application>
  <DocSecurity>0</DocSecurity>
  <Lines>49</Lines>
  <Paragraphs>32</Paragraphs>
  <ScaleCrop>false</ScaleCrop>
  <Company>SPecialiST RePack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2020-01-08T14:12:00Z</dcterms:created>
  <dcterms:modified xsi:type="dcterms:W3CDTF">2021-02-18T07:01:00Z</dcterms:modified>
</cp:coreProperties>
</file>