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tabs>
          <w:tab w:val="left" w:pos="0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Додаток № 2</w:t>
      </w:r>
      <w:r/>
    </w:p>
    <w:p>
      <w:pPr>
        <w:jc w:val="right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до Програми  </w:t>
      </w:r>
      <w:r/>
    </w:p>
    <w:p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Фінансові розрахунки</w:t>
      </w:r>
      <w:bookmarkStart w:id="0" w:name="_GoBack"/>
      <w:r/>
      <w:bookmarkEnd w:id="0"/>
      <w:r/>
      <w:r/>
    </w:p>
    <w:p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щодо придбання автобусів у 2021- 2025 роках</w:t>
      </w:r>
      <w:r/>
    </w:p>
    <w:p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  <w:r/>
    </w:p>
    <w:tbl>
      <w:tblPr>
        <w:tblW w:w="9364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54"/>
        <w:gridCol w:w="826"/>
        <w:gridCol w:w="24"/>
        <w:gridCol w:w="567"/>
        <w:gridCol w:w="851"/>
        <w:gridCol w:w="13"/>
        <w:gridCol w:w="554"/>
        <w:gridCol w:w="992"/>
        <w:gridCol w:w="689"/>
        <w:gridCol w:w="970"/>
        <w:gridCol w:w="22"/>
        <w:gridCol w:w="567"/>
        <w:gridCol w:w="851"/>
        <w:gridCol w:w="567"/>
        <w:gridCol w:w="708"/>
        <w:gridCol w:w="71"/>
      </w:tblGrid>
      <w:tr>
        <w:trPr>
          <w:gridAfter w:val="1"/>
          <w:jc w:val="center"/>
          <w:trHeight w:val="236"/>
        </w:trPr>
        <w:tc>
          <w:tcPr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538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Кількість місць</w:t>
            </w:r>
            <w:r/>
          </w:p>
        </w:tc>
        <w:tc>
          <w:tcPr>
            <w:gridSpan w:val="15"/>
            <w:shd w:val="clear" w:color="auto" w:fill="auto"/>
            <w:tcW w:w="8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 роки</w:t>
            </w:r>
            <w:r/>
          </w:p>
        </w:tc>
      </w:tr>
      <w:tr>
        <w:trPr>
          <w:gridAfter w:val="1"/>
          <w:jc w:val="center"/>
        </w:trPr>
        <w:tc>
          <w:tcPr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538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4" w:space="0" w:color="auto"/>
              <w:bottom w:val="single" w:sz="12" w:space="0" w:color="auto"/>
            </w:tcBorders>
            <w:tcW w:w="138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2021</w:t>
            </w:r>
            <w:r/>
          </w:p>
        </w:tc>
        <w:tc>
          <w:tcPr>
            <w:gridSpan w:val="4"/>
            <w:shd w:val="clear" w:color="auto" w:fill="auto"/>
            <w:tcBorders>
              <w:left w:val="single" w:sz="4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14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</w:t>
            </w:r>
            <w:r>
              <w:rPr>
                <w:sz w:val="20"/>
                <w:szCs w:val="20"/>
                <w:lang w:val="uk-UA"/>
              </w:rPr>
              <w:t xml:space="preserve">22</w:t>
            </w:r>
            <w:r/>
          </w:p>
        </w:tc>
        <w:tc>
          <w:tcPr>
            <w:gridSpan w:val="4"/>
            <w:shd w:val="clear" w:color="auto" w:fill="auto"/>
            <w:tcBorders>
              <w:left w:val="single" w:sz="12" w:space="0" w:color="auto"/>
              <w:top w:val="single" w:sz="4" w:space="0" w:color="auto"/>
              <w:right w:val="single" w:sz="4" w:space="0" w:color="auto"/>
              <w:bottom w:val="single" w:sz="12" w:space="0" w:color="auto"/>
            </w:tcBorders>
            <w:tcW w:w="320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2023                     2024</w:t>
            </w:r>
            <w:r/>
          </w:p>
        </w:tc>
        <w:tc>
          <w:tcPr>
            <w:gridSpan w:val="3"/>
            <w:shd w:val="clear" w:color="auto" w:fill="auto"/>
            <w:tcBorders>
              <w:left w:val="single" w:sz="4" w:space="0" w:color="auto"/>
              <w:top w:val="single" w:sz="12" w:space="0" w:color="auto"/>
              <w:right w:val="single" w:sz="4" w:space="0" w:color="auto"/>
              <w:bottom w:val="single" w:sz="12" w:space="0" w:color="auto"/>
            </w:tcBorders>
            <w:tcW w:w="14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2025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Разом </w:t>
            </w:r>
            <w:r/>
          </w:p>
        </w:tc>
      </w:tr>
      <w:tr>
        <w:trPr>
          <w:cantSplit/>
          <w:jc w:val="center"/>
          <w:trHeight w:val="1885"/>
        </w:trPr>
        <w:tc>
          <w:tcPr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538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  <w:r/>
          </w:p>
        </w:tc>
        <w:tc>
          <w:tcPr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554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Кількість, одиниць</w:t>
            </w:r>
            <w:r/>
          </w:p>
          <w:p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(всього), шт..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4" w:space="0" w:color="auto"/>
              <w:bottom w:val="single" w:sz="12" w:space="0" w:color="auto"/>
            </w:tcBorders>
            <w:tcW w:w="850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Бюджети районів кількість одиниць (штук) / (</w:t>
            </w:r>
            <w:r>
              <w:rPr>
                <w:sz w:val="20"/>
                <w:szCs w:val="20"/>
                <w:lang w:val="uk-UA"/>
              </w:rPr>
              <w:t xml:space="preserve">тис.грн</w:t>
            </w:r>
            <w:r>
              <w:rPr>
                <w:sz w:val="20"/>
                <w:szCs w:val="20"/>
                <w:lang w:val="uk-UA"/>
              </w:rPr>
              <w:t xml:space="preserve">.)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567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Кількість, одиниць</w:t>
            </w:r>
            <w:r/>
          </w:p>
          <w:p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(всього), шт..</w:t>
            </w:r>
            <w:r/>
          </w:p>
        </w:tc>
        <w:tc>
          <w:tcPr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85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Бюджети районів кількість одиниць (штук) / (</w:t>
            </w:r>
            <w:r>
              <w:rPr>
                <w:sz w:val="20"/>
                <w:szCs w:val="20"/>
                <w:lang w:val="uk-UA"/>
              </w:rPr>
              <w:t xml:space="preserve">тис.грн</w:t>
            </w:r>
            <w:r>
              <w:rPr>
                <w:sz w:val="20"/>
                <w:szCs w:val="20"/>
                <w:lang w:val="uk-UA"/>
              </w:rPr>
              <w:t xml:space="preserve">.)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567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Кількість, одиниць</w:t>
            </w:r>
            <w:r/>
          </w:p>
          <w:p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(всього), шт..</w:t>
            </w:r>
            <w:r/>
          </w:p>
        </w:tc>
        <w:tc>
          <w:tcPr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992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Бюджети районів кількість одиниць (штук) / (</w:t>
            </w:r>
            <w:r>
              <w:rPr>
                <w:sz w:val="20"/>
                <w:szCs w:val="20"/>
                <w:lang w:val="uk-UA"/>
              </w:rPr>
              <w:t xml:space="preserve">тис.грн</w:t>
            </w:r>
            <w:r>
              <w:rPr>
                <w:sz w:val="20"/>
                <w:szCs w:val="20"/>
                <w:lang w:val="uk-UA"/>
              </w:rPr>
              <w:t xml:space="preserve">.)</w:t>
            </w:r>
            <w:r/>
          </w:p>
        </w:tc>
        <w:tc>
          <w:tcPr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689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Кількість, одиниць</w:t>
            </w:r>
            <w:r/>
          </w:p>
          <w:p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(всього), шт..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4" w:space="0" w:color="auto"/>
              <w:bottom w:val="single" w:sz="12" w:space="0" w:color="auto"/>
            </w:tcBorders>
            <w:tcW w:w="992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Бюджети районів кількість одиниць (штук) / (</w:t>
            </w:r>
            <w:r>
              <w:rPr>
                <w:sz w:val="20"/>
                <w:szCs w:val="20"/>
                <w:lang w:val="uk-UA"/>
              </w:rPr>
              <w:t xml:space="preserve">тис.грн</w:t>
            </w:r>
            <w:r>
              <w:rPr>
                <w:sz w:val="20"/>
                <w:szCs w:val="20"/>
                <w:lang w:val="uk-UA"/>
              </w:rPr>
              <w:t xml:space="preserve">.)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567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Кількість, одиниць</w:t>
            </w:r>
            <w:r/>
          </w:p>
          <w:p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(всього), шт..</w:t>
            </w:r>
            <w:r/>
          </w:p>
        </w:tc>
        <w:tc>
          <w:tcPr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4" w:space="0" w:color="auto"/>
              <w:bottom w:val="single" w:sz="12" w:space="0" w:color="auto"/>
            </w:tcBorders>
            <w:tcW w:w="85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Бюджети районів кількість одиниць (штук) / (</w:t>
            </w:r>
            <w:r>
              <w:rPr>
                <w:sz w:val="20"/>
                <w:szCs w:val="20"/>
                <w:lang w:val="uk-UA"/>
              </w:rPr>
              <w:t xml:space="preserve">тис.грн</w:t>
            </w:r>
            <w:r>
              <w:rPr>
                <w:sz w:val="20"/>
                <w:szCs w:val="20"/>
                <w:lang w:val="uk-UA"/>
              </w:rPr>
              <w:t xml:space="preserve">.)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567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Кількість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12" w:space="0" w:color="auto"/>
              <w:top w:val="single" w:sz="18" w:space="0" w:color="auto"/>
              <w:right w:val="single" w:sz="18" w:space="0" w:color="auto"/>
            </w:tcBorders>
            <w:tcW w:w="779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Бюджети районів (</w:t>
            </w:r>
            <w:r>
              <w:rPr>
                <w:sz w:val="20"/>
                <w:szCs w:val="20"/>
                <w:lang w:val="uk-UA"/>
              </w:rPr>
              <w:t xml:space="preserve">тис.грн</w:t>
            </w:r>
            <w:r>
              <w:rPr>
                <w:sz w:val="20"/>
                <w:szCs w:val="20"/>
                <w:lang w:val="uk-UA"/>
              </w:rPr>
              <w:t xml:space="preserve">.)</w:t>
            </w:r>
            <w:r/>
          </w:p>
        </w:tc>
      </w:tr>
      <w:tr>
        <w:trPr>
          <w:cantSplit/>
          <w:jc w:val="center"/>
          <w:trHeight w:val="1980"/>
        </w:trPr>
        <w:tc>
          <w:tcPr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538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 20 до 25 місць</w:t>
            </w:r>
            <w:r/>
          </w:p>
        </w:tc>
        <w:tc>
          <w:tcPr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5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-105" w:right="-11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ind w:left="-104" w:right="-11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ind w:left="-104" w:right="-11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2000,00</w:t>
            </w:r>
            <w:r/>
          </w:p>
        </w:tc>
        <w:tc>
          <w:tcPr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68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ind w:left="-104" w:right="-11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2000,00</w:t>
            </w:r>
            <w:r/>
          </w:p>
        </w:tc>
        <w:tc>
          <w:tcPr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18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18" w:space="0" w:color="auto"/>
            </w:tcBorders>
            <w:tcW w:w="7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40</w:t>
            </w:r>
            <w:r>
              <w:rPr>
                <w:sz w:val="20"/>
                <w:szCs w:val="20"/>
                <w:lang w:val="uk-UA"/>
              </w:rPr>
              <w:t xml:space="preserve">00,00</w:t>
            </w:r>
            <w:r/>
          </w:p>
        </w:tc>
      </w:tr>
      <w:tr>
        <w:trPr>
          <w:cantSplit/>
          <w:jc w:val="center"/>
          <w:trHeight w:val="1134"/>
        </w:trPr>
        <w:tc>
          <w:tcPr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538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Всього</w:t>
            </w:r>
            <w:r/>
          </w:p>
        </w:tc>
        <w:tc>
          <w:tcPr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5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850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2000,00</w:t>
            </w:r>
            <w:r/>
          </w:p>
        </w:tc>
        <w:tc>
          <w:tcPr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68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12" w:space="0" w:color="auto"/>
              <w:top w:val="single" w:sz="12" w:space="0" w:color="auto"/>
              <w:right w:val="single" w:sz="12" w:space="0" w:color="auto"/>
              <w:bottom w:val="single" w:sz="12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sz="12" w:space="0" w:color="auto"/>
              <w:right w:val="single" w:sz="18" w:space="0" w:color="auto"/>
              <w:bottom w:val="single" w:sz="18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Borders>
              <w:right w:val="single" w:sz="18" w:space="0" w:color="auto"/>
              <w:bottom w:val="single" w:sz="18" w:space="0" w:color="auto"/>
            </w:tcBorders>
            <w:tcW w:w="7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40</w:t>
            </w:r>
            <w:r>
              <w:rPr>
                <w:sz w:val="20"/>
                <w:szCs w:val="20"/>
                <w:lang w:val="uk-UA"/>
              </w:rPr>
              <w:t xml:space="preserve">00,00</w:t>
            </w:r>
            <w:r/>
          </w:p>
        </w:tc>
      </w:tr>
    </w:tbl>
    <w:p>
      <w:r/>
      <w:r/>
    </w:p>
    <w:sectPr>
      <w:footerReference w:type="default" r:id="rId7"/>
      <w:footerReference w:type="even" r:id="rId8"/>
      <w:footnotePr/>
      <w:type w:val="nextPage"/>
      <w:pgSz w:w="11906" w:h="16838" w:orient="portrait"/>
      <w:pgMar w:top="1134" w:right="567" w:bottom="0" w:left="1701" w:header="709" w:footer="709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0"/>
      <w:rPr>
        <w:rStyle w:val="392"/>
      </w:rPr>
      <w:framePr w:wrap="around" w:vAnchor="text" w:hAnchor="margin" w:xAlign="right" w:y="1"/>
    </w:pPr>
    <w:r>
      <w:rPr>
        <w:rStyle w:val="392"/>
      </w:rPr>
      <w:fldChar w:fldCharType="begin"/>
    </w:r>
    <w:r>
      <w:rPr>
        <w:rStyle w:val="392"/>
      </w:rPr>
      <w:instrText xml:space="preserve">PAGE  </w:instrText>
    </w:r>
    <w:r>
      <w:rPr>
        <w:rStyle w:val="392"/>
      </w:rPr>
      <w:fldChar w:fldCharType="separate"/>
    </w:r>
    <w:r>
      <w:rPr>
        <w:rStyle w:val="392"/>
      </w:rPr>
      <w:t xml:space="preserve">11</w:t>
    </w:r>
    <w:r>
      <w:rPr>
        <w:rStyle w:val="392"/>
      </w:rPr>
      <w:fldChar w:fldCharType="end"/>
    </w:r>
    <w:r/>
  </w:p>
  <w:p>
    <w:pPr>
      <w:pStyle w:val="390"/>
      <w:ind w:right="360"/>
      <w:rPr>
        <w:rFonts w:ascii="Arial" w:hAnsi="Arial"/>
        <w:sz w:val="10"/>
      </w:rPr>
    </w:pPr>
    <w:r>
      <w:rPr>
        <w:rFonts w:ascii="Arial" w:hAnsi="Arial"/>
        <w:sz w:val="10"/>
        <w:lang w:val="en-US"/>
      </w:rPr>
      <w:tab/>
    </w:r>
    <w:r>
      <w:rPr>
        <w:rFonts w:ascii="Arial" w:hAnsi="Arial"/>
        <w:sz w:val="10"/>
        <w:lang w:val="en-US"/>
      </w:rPr>
      <w:tab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0"/>
      <w:rPr>
        <w:rStyle w:val="392"/>
      </w:rPr>
      <w:framePr w:wrap="around" w:vAnchor="text" w:hAnchor="margin" w:xAlign="right" w:y="1"/>
    </w:pPr>
    <w:r>
      <w:rPr>
        <w:rStyle w:val="392"/>
      </w:rPr>
      <w:fldChar w:fldCharType="begin"/>
    </w:r>
    <w:r>
      <w:rPr>
        <w:rStyle w:val="392"/>
      </w:rPr>
      <w:instrText xml:space="preserve">PAGE  </w:instrText>
    </w:r>
    <w:r>
      <w:rPr>
        <w:rStyle w:val="392"/>
      </w:rPr>
      <w:fldChar w:fldCharType="end"/>
    </w:r>
    <w:r/>
  </w:p>
  <w:p>
    <w:pPr>
      <w:pStyle w:val="39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6"/>
    <w:next w:val="38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6"/>
    <w:next w:val="38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6"/>
    <w:next w:val="38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6"/>
    <w:next w:val="38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6"/>
    <w:next w:val="38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6"/>
    <w:next w:val="38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6"/>
    <w:next w:val="38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6"/>
    <w:next w:val="38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6"/>
    <w:next w:val="38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86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6"/>
    <w:next w:val="38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7"/>
    <w:link w:val="32"/>
    <w:uiPriority w:val="10"/>
    <w:rPr>
      <w:sz w:val="48"/>
      <w:szCs w:val="48"/>
    </w:rPr>
  </w:style>
  <w:style w:type="paragraph" w:styleId="34">
    <w:name w:val="Subtitle"/>
    <w:basedOn w:val="386"/>
    <w:next w:val="38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7"/>
    <w:link w:val="34"/>
    <w:uiPriority w:val="11"/>
    <w:rPr>
      <w:sz w:val="24"/>
      <w:szCs w:val="24"/>
    </w:rPr>
  </w:style>
  <w:style w:type="paragraph" w:styleId="36">
    <w:name w:val="Quote"/>
    <w:basedOn w:val="386"/>
    <w:next w:val="38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6"/>
    <w:next w:val="38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8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87"/>
    <w:link w:val="40"/>
    <w:uiPriority w:val="99"/>
  </w:style>
  <w:style w:type="character" w:styleId="43">
    <w:name w:val="Footer Char"/>
    <w:basedOn w:val="387"/>
    <w:link w:val="390"/>
    <w:uiPriority w:val="99"/>
  </w:style>
  <w:style w:type="table" w:styleId="44">
    <w:name w:val="Table Grid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8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7"/>
    <w:uiPriority w:val="99"/>
    <w:unhideWhenUsed/>
    <w:rPr>
      <w:vertAlign w:val="superscript"/>
    </w:rPr>
  </w:style>
  <w:style w:type="paragraph" w:styleId="174">
    <w:name w:val="toc 1"/>
    <w:basedOn w:val="386"/>
    <w:next w:val="38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6"/>
    <w:next w:val="38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6"/>
    <w:next w:val="38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6"/>
    <w:next w:val="38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6"/>
    <w:next w:val="38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6"/>
    <w:next w:val="38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6"/>
    <w:next w:val="38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6"/>
    <w:next w:val="38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6"/>
    <w:next w:val="38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6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387" w:default="1">
    <w:name w:val="Default Paragraph Font"/>
    <w:uiPriority w:val="1"/>
    <w:semiHidden/>
    <w:unhideWhenUsed/>
  </w:style>
  <w:style w:type="table" w:styleId="3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9" w:default="1">
    <w:name w:val="No List"/>
    <w:uiPriority w:val="99"/>
    <w:semiHidden/>
    <w:unhideWhenUsed/>
  </w:style>
  <w:style w:type="paragraph" w:styleId="390">
    <w:name w:val="Footer"/>
    <w:basedOn w:val="386"/>
    <w:link w:val="391"/>
    <w:rPr>
      <w:sz w:val="20"/>
      <w:szCs w:val="20"/>
      <w:lang w:val="uk-UA"/>
    </w:rPr>
    <w:pPr>
      <w:tabs>
        <w:tab w:val="center" w:pos="4153" w:leader="none"/>
        <w:tab w:val="right" w:pos="8306" w:leader="none"/>
      </w:tabs>
    </w:pPr>
  </w:style>
  <w:style w:type="character" w:styleId="391" w:customStyle="1">
    <w:name w:val="Нижній колонтитул Знак"/>
    <w:basedOn w:val="387"/>
    <w:link w:val="390"/>
    <w:rPr>
      <w:rFonts w:ascii="Times New Roman" w:hAnsi="Times New Roman" w:cs="Times New Roman" w:eastAsia="Times New Roman"/>
      <w:sz w:val="20"/>
      <w:szCs w:val="20"/>
      <w:lang w:val="uk-UA" w:eastAsia="ru-RU"/>
    </w:rPr>
  </w:style>
  <w:style w:type="character" w:styleId="392">
    <w:name w:val="page number"/>
    <w:basedOn w:val="387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footer" Target="footer1.xml" /><Relationship Id="rId8" Type="http://schemas.openxmlformats.org/officeDocument/2006/relationships/footer" Target="footer2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usrt</dc:creator>
  <cp:lastModifiedBy>СТАЛЬНИЧЕНКО Юрій Валерійович</cp:lastModifiedBy>
  <cp:revision>4</cp:revision>
  <dcterms:created xsi:type="dcterms:W3CDTF">2021-01-15T16:12:00Z</dcterms:created>
  <dcterms:modified xsi:type="dcterms:W3CDTF">2021-01-26T18:13:05Z</dcterms:modified>
</cp:coreProperties>
</file>