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7540" cy="609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(друга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0" w:beforeAutospacing="0"/>
        <w:tabs>
          <w:tab w:val="left" w:pos="439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22 січня 2021 року</w:t>
        <w:tab/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№188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3"/>
          <w:numId w:val="0"/>
        </w:numPr>
        <w:ind w:right="4961"/>
        <w:jc w:val="both"/>
        <w:keepNext/>
        <w:spacing w:lineRule="auto" w:line="240" w:after="113" w:afterAutospacing="0" w:before="113" w:beforeAutospacing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sz w:val="28"/>
        </w:rPr>
      </w:r>
      <w:bookmarkStart w:id="0" w:name="_Toc494180359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Про </w:t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за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твердження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переліку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об'єктів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та визначення видів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робіт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, на яких зможуть виконуватись стягнення у виді суспільно корисних робіт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на платній основі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 на 2021 рік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начальни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 Менського районного сектору філії Державної установи «Центр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Чернігівській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В.М.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Андрусь про затвердження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переліку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об’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єктів та визначення видів робіт,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яких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зможуть виконуватись стягнення у виді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суспільно корисн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их 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на платній основі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які будуть виконувати особи, які вчинили адміністративне пр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авопорушення, згідно до ст. 31¹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КУпАП,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 також керуючись ст. 325¹ та 325³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КУпАП,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ст.26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/>
          <w:b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ВИРІШИЛА:</w:t>
      </w:r>
      <w:r>
        <w:rPr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перелік об'єктів та визначити види</w:t>
      </w:r>
      <w:r>
        <w:rPr>
          <w:rFonts w:ascii="Times New Roman" w:hAnsi="Times New Roman"/>
          <w:sz w:val="28"/>
          <w:szCs w:val="28"/>
        </w:rPr>
        <w:t xml:space="preserve"> робіт, по населених пунктах Менської міської територіальної громади, на яких правопорушники будуть відбувати адміністративне стягнення за направленням уповноваженого органу з питань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Перелік об'єктів</w:t>
      </w:r>
      <w:r>
        <w:rPr>
          <w:rFonts w:ascii="Times New Roman" w:hAnsi="Times New Roman"/>
          <w:sz w:val="28"/>
          <w:szCs w:val="28"/>
        </w:rPr>
        <w:t xml:space="preserve"> та види </w:t>
      </w:r>
      <w:r>
        <w:rPr>
          <w:rFonts w:ascii="Times New Roman" w:hAnsi="Times New Roman"/>
          <w:sz w:val="28"/>
          <w:szCs w:val="28"/>
        </w:rPr>
        <w:t xml:space="preserve">суспільно корисних </w:t>
      </w:r>
      <w:r>
        <w:rPr>
          <w:rFonts w:ascii="Times New Roman" w:hAnsi="Times New Roman"/>
          <w:sz w:val="28"/>
          <w:szCs w:val="28"/>
        </w:rPr>
        <w:t xml:space="preserve">робіт</w:t>
      </w:r>
      <w:r>
        <w:rPr>
          <w:rFonts w:ascii="Times New Roman" w:hAnsi="Times New Roman"/>
          <w:sz w:val="28"/>
          <w:szCs w:val="28"/>
        </w:rPr>
        <w:t xml:space="preserve">, які будуть виконуватися </w:t>
      </w:r>
      <w:r>
        <w:rPr>
          <w:rFonts w:ascii="Times New Roman" w:hAnsi="Times New Roman"/>
          <w:sz w:val="28"/>
          <w:szCs w:val="28"/>
        </w:rPr>
        <w:t xml:space="preserve">на платній основі </w:t>
      </w:r>
      <w:r>
        <w:rPr>
          <w:rFonts w:ascii="Times New Roman" w:hAnsi="Times New Roman"/>
          <w:sz w:val="28"/>
          <w:szCs w:val="28"/>
        </w:rPr>
        <w:t xml:space="preserve">в КП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«Менакомунпослуга» Менської міської ради</w:t>
      </w:r>
      <w:r>
        <w:rPr>
          <w:rFonts w:ascii="Times New Roman" w:hAnsi="Times New Roman"/>
          <w:sz w:val="28"/>
          <w:szCs w:val="28"/>
        </w:rPr>
        <w:t xml:space="preserve">, згідно додатку до даного рішення - додається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vertAlign w:val="baseline"/>
        </w:rPr>
      </w:pPr>
      <w:r>
        <w:rPr>
          <w:rFonts w:ascii="Times New Roman" w:hAnsi="Times New Roman"/>
          <w:sz w:val="28"/>
          <w:szCs w:val="28"/>
        </w:rPr>
        <w:t xml:space="preserve">2. Відповідно до ст. 325</w:t>
      </w:r>
      <w:r>
        <w:rPr>
          <w:rFonts w:ascii="Times New Roman" w:hAnsi="Times New Roman"/>
          <w:sz w:val="28"/>
          <w:szCs w:val="28"/>
          <w:vertAlign w:val="superscript"/>
        </w:rPr>
        <w:t xml:space="preserve">3</w:t>
      </w:r>
      <w:r>
        <w:rPr>
          <w:rFonts w:ascii="Times New Roman" w:hAnsi="Times New Roman"/>
          <w:sz w:val="28"/>
          <w:szCs w:val="28"/>
          <w:vertAlign w:val="baseline"/>
        </w:rPr>
        <w:t xml:space="preserve"> КУпАП, на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«Менакомунпослуга» Менської міської ради</w:t>
      </w:r>
      <w:r>
        <w:rPr>
          <w:rFonts w:ascii="Times New Roman" w:hAnsi="Times New Roman"/>
          <w:sz w:val="28"/>
          <w:szCs w:val="28"/>
          <w:vertAlign w:val="baseline"/>
        </w:rPr>
        <w:t xml:space="preserve"> покласти:</w:t>
      </w:r>
      <w:r>
        <w:rPr>
          <w:sz w:val="28"/>
        </w:rPr>
      </w:r>
    </w:p>
    <w:p>
      <w:pPr>
        <w:pStyle w:val="405"/>
        <w:numPr>
          <w:ilvl w:val="0"/>
          <w:numId w:val="2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vertAlign w:val="baseline"/>
        </w:rPr>
      </w:pPr>
      <w:r>
        <w:rPr>
          <w:rFonts w:ascii="Times New Roman" w:hAnsi="Times New Roman"/>
          <w:sz w:val="28"/>
          <w:szCs w:val="28"/>
          <w:vertAlign w:val="baseline"/>
        </w:rPr>
        <w:t xml:space="preserve">контроль за виконанням порушниками призначених їм робіт;</w:t>
      </w:r>
      <w:r>
        <w:rPr>
          <w:sz w:val="28"/>
        </w:rPr>
      </w:r>
    </w:p>
    <w:p>
      <w:pPr>
        <w:pStyle w:val="405"/>
        <w:numPr>
          <w:ilvl w:val="0"/>
          <w:numId w:val="2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vertAlign w:val="baseline"/>
        </w:rPr>
      </w:pPr>
      <w:r>
        <w:rPr>
          <w:rFonts w:ascii="Times New Roman" w:hAnsi="Times New Roman"/>
          <w:sz w:val="28"/>
          <w:szCs w:val="28"/>
          <w:vertAlign w:val="baseline"/>
        </w:rPr>
        <w:t xml:space="preserve">своєчасне повідомлення Менського районного сектору філії Державної установи “Центр пробації” в Чернігівській області, про ухилення порушника від виконання суспільно корисних робіт;</w:t>
      </w:r>
      <w:r>
        <w:rPr>
          <w:rFonts w:ascii="Times New Roman" w:hAnsi="Times New Roman"/>
          <w:sz w:val="28"/>
          <w:szCs w:val="28"/>
          <w:vertAlign w:val="baseline"/>
        </w:rPr>
      </w:r>
      <w:r>
        <w:rPr>
          <w:sz w:val="28"/>
        </w:rPr>
      </w:r>
    </w:p>
    <w:p>
      <w:pPr>
        <w:pStyle w:val="405"/>
        <w:numPr>
          <w:ilvl w:val="0"/>
          <w:numId w:val="2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vertAlign w:val="baseline"/>
        </w:rPr>
      </w:pPr>
      <w:r>
        <w:rPr>
          <w:rFonts w:ascii="Times New Roman" w:hAnsi="Times New Roman"/>
          <w:sz w:val="28"/>
          <w:szCs w:val="28"/>
          <w:vertAlign w:val="baseline"/>
        </w:rPr>
        <w:t xml:space="preserve">ведення обліку та інформування </w:t>
      </w:r>
      <w:r>
        <w:rPr>
          <w:rFonts w:ascii="Times New Roman" w:hAnsi="Times New Roman"/>
          <w:sz w:val="28"/>
          <w:szCs w:val="28"/>
          <w:vertAlign w:val="baseline"/>
        </w:rPr>
        <w:t xml:space="preserve">Менського районного сектору філії Державної установи “Центр пробації” в Чернігівській області</w:t>
      </w:r>
      <w:r>
        <w:rPr>
          <w:rFonts w:ascii="Times New Roman" w:hAnsi="Times New Roman"/>
          <w:sz w:val="28"/>
          <w:szCs w:val="28"/>
          <w:vertAlign w:val="baseline"/>
        </w:rPr>
        <w:t xml:space="preserve">, про кількість відпрацьованих порушником годин;</w:t>
      </w:r>
      <w:r>
        <w:rPr>
          <w:rFonts w:ascii="Times New Roman" w:hAnsi="Times New Roman"/>
          <w:sz w:val="28"/>
          <w:szCs w:val="28"/>
          <w:vertAlign w:val="baseline"/>
        </w:rPr>
      </w:r>
      <w:r>
        <w:rPr>
          <w:sz w:val="28"/>
        </w:rPr>
      </w:r>
    </w:p>
    <w:p>
      <w:pPr>
        <w:pStyle w:val="405"/>
        <w:numPr>
          <w:ilvl w:val="0"/>
          <w:numId w:val="2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vertAlign w:val="baseline"/>
        </w:rPr>
      </w:pPr>
      <w:r>
        <w:rPr>
          <w:rFonts w:ascii="Times New Roman" w:hAnsi="Times New Roman"/>
          <w:sz w:val="28"/>
          <w:szCs w:val="28"/>
          <w:vertAlign w:val="baseline"/>
        </w:rPr>
        <w:t xml:space="preserve">нарахування плати порушнику</w:t>
      </w:r>
      <w:r>
        <w:rPr>
          <w:rFonts w:ascii="Times New Roman" w:hAnsi="Times New Roman"/>
          <w:sz w:val="28"/>
          <w:szCs w:val="28"/>
          <w:vertAlign w:val="baseline"/>
        </w:rPr>
        <w:t xml:space="preserve"> за виконання суспільно корисних робіт та перерахування її на відповідний рахунок органу державної виконавчої служби для подальшого погашення заборгованості зі сплати аліментів.</w:t>
      </w:r>
      <w:r>
        <w:rPr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С.М.Гаєвого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jc w:val="both"/>
        <w:spacing w:lineRule="auto" w:line="240" w:after="0" w:afterAutospacing="0" w:before="0" w:beforeAutospacing="0"/>
        <w:tabs>
          <w:tab w:val="left" w:pos="6236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/>
    </w:p>
    <w:p>
      <w:pPr>
        <w:ind w:left="5955"/>
        <w:spacing w:lineRule="auto" w:line="240" w:after="0" w:afterAutospacing="0" w:before="0" w:beforeAutospacing="0"/>
        <w:rPr>
          <w:rFonts w:ascii="Times New Roman" w:hAnsi="Times New Roman"/>
          <w:sz w:val="18"/>
          <w:szCs w:val="18"/>
          <w:lang w:eastAsia="uk-UA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Додаток</w:t>
      </w:r>
      <w:r>
        <w:rPr>
          <w:rFonts w:ascii="Times New Roman" w:hAnsi="Times New Roman"/>
          <w:sz w:val="18"/>
          <w:szCs w:val="18"/>
        </w:rPr>
        <w:t xml:space="preserve"> д</w:t>
      </w:r>
      <w:r>
        <w:rPr>
          <w:rFonts w:ascii="Times New Roman" w:hAnsi="Times New Roman"/>
          <w:sz w:val="18"/>
          <w:szCs w:val="18"/>
          <w:lang w:eastAsia="ru-RU"/>
        </w:rPr>
        <w:t xml:space="preserve">о рішення 2 </w:t>
      </w:r>
      <w:r>
        <w:rPr>
          <w:rFonts w:ascii="Times New Roman" w:hAnsi="Times New Roman"/>
          <w:sz w:val="18"/>
          <w:szCs w:val="18"/>
          <w:lang w:eastAsia="ru-RU"/>
        </w:rPr>
        <w:t xml:space="preserve">сесії Менської міської ради 8 скликання №188 </w:t>
      </w:r>
      <w:r>
        <w:rPr>
          <w:rFonts w:ascii="Times New Roman" w:hAnsi="Times New Roman"/>
          <w:sz w:val="18"/>
          <w:szCs w:val="18"/>
          <w:lang w:eastAsia="ru-RU"/>
        </w:rPr>
        <w:t xml:space="preserve">«Про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за</w:t>
      </w:r>
      <w:r>
        <w:rPr>
          <w:rFonts w:ascii="Times New Roman" w:hAnsi="Times New Roman"/>
          <w:sz w:val="18"/>
          <w:szCs w:val="18"/>
          <w:lang w:eastAsia="uk-UA"/>
        </w:rPr>
        <w:t xml:space="preserve">твердження переліку об'єктів та визначення видів  робіт, на яких зможуть виконуватись стягнення у виді суспільно корисних робіт на платній основі</w:t>
      </w:r>
      <w:r>
        <w:rPr>
          <w:rFonts w:ascii="Times New Roman" w:hAnsi="Times New Roman" w:eastAsia="Times New Roman"/>
          <w:color w:val="000000"/>
          <w:sz w:val="18"/>
          <w:szCs w:val="18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18"/>
          <w:szCs w:val="18"/>
          <w:lang w:eastAsia="ru-RU"/>
        </w:rPr>
        <w:t xml:space="preserve">від 22</w:t>
      </w:r>
      <w:r>
        <w:rPr>
          <w:rFonts w:ascii="Times New Roman" w:hAnsi="Times New Roman" w:eastAsia="Times New Roman"/>
          <w:color w:val="000000"/>
          <w:sz w:val="18"/>
          <w:szCs w:val="18"/>
          <w:lang w:eastAsia="ru-RU"/>
        </w:rPr>
        <w:t xml:space="preserve"> </w:t>
      </w:r>
      <w:r>
        <w:rPr>
          <w:rFonts w:ascii="Times New Roman" w:hAnsi="Times New Roman" w:eastAsia="Times New Roman"/>
          <w:color w:val="000000"/>
          <w:sz w:val="18"/>
          <w:szCs w:val="18"/>
          <w:lang w:eastAsia="ru-RU"/>
        </w:rPr>
        <w:t xml:space="preserve">січня 2021 року</w:t>
      </w:r>
      <w:r/>
    </w:p>
    <w:p>
      <w:pPr>
        <w:ind w:left="-360"/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360"/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360"/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360"/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360"/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ind w:left="-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населених пунктах Менської міської територіальної громади, на яких засуджені та правопорушники будуть відбувати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покарання (стягне</w:t>
      </w:r>
      <w:r>
        <w:rPr>
          <w:rFonts w:ascii="Times New Roman" w:hAnsi="Times New Roman"/>
          <w:sz w:val="28"/>
          <w:szCs w:val="28"/>
        </w:rPr>
        <w:t xml:space="preserve">ння) у вигляді суспільно корисних робіт на платній основі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КП «Менакомунпослуга» Менської міської ради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парків, скверів, площ, спортивних майданчиків, дитячих майданчиків, кладовищ, зон відпочинку та туризму;</w:t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вулично-дорожна</w:t>
      </w:r>
      <w:r>
        <w:rPr>
          <w:rFonts w:ascii="Times New Roman" w:hAnsi="Times New Roman"/>
          <w:sz w:val="28"/>
          <w:szCs w:val="28"/>
        </w:rPr>
        <w:t xml:space="preserve"> мережа, тротуари, алеї;</w:t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інші об</w:t>
      </w:r>
      <w:r>
        <w:rPr>
          <w:rFonts w:ascii="Times New Roman" w:hAnsi="Times New Roman"/>
          <w:sz w:val="28"/>
          <w:szCs w:val="28"/>
        </w:rPr>
        <w:t xml:space="preserve">'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єкти комунального господарства.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суспільно корисних</w:t>
      </w:r>
      <w:r>
        <w:rPr>
          <w:rFonts w:ascii="Times New Roman" w:hAnsi="Times New Roman"/>
          <w:sz w:val="28"/>
          <w:szCs w:val="28"/>
        </w:rPr>
        <w:t xml:space="preserve"> робіт</w:t>
      </w:r>
      <w:r>
        <w:rPr>
          <w:rFonts w:ascii="Times New Roman" w:hAnsi="Times New Roman"/>
          <w:sz w:val="28"/>
          <w:szCs w:val="28"/>
        </w:rPr>
        <w:t xml:space="preserve">, які будуть відбувати покарання (стягнення) </w:t>
      </w:r>
      <w:r>
        <w:rPr>
          <w:rFonts w:ascii="Times New Roman" w:hAnsi="Times New Roman"/>
          <w:sz w:val="28"/>
          <w:szCs w:val="28"/>
        </w:rPr>
        <w:t xml:space="preserve">засуджені та правопоруш</w:t>
      </w:r>
      <w:r>
        <w:rPr>
          <w:rFonts w:ascii="Times New Roman" w:hAnsi="Times New Roman"/>
          <w:sz w:val="28"/>
          <w:szCs w:val="28"/>
        </w:rPr>
        <w:t xml:space="preserve">ники у вигляді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суспільно корисних робіт на платній основі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КП «Менакомунпослуга» Менської міської ради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сміття по центру міста, доріжок в парках і скверах;</w:t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підмітання тротуарів в центрі міста;</w:t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вирубка сухих гілок, кущів;</w:t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обкошування трави на узбіччях;</w:t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завантаження сміття на трактор;</w:t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роздільний збір окремих компонентів ТПВ (скло, полімери) на міському полігоні;</w:t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рубання дров. 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59"/>
    <w:uiPriority w:val="9"/>
    <w:rPr>
      <w:rFonts w:ascii="Arial" w:hAnsi="Arial" w:cs="Arial" w:eastAsia="Arial"/>
      <w:sz w:val="40"/>
      <w:szCs w:val="40"/>
    </w:rPr>
  </w:style>
  <w:style w:type="character" w:styleId="393">
    <w:name w:val="Heading 2 Char"/>
    <w:basedOn w:val="564"/>
    <w:link w:val="560"/>
    <w:uiPriority w:val="9"/>
    <w:rPr>
      <w:rFonts w:ascii="Arial" w:hAnsi="Arial" w:cs="Arial" w:eastAsia="Arial"/>
      <w:sz w:val="34"/>
    </w:rPr>
  </w:style>
  <w:style w:type="character" w:styleId="394">
    <w:name w:val="Heading 3 Char"/>
    <w:basedOn w:val="564"/>
    <w:link w:val="561"/>
    <w:uiPriority w:val="9"/>
    <w:rPr>
      <w:rFonts w:ascii="Arial" w:hAnsi="Arial" w:cs="Arial" w:eastAsia="Arial"/>
      <w:sz w:val="30"/>
      <w:szCs w:val="30"/>
    </w:rPr>
  </w:style>
  <w:style w:type="character" w:styleId="395">
    <w:name w:val="Heading 4 Char"/>
    <w:basedOn w:val="564"/>
    <w:link w:val="562"/>
    <w:uiPriority w:val="9"/>
    <w:rPr>
      <w:rFonts w:ascii="Arial" w:hAnsi="Arial" w:cs="Arial" w:eastAsia="Arial"/>
      <w:b/>
      <w:bCs/>
      <w:sz w:val="26"/>
      <w:szCs w:val="26"/>
    </w:rPr>
  </w:style>
  <w:style w:type="character" w:styleId="396">
    <w:name w:val="Heading 5 Char"/>
    <w:basedOn w:val="564"/>
    <w:link w:val="563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8"/>
    <w:next w:val="558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64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8"/>
    <w:next w:val="558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64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8"/>
    <w:next w:val="558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64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8"/>
    <w:next w:val="558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64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List Paragraph"/>
    <w:basedOn w:val="558"/>
    <w:qFormat/>
    <w:uiPriority w:val="34"/>
    <w:pPr>
      <w:contextualSpacing w:val="true"/>
      <w:ind w:left="72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64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64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64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64"/>
    <w:link w:val="416"/>
    <w:uiPriority w:val="99"/>
  </w:style>
  <w:style w:type="table" w:styleId="418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64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Calibri"/>
      <w:lang w:val="uk-UA"/>
    </w:rPr>
    <w:pPr>
      <w:spacing w:lineRule="auto" w:line="259" w:after="160"/>
    </w:pPr>
  </w:style>
  <w:style w:type="paragraph" w:styleId="559">
    <w:name w:val="Heading 1"/>
    <w:basedOn w:val="558"/>
    <w:next w:val="558"/>
    <w:link w:val="570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560">
    <w:name w:val="Heading 2"/>
    <w:basedOn w:val="558"/>
    <w:next w:val="558"/>
    <w:link w:val="571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561">
    <w:name w:val="Heading 3"/>
    <w:basedOn w:val="558"/>
    <w:next w:val="558"/>
    <w:link w:val="572"/>
    <w:qFormat/>
    <w:uiPriority w:val="9"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562">
    <w:name w:val="Heading 4"/>
    <w:basedOn w:val="558"/>
    <w:next w:val="558"/>
    <w:link w:val="573"/>
    <w:qFormat/>
    <w:uiPriority w:val="9"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563">
    <w:name w:val="Heading 5"/>
    <w:basedOn w:val="558"/>
    <w:next w:val="558"/>
    <w:link w:val="574"/>
    <w:qFormat/>
    <w:uiPriority w:val="9"/>
    <w:unhideWhenUsed/>
    <w:rPr>
      <w:rFonts w:ascii="Cambria" w:hAnsi="Cambria" w:cs="Cambria" w:eastAsia="Cambria"/>
      <w:color w:val="243F60" w:themeColor="accent1" w:themeShade="7F"/>
    </w:rPr>
    <w:pPr>
      <w:keepLines/>
      <w:keepNext/>
      <w:spacing w:after="0" w:before="200"/>
      <w:outlineLvl w:val="4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paragraph" w:styleId="567">
    <w:name w:val="Balloon Text"/>
    <w:basedOn w:val="558"/>
    <w:link w:val="56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8" w:customStyle="1">
    <w:name w:val="Текст у виносці Знак"/>
    <w:basedOn w:val="564"/>
    <w:link w:val="567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569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character" w:styleId="570" w:customStyle="1">
    <w:name w:val="Заголовок 1 Знак"/>
    <w:basedOn w:val="564"/>
    <w:link w:val="559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  <w:lang w:val="uk-UA"/>
    </w:rPr>
  </w:style>
  <w:style w:type="character" w:styleId="571" w:customStyle="1">
    <w:name w:val="Заголовок 2 Знак"/>
    <w:basedOn w:val="564"/>
    <w:link w:val="560"/>
    <w:uiPriority w:val="9"/>
    <w:rPr>
      <w:rFonts w:ascii="Cambria" w:hAnsi="Cambria" w:cs="Cambria" w:eastAsia="Cambria"/>
      <w:b/>
      <w:bCs/>
      <w:color w:val="4F81BD" w:themeColor="accent1"/>
      <w:sz w:val="26"/>
      <w:szCs w:val="26"/>
      <w:lang w:val="uk-UA"/>
    </w:rPr>
  </w:style>
  <w:style w:type="character" w:styleId="572" w:customStyle="1">
    <w:name w:val="Заголовок 3 Знак"/>
    <w:basedOn w:val="564"/>
    <w:link w:val="561"/>
    <w:uiPriority w:val="9"/>
    <w:rPr>
      <w:rFonts w:ascii="Cambria" w:hAnsi="Cambria" w:cs="Cambria" w:eastAsia="Cambria"/>
      <w:b/>
      <w:bCs/>
      <w:color w:val="4F81BD" w:themeColor="accent1"/>
      <w:lang w:val="uk-UA"/>
    </w:rPr>
  </w:style>
  <w:style w:type="character" w:styleId="573" w:customStyle="1">
    <w:name w:val="Заголовок 4 Знак"/>
    <w:basedOn w:val="564"/>
    <w:link w:val="562"/>
    <w:uiPriority w:val="9"/>
    <w:rPr>
      <w:rFonts w:ascii="Cambria" w:hAnsi="Cambria" w:cs="Cambria" w:eastAsia="Cambria"/>
      <w:b/>
      <w:bCs/>
      <w:i/>
      <w:iCs/>
      <w:color w:val="4F81BD" w:themeColor="accent1"/>
      <w:lang w:val="uk-UA"/>
    </w:rPr>
  </w:style>
  <w:style w:type="character" w:styleId="574" w:customStyle="1">
    <w:name w:val="Заголовок 5 Знак"/>
    <w:basedOn w:val="564"/>
    <w:link w:val="563"/>
    <w:uiPriority w:val="9"/>
    <w:rPr>
      <w:rFonts w:ascii="Cambria" w:hAnsi="Cambria" w:cs="Cambria" w:eastAsia="Cambria"/>
      <w:color w:val="243F60" w:themeColor="accent1" w:themeShade="7F"/>
      <w:lang w:val="uk-UA"/>
    </w:rPr>
  </w:style>
  <w:style w:type="paragraph" w:styleId="1_807" w:customStyle="1">
    <w:name w:val="Обычный1"/>
    <w:link w:val="654"/>
    <w:rPr>
      <w:rFonts w:ascii="Calibri" w:hAnsi="Calibri" w:cs="Times New Roman" w:eastAsia="Calibri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СТАЛЬНИЧЕНКО Юрій Валерійович</cp:lastModifiedBy>
  <cp:revision>11</cp:revision>
  <dcterms:created xsi:type="dcterms:W3CDTF">2020-02-03T16:46:00Z</dcterms:created>
  <dcterms:modified xsi:type="dcterms:W3CDTF">2021-01-24T14:05:54Z</dcterms:modified>
</cp:coreProperties>
</file>