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1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1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6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61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4"/>
          <w:szCs w:val="16"/>
        </w:rPr>
      </w:pPr>
      <w:r>
        <w:rPr>
          <w:rFonts w:ascii="Times New Roman" w:hAnsi="Times New Roman" w:cs="Mangal"/>
          <w:sz w:val="24"/>
          <w:szCs w:val="16"/>
          <w:lang w:bidi="hi-IN" w:eastAsia="hi-IN"/>
        </w:rPr>
      </w:r>
      <w:r>
        <w:rPr>
          <w:sz w:val="24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19 січня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34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ind w:left="0" w:right="5386" w:firstLine="0"/>
        <w:jc w:val="both"/>
        <w:spacing w:lineRule="auto" w:line="276"/>
        <w:tabs>
          <w:tab w:val="left" w:pos="709" w:leader="none"/>
          <w:tab w:val="left" w:pos="7088" w:leader="none"/>
          <w:tab w:val="left" w:pos="9354" w:leader="none"/>
        </w:tabs>
        <w:rPr>
          <w:rFonts w:ascii="Times New Roman" w:hAnsi="Times New Roman" w:cs="Times New Roman" w:eastAsia="Times New Roman"/>
          <w:sz w:val="36"/>
          <w:szCs w:val="28"/>
        </w:rPr>
      </w:pPr>
      <w:r/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паспортів бюджетних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Менській міс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ькій раді на 2021 рік</w:t>
      </w:r>
      <w:bookmarkEnd w:id="0"/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36"/>
        </w:rPr>
      </w:r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 w:eastAsia="Times New Roman"/>
          <w:spacing w:val="8"/>
          <w:sz w:val="28"/>
          <w:szCs w:val="28"/>
        </w:rPr>
      </w:pPr>
      <w:r>
        <w:rPr>
          <w:rFonts w:ascii="Times New Roman" w:hAnsi="Times New Roman" w:cs="Times New Roman" w:eastAsia="Times New Roman"/>
          <w:spacing w:val="8"/>
          <w:sz w:val="28"/>
          <w:szCs w:val="28"/>
        </w:rPr>
        <w:t xml:space="preserve">Відповідно до частини восьмої статті 20 Бюджетного кодексу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України, наказу Міністерства фінансів України від 02 серпня 2010 року № 805 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 xml:space="preserve">«Про затвердження Основних підходів до запровадження програмно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цільового методу складання 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та виконання 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місцевих бюджетів» (зі 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бюджетів та звітів про їх виконання, затверджених наказом Міністерства фінансів України від 26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серпня 2014 року № 836 «Про деякі питання 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місцевих бюджетів», рішення 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№ 62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д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ругої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сесії 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вось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мого скликання «Про бюджет Менської 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територіальної громади на 202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рік»:</w:t>
      </w:r>
      <w:r>
        <w:rPr>
          <w:rFonts w:ascii="Times New Roman" w:hAnsi="Times New Roman" w:cs="Times New Roman" w:eastAsia="Times New Roman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Затвердити паспорти бюджетних програм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бюджету Менської міської територіальної громади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рік по головному розпоряднику коштів «Менська міська рада» </w:t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0110150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рад),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0110180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«Інша діяльність у сфері державного управління»,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0111160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«Забезпечення діяльності центрів професійного розвитку педагогічних працівників»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0112010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Багатопрофільна стаціонарна медична допомога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населенню»,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0112111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«Первинна медична допомога населенню, що надається центрами первинної медичної медико-санітарної допомоги»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0112144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«Централізовані заходи з лікування хворих на цукровий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та нецукровий діабет»,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  <w:highlight w:val="white"/>
        </w:rPr>
        <w:t xml:space="preserve">КПКВК 0113032 </w:t>
      </w:r>
      <w:r>
        <w:rPr>
          <w:rFonts w:ascii="Times New Roman" w:hAnsi="Times New Roman" w:cs="Times New Roman"/>
          <w:b w:val="false"/>
          <w:spacing w:val="-6"/>
          <w:sz w:val="28"/>
          <w:szCs w:val="28"/>
          <w:highlight w:val="white"/>
        </w:rPr>
        <w:t xml:space="preserve">«Надання   пільг   окремим   категоріям   громадян   з   оплати </w:t>
      </w:r>
      <w:r>
        <w:rPr>
          <w:rFonts w:ascii="Times New Roman" w:hAnsi="Times New Roman" w:cs="Times New Roman"/>
          <w:b w:val="false"/>
          <w:spacing w:val="-6"/>
          <w:sz w:val="28"/>
          <w:szCs w:val="28"/>
          <w:highlight w:val="white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  <w:highlight w:val="white"/>
        </w:rPr>
      </w:r>
      <w:r/>
    </w:p>
    <w:p>
      <w:pPr>
        <w:pStyle w:val="561"/>
        <w:ind w:left="0" w:right="0" w:firstLine="0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  <w:highlight w:val="white"/>
        </w:rPr>
        <w:t xml:space="preserve">послуг зв’язку»,</w:t>
      </w:r>
      <w:r>
        <w:rPr>
          <w:b w:val="false"/>
          <w:highlight w:val="white"/>
        </w:rPr>
      </w:r>
      <w:r>
        <w:rPr>
          <w:b w:val="false"/>
        </w:rPr>
      </w:r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0113035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«Компенсаційні виплати за пільговий проїзд окремих категорій громадян на залізничному транспорті»,</w:t>
      </w:r>
      <w:r>
        <w:rPr>
          <w:color w:val="FF0000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КПКВК 0113050 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Пільгове медичне обслуговування осіб, які постраждали внаслідок Чорнобильської катастрофи»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,</w:t>
      </w:r>
      <w:r>
        <w:rPr>
          <w:b w:val="false"/>
        </w:rPr>
      </w:r>
      <w:r>
        <w:rPr>
          <w:b w:val="false"/>
        </w:rPr>
      </w:r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0113242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«Інші заходи у сфері соціального захисту і соціального забезпечення»,</w:t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0113104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ВК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0113121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«Утримання та забезпечення діяльності центрів соціальних служб для сім’ї, дітей та молоді»,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0113160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«Надання соціальних гарантій фізичним особам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0113180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«Надання пільг населенню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крім ветеранів війни і праці, військової служби, органів внутрішніх справ та громадян, які постраждали внаслідок Чорнобильської катастрофи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на оплату житлово-комунальних послуг»,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0113192 «Надання фінансової підтримки громадським об’єднанням ветеранів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і осіб з інвалідністю, діяльність яких має соціальну спрямованість»,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0115011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«Проведення навчально-тренувальних зборів і змагань з олімпійських видів спорту»,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0115012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«Проведення навчально-тренувальних зборів і змагань з не олімпійських видів спорту»,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0116016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«Впровадження засобів обліку витрат та регулювання споживання води та теплової енергії»,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0116020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«Забезпечення функціонування підприємств, установ та організацій, що виробляють, виконують та/або надають житлово-комунальні послуги»,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0116030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«Організація благоустрою населених пунктів»,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0116040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«Заходи, пов’язані з поліпшенням питної води»,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0116071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«Відшкодування різниці між розміром ціни (тарифу) на житлово-комунальні послуги, затверджувалися рішенням місцевого органу виконавчої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влади та органу місцевого самоврядування, та розміром економічно обґрунтован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х витрат на їх виробництво)»,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0117110 «Реалізація програм в галузі сільського господарства»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 w:eastAsia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pacing w:val="-6"/>
          <w:sz w:val="28"/>
          <w:szCs w:val="28"/>
        </w:rPr>
      </w:r>
      <w:r>
        <w:rPr>
          <w:rFonts w:ascii="Times New Roman" w:hAnsi="Times New Roman" w:cs="Times New Roman" w:eastAsia="Times New Roman"/>
          <w:color w:val="auto"/>
          <w:spacing w:val="-6"/>
          <w:sz w:val="28"/>
          <w:szCs w:val="28"/>
        </w:rPr>
        <w:t xml:space="preserve">КПКВК 0117130 </w:t>
      </w:r>
      <w:r>
        <w:rPr>
          <w:rFonts w:ascii="Times New Roman" w:hAnsi="Times New Roman" w:cs="Times New Roman" w:eastAsia="Times New Roman"/>
          <w:color w:val="auto"/>
          <w:spacing w:val="-6"/>
          <w:sz w:val="28"/>
          <w:szCs w:val="28"/>
        </w:rPr>
        <w:t xml:space="preserve">«Здійснення заходів із землеустрою»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КПКВК 0117350 «Розроблення    схем    планування    та   забудови    територій </w:t>
      </w:r>
      <w:r>
        <w:rPr>
          <w:rFonts w:ascii="Times New Roman" w:hAnsi="Times New Roman" w:cs="Times New Roman"/>
          <w:b w:val="false"/>
          <w:spacing w:val="-6"/>
          <w:sz w:val="28"/>
          <w:szCs w:val="28"/>
          <w:lang w:val="ru-RU"/>
        </w:rPr>
      </w:r>
      <w:r/>
    </w:p>
    <w:p>
      <w:pPr>
        <w:pStyle w:val="561"/>
        <w:ind w:left="0" w:right="0" w:firstLine="0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містобудівної документації</w:t>
      </w:r>
      <w:r>
        <w:rPr>
          <w:rFonts w:ascii="Times New Roman" w:hAnsi="Times New Roman" w:cs="Times New Roman"/>
          <w:b w:val="false"/>
          <w:spacing w:val="-6"/>
          <w:sz w:val="28"/>
          <w:szCs w:val="28"/>
          <w:lang w:val="ru-RU"/>
        </w:rPr>
        <w:t xml:space="preserve">),</w:t>
      </w:r>
      <w:r>
        <w:rPr>
          <w:b w:val="false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0117412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«Регулювання цін на послуги місцевого автотранспорту»,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0117442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«Утримання та розвиток доріг»,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КПКВК 0117640 «Заходи з енергозбереження»,</w:t>
      </w:r>
      <w:r>
        <w:rPr>
          <w:b w:val="false"/>
        </w:rPr>
      </w:r>
      <w:r/>
    </w:p>
    <w:p>
      <w:pPr>
        <w:pStyle w:val="561"/>
        <w:ind w:left="0" w:right="0"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0117680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«Членські внески до асоціацій органів місцевого самоврядування»,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0118110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«Заходи 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КПКВК 0118130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«Забезпечення діяльності місцевої пожежної охорони»,</w:t>
      </w:r>
      <w:r>
        <w:rPr>
          <w:color w:val="auto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КПКВК 0118230 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«Інші заходи громадського порядку та безпеки»,</w:t>
      </w:r>
      <w:r>
        <w:rPr>
          <w:b w:val="false"/>
        </w:rPr>
      </w:r>
      <w:r>
        <w:rPr>
          <w:b w:val="false"/>
        </w:rPr>
      </w:r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b w:val="false"/>
          <w:color w:val="auto"/>
          <w:spacing w:val="-6"/>
          <w:sz w:val="28"/>
          <w:szCs w:val="28"/>
        </w:rPr>
        <w:t xml:space="preserve">КПКВК 0118312 </w:t>
      </w:r>
      <w:r>
        <w:rPr>
          <w:rFonts w:ascii="Times New Roman" w:hAnsi="Times New Roman" w:cs="Times New Roman"/>
          <w:b w:val="false"/>
          <w:color w:val="auto"/>
          <w:spacing w:val="-6"/>
          <w:sz w:val="28"/>
          <w:szCs w:val="28"/>
        </w:rPr>
        <w:t xml:space="preserve">«Утилізація відходів»,</w:t>
      </w:r>
      <w:r>
        <w:rPr>
          <w:b w:val="false"/>
          <w:color w:val="auto"/>
        </w:rPr>
      </w:r>
      <w:r>
        <w:rPr>
          <w:b w:val="false"/>
        </w:rPr>
      </w:r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КПКВК 011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8330 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Інша діяльність у сфері екології та охорони природних ресурсів»,</w:t>
      </w:r>
      <w:r>
        <w:rPr>
          <w:b w:val="false"/>
        </w:rPr>
      </w:r>
      <w:r>
        <w:rPr>
          <w:b w:val="false"/>
        </w:rPr>
      </w:r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/>
          <w:b w:val="false"/>
          <w:spacing w:val="-6"/>
          <w:sz w:val="28"/>
          <w:szCs w:val="28"/>
        </w:rPr>
      </w:pP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КПКВК 0118830 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«Довгострокові кредити індивідуальним забудовникам житла на селі та їх повернення».</w:t>
      </w:r>
      <w:r>
        <w:rPr>
          <w:b w:val="false"/>
        </w:rPr>
      </w:r>
      <w:r>
        <w:rPr>
          <w:b w:val="false"/>
        </w:rPr>
      </w:r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Відповідальність за результативні показники обсягу фінансування бюджетних програм з урахуванням визначених підпрограм забезпечує розпорядник або одержувач коштів, який відповідає за виконання бюджетної програми у системі головного розпорядника.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ind w:left="0" w:right="0" w:firstLine="709"/>
        <w:jc w:val="both"/>
        <w:spacing w:lineRule="auto" w:line="276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виконанням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3"/>
        <w:ind w:left="0" w:right="0" w:firstLine="709"/>
        <w:jc w:val="both"/>
        <w:spacing w:lineRule="auto" w:line="240" w:after="0" w:before="0"/>
        <w:shd w:val="clear" w:color="auto" w:fill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3"/>
        <w:ind w:firstLine="0"/>
        <w:jc w:val="left"/>
        <w:spacing w:lineRule="auto" w:line="240" w:after="0" w:before="0"/>
        <w:shd w:val="clear" w:color="auto" w:fill="auto"/>
      </w:pPr>
      <w:r/>
      <w:r/>
    </w:p>
    <w:p>
      <w:pPr>
        <w:pStyle w:val="563"/>
        <w:jc w:val="left"/>
        <w:spacing w:lineRule="auto" w:line="240" w:after="0" w:before="0"/>
        <w:shd w:val="clear" w:color="auto" w:fill="auto"/>
        <w:tabs>
          <w:tab w:val="left" w:pos="1047" w:leader="none"/>
          <w:tab w:val="left" w:pos="7087" w:leader="none"/>
        </w:tabs>
        <w:rPr>
          <w:b/>
        </w:rPr>
      </w:pPr>
      <w:r>
        <w:rPr>
          <w:b/>
        </w:rPr>
        <w:t xml:space="preserve">Міський голова </w:t>
        <w:tab/>
        <w:t xml:space="preserve">Г.А. Примаков</w:t>
      </w:r>
      <w:r/>
    </w:p>
    <w:p>
      <w:pPr>
        <w:pStyle w:val="563"/>
        <w:jc w:val="left"/>
        <w:spacing w:lineRule="auto" w:line="240" w:after="0" w:before="0"/>
        <w:shd w:val="clear" w:color="auto" w:fill="auto"/>
        <w:tabs>
          <w:tab w:val="left" w:pos="1047" w:leader="none"/>
        </w:tabs>
        <w:rPr>
          <w:b/>
          <w:lang w:val="ru-RU"/>
        </w:rPr>
      </w:pPr>
      <w:r>
        <w:rPr>
          <w:b/>
          <w:lang w:val="ru-RU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3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562" w:customStyle="1">
    <w:name w:val="Основной текст (2)_"/>
    <w:link w:val="563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563" w:customStyle="1">
    <w:name w:val="Основной текст (2)"/>
    <w:basedOn w:val="557"/>
    <w:link w:val="562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color="auto" w:fill="FFFFFF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10</cp:revision>
  <dcterms:created xsi:type="dcterms:W3CDTF">2021-01-21T17:13:00Z</dcterms:created>
  <dcterms:modified xsi:type="dcterms:W3CDTF">2021-02-09T10:29:50Z</dcterms:modified>
</cp:coreProperties>
</file>