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(друга сесія восьмого скликання)</w: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ПРОЄ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КТ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22 січня  2021 року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  <w:t xml:space="preserve">№ </w:t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right="5529"/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затвердження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Програми 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«Шкільний автобус»</w:t>
      </w:r>
      <w:r/>
    </w:p>
    <w:p>
      <w:pPr>
        <w:ind w:right="5529"/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на 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 2021-202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5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 роки</w:t>
      </w:r>
      <w:r/>
    </w:p>
    <w:p>
      <w:pPr>
        <w:ind w:right="5529"/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</w:t>
      </w:r>
      <w:r>
        <w:rPr>
          <w:rFonts w:ascii="Times New Roman" w:hAnsi="Times New Roman"/>
          <w:sz w:val="28"/>
          <w:szCs w:val="28"/>
          <w:lang w:val="uk-UA"/>
        </w:rPr>
        <w:t xml:space="preserve"> повну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«Про </w:t>
      </w:r>
      <w:r>
        <w:rPr>
          <w:rFonts w:ascii="Times New Roman" w:hAnsi="Times New Roman"/>
          <w:sz w:val="28"/>
          <w:szCs w:val="28"/>
          <w:lang w:val="ru-RU"/>
        </w:rPr>
        <w:t xml:space="preserve">дошкільну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освіту</w:t>
      </w:r>
      <w:r>
        <w:rPr>
          <w:rFonts w:ascii="Times New Roman" w:hAnsi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керуючись ст.26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32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Менська міська рада</w:t>
      </w:r>
      <w:r/>
    </w:p>
    <w:p>
      <w:pPr>
        <w:ind w:firstLine="708"/>
        <w:jc w:val="both"/>
        <w:rPr>
          <w:rFonts w:ascii="Times New Roman" w:hAnsi="Times New Roman" w:eastAsia="Times New Roman"/>
          <w:bCs/>
          <w:color w:val="000000"/>
          <w:sz w:val="28"/>
          <w:szCs w:val="27"/>
          <w:lang w:val="uk-UA"/>
        </w:rPr>
      </w:pP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2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«Шкільний автобус» на 2021-202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5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 роки </w:t>
      </w:r>
      <w:r/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(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додається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)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.</w:t>
      </w:r>
      <w:r/>
    </w:p>
    <w:p>
      <w:pPr>
        <w:pStyle w:val="62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Відділу освіти Менської міської ради забезпечити реалізацію зазначеної Програ</w:t>
      </w:r>
      <w:r>
        <w:rPr>
          <w:rFonts w:ascii="Times New Roman" w:hAnsi="Times New Roman"/>
          <w:bCs/>
          <w:sz w:val="28"/>
          <w:szCs w:val="27"/>
          <w:lang w:val="uk-UA" w:eastAsia="ru-RU"/>
        </w:rPr>
        <w:t xml:space="preserve">ми.</w:t>
      </w:r>
      <w:r>
        <w:rPr>
          <w:rFonts w:ascii="Times New Roman" w:hAnsi="Times New Roman"/>
          <w:sz w:val="28"/>
          <w:lang w:val="uk-UA"/>
        </w:rPr>
      </w:r>
    </w:p>
    <w:p>
      <w:pPr>
        <w:pStyle w:val="62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та заступника міського голови з питань діяльності виконкому Менської міської ради Прищепу В.В.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  <w:tab w:val="left" w:pos="595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ab/>
        <w:t xml:space="preserve">Г.А. Примаков</w:t>
      </w:r>
      <w:r/>
    </w:p>
    <w:p>
      <w:pPr>
        <w:ind w:left="4935"/>
        <w:spacing w:lineRule="auto" w:line="23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lang w:val="uk-UA"/>
        </w:rPr>
        <w:t xml:space="preserve">Додаток до рішення 2 сесії 8 скликання від 22 січня 2021 року №… «Про затвердження </w:t>
      </w:r>
      <w:r/>
    </w:p>
    <w:p>
      <w:pPr>
        <w:ind w:left="4956"/>
        <w:spacing w:lineRule="auto" w:line="23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Програми «Шкільний автобус» на 2021-2025  роки»</w:t>
      </w:r>
      <w:r/>
    </w:p>
    <w:p>
      <w:pPr>
        <w:ind w:left="4248" w:firstLine="708"/>
        <w:spacing w:after="39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3830"/>
        <w:spacing w:lineRule="auto" w:line="259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ПРОГРАМА</w:t>
      </w:r>
      <w:r/>
    </w:p>
    <w:p>
      <w:pPr>
        <w:ind w:left="3120"/>
        <w:spacing w:lineRule="auto" w:line="259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«</w:t>
      </w: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Шкільний</w:t>
      </w: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 автобус»</w:t>
      </w:r>
      <w:r/>
    </w:p>
    <w:p>
      <w:pPr>
        <w:ind w:left="3308"/>
        <w:spacing w:lineRule="auto" w:line="259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на 2021 - 2025 роки</w:t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2021 </w:t>
      </w:r>
      <w:r>
        <w:rPr>
          <w:rFonts w:ascii="Times New Roman" w:hAnsi="Times New Roman"/>
          <w:sz w:val="28"/>
          <w:szCs w:val="28"/>
          <w:lang w:val="ru-RU"/>
        </w:rPr>
        <w:t xml:space="preserve">рік</w:t>
      </w:r>
      <w:r/>
    </w:p>
    <w:p>
      <w:pPr>
        <w:ind w:left="43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07"/>
        <w:ind w:left="10"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ЗМІСТ</w:t>
      </w:r>
      <w:r/>
    </w:p>
    <w:p>
      <w:pPr>
        <w:ind w:left="1649"/>
        <w:spacing w:lineRule="auto" w:line="259" w:after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«Шкільний автобус» на 2021-2025 роки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Паспорт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рограми.................................................................................................3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I. Загальні положення ..............................................................................4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II. Визначення проблеми, на розв’язання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якої спрямована Програма...................................................................................4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III. Визначення мети Програми...............................................................4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IV. Шляхи і засоби розв’язання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проблеми, на які спрямована Програма. Напрямок її діяльності...................5</w:t>
      </w:r>
      <w:r/>
    </w:p>
    <w:p>
      <w:pPr>
        <w:ind w:left="-5" w:right="79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>
        <w:rPr>
          <w:rFonts w:ascii="Times New Roman" w:hAnsi="Times New Roman"/>
          <w:sz w:val="28"/>
          <w:szCs w:val="28"/>
          <w:lang w:val="uk-UA"/>
        </w:rPr>
        <w:t xml:space="preserve">Обгрунтування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шляхів і засобів розв’язання проблеми............................5 4.2. Напрямки діяльності Програми...................................................................6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V. Обсяги та джерела фінансування Програми, строки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етапи її виконання............................................................................................6</w:t>
      </w:r>
      <w:r/>
    </w:p>
    <w:p>
      <w:pPr>
        <w:ind w:left="-5" w:right="79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Обсяги та джерела фінансування Програми...............................................6 5.2. Строки та етапи виконання Програми......................................................7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VI. Перелік завдань і заходів Програми та її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результативні показники......................................................................................7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6.1.Основні завдання Програми..........................................................................7</w:t>
      </w:r>
      <w:r/>
    </w:p>
    <w:p>
      <w:pPr>
        <w:ind w:left="-5" w:right="79"/>
        <w:spacing w:after="3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6.2.Перелік основних заходів щодо виконання Програми...............................8 6.3. Результативні показники Програми............................................................9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VII. Координація та контроль за ходом виконання Програми.............10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 Інформація щодо організації підвозу учнів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педагогічних працівників до місць навчання та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роботи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міської територіальної громади .......</w:t>
      </w:r>
      <w:r>
        <w:rPr>
          <w:rFonts w:ascii="Times New Roman" w:hAnsi="Times New Roman"/>
          <w:sz w:val="28"/>
          <w:szCs w:val="28"/>
          <w:lang w:val="uk-UA"/>
        </w:rPr>
        <w:t xml:space="preserve">......................................11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2. Ресурсне забезпечення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 «Шкільний автобус» на 2021-2025 роки..........................................12 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</w:t>
      </w:r>
      <w:r/>
    </w:p>
    <w:p>
      <w:pPr>
        <w:ind w:left="-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«Шкільний автобус» на 2021-2025 роки</w:t>
      </w:r>
      <w:r/>
    </w:p>
    <w:tbl>
      <w:tblPr>
        <w:tblStyle w:val="642"/>
        <w:tblW w:w="9720" w:type="dxa"/>
        <w:tblInd w:w="-41" w:type="dxa"/>
        <w:tblCellMar>
          <w:left w:w="108" w:type="dxa"/>
          <w:top w:w="68" w:type="dxa"/>
          <w:right w:w="108" w:type="dxa"/>
          <w:bottom w:w="1" w:type="dxa"/>
        </w:tblCellMar>
        <w:tblLook w:val="04A0" w:firstRow="1" w:lastRow="0" w:firstColumn="1" w:lastColumn="0" w:noHBand="0" w:noVBand="1"/>
      </w:tblPr>
      <w:tblGrid>
        <w:gridCol w:w="720"/>
        <w:gridCol w:w="4500"/>
        <w:gridCol w:w="4500"/>
      </w:tblGrid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Ініціатор розроблення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ька міська рада</w:t>
            </w:r>
            <w:r/>
          </w:p>
        </w:tc>
      </w:tr>
      <w:tr>
        <w:trPr>
          <w:trHeight w:val="16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назва документа органу виконавчої влади про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освіту»; Закон України «Про повну загальну середню освіту»;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дошкільну освіту»,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місцеве самоврядування в</w:t>
            </w:r>
            <w:r/>
          </w:p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Україні»</w:t>
            </w:r>
            <w:r/>
          </w:p>
        </w:tc>
      </w:tr>
      <w:tr>
        <w:trPr>
          <w:trHeight w:val="6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міської ради</w:t>
            </w:r>
            <w:r/>
          </w:p>
        </w:tc>
      </w:tr>
      <w:tr>
        <w:trPr>
          <w:trHeight w:val="8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виконавець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міської ради</w:t>
            </w:r>
            <w:r/>
          </w:p>
        </w:tc>
      </w:tr>
      <w:tr>
        <w:trPr>
          <w:trHeight w:val="9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рада, Відділ освіти Менської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заклади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територіальної громади,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Степанівський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міжшкільний навчально-виробничий комбінат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2025</w:t>
            </w:r>
            <w:r/>
          </w:p>
        </w:tc>
      </w:tr>
      <w:tr>
        <w:trPr>
          <w:trHeight w:val="1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орієнтовний обсяг фінансових ресур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сів, необхідних для реалізації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 за рахунок міського бюджету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4 000 000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грн</w:t>
            </w:r>
            <w:r/>
          </w:p>
        </w:tc>
      </w:tr>
    </w:tbl>
    <w:p>
      <w:pPr>
        <w:pStyle w:val="407"/>
        <w:ind w:left="369"/>
        <w:jc w:val="center"/>
        <w:spacing w:after="30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I. Загальні положення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«Шкільний автобус» на 2021-2025 роки (далі - Програма) розроблена відповідно до статей 13.4, 13.5 та 56.2 Закону України «Про освіту», статті 8.5 Закону України «Про повну загальну середню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ст.6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. Відповідними нормативно-правовими актами передбачено забезпечення у сільській місцевості регулярного безоплатного підвезення до місць нав</w:t>
      </w:r>
      <w:r>
        <w:rPr>
          <w:rFonts w:ascii="Times New Roman" w:hAnsi="Times New Roman"/>
          <w:sz w:val="28"/>
          <w:szCs w:val="28"/>
          <w:lang w:val="uk-UA"/>
        </w:rPr>
        <w:t xml:space="preserve">чання і додому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освіти закладів дошкільної, загальної,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(до місця роботи та </w:t>
      </w:r>
      <w:r>
        <w:rPr>
          <w:rFonts w:ascii="Times New Roman" w:hAnsi="Times New Roman"/>
          <w:sz w:val="28"/>
          <w:szCs w:val="28"/>
          <w:lang w:val="uk-UA"/>
        </w:rPr>
        <w:t xml:space="preserve">зворотньому</w:t>
      </w:r>
      <w:r>
        <w:rPr>
          <w:rFonts w:ascii="Times New Roman" w:hAnsi="Times New Roman"/>
          <w:sz w:val="28"/>
          <w:szCs w:val="28"/>
          <w:lang w:val="uk-UA"/>
        </w:rPr>
        <w:t xml:space="preserve"> напрямку).  Крім того, в окремому порядку підвозом можуть забезпечуватись учасники освітнього процесу закладів загальної середньої освіти та позашкільної освіти на олімпіади, спортивні змагання, конкурси, фестивалі, конференції тощо.</w:t>
      </w:r>
      <w:r/>
    </w:p>
    <w:p>
      <w:pPr>
        <w:ind w:left="-15" w:firstLine="709"/>
        <w:jc w:val="both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регулярного безкоштовного підвозу до місць навчання і додому дітей шкільного віку є складовою частиною виконання чинного законодавства щодо забезпечення конституційних прав громадян на якісну освіту.</w:t>
      </w:r>
      <w:r/>
    </w:p>
    <w:p>
      <w:pPr>
        <w:ind w:left="8"/>
        <w:spacing w:lineRule="auto" w:line="259" w:after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II. Визначення проблеми, на розв’язання якої спрямована Програма</w:t>
      </w:r>
      <w:r/>
    </w:p>
    <w:p>
      <w:pPr>
        <w:ind w:left="-15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01.0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міжшкільний навчально-виробничий комбінат переданий </w:t>
      </w:r>
      <w:r>
        <w:rPr>
          <w:rFonts w:ascii="Times New Roman" w:hAnsi="Times New Roman"/>
          <w:sz w:val="28"/>
          <w:szCs w:val="28"/>
          <w:lang w:val="uk-UA"/>
        </w:rPr>
        <w:t xml:space="preserve">із спільної власності сіл, селищ, міста Менського району до власності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громади. Внаслідок проведених змін засновн</w:t>
      </w:r>
      <w:r>
        <w:rPr>
          <w:rFonts w:ascii="Times New Roman" w:hAnsi="Times New Roman"/>
          <w:sz w:val="28"/>
          <w:szCs w:val="28"/>
          <w:lang w:val="uk-UA"/>
        </w:rPr>
        <w:t xml:space="preserve">ик</w:t>
      </w:r>
      <w:r>
        <w:rPr>
          <w:rFonts w:ascii="Times New Roman" w:hAnsi="Times New Roman"/>
          <w:sz w:val="28"/>
          <w:szCs w:val="28"/>
          <w:lang w:val="uk-UA"/>
        </w:rPr>
        <w:t xml:space="preserve">ом закладу є Менська міська </w:t>
      </w:r>
      <w:r>
        <w:rPr>
          <w:rFonts w:ascii="Times New Roman" w:hAnsi="Times New Roman"/>
          <w:sz w:val="28"/>
          <w:szCs w:val="28"/>
          <w:lang w:val="uk-UA"/>
        </w:rPr>
        <w:t xml:space="preserve">рада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left="-15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МНВК забезпечував безперебійне підвезення учнів колишнього Менського району, в тому числі і на території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(далі за текстом – ТГ)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наявних ліцензій та відповідних дозволів.</w:t>
      </w:r>
      <w:r/>
    </w:p>
    <w:p>
      <w:pPr>
        <w:ind w:left="-15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Наразі є потреба організувати підвезення учнів шкіл Менської міської територіальної громади з врахуванням змін, що відбулись у зв'язку з передачею закладу до її комунальної власності .</w:t>
      </w:r>
      <w:r/>
    </w:p>
    <w:p>
      <w:pPr>
        <w:pStyle w:val="648"/>
        <w:ind w:firstLine="685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Крім цього, у разі потреби, за окремими зверненнями інших територіальних громад, </w:t>
      </w:r>
      <w:r>
        <w:rPr>
          <w:sz w:val="28"/>
          <w:szCs w:val="28"/>
        </w:rPr>
        <w:t xml:space="preserve">Степанівським</w:t>
      </w:r>
      <w:r>
        <w:rPr>
          <w:sz w:val="28"/>
          <w:szCs w:val="28"/>
        </w:rPr>
        <w:t xml:space="preserve"> МНВК може бути буде забезпеч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но послугами з організації підвезення учасників о</w:t>
      </w:r>
      <w:r>
        <w:rPr>
          <w:sz w:val="28"/>
          <w:szCs w:val="28"/>
        </w:rPr>
        <w:t xml:space="preserve">світнього процесу  на підставі окремого  Договору про співробітництво територіальних громад. Укладення Договору здійснюється на умовах та в порядку, передбаченому чинним законодавством, зокрема, Законом  України "Про територіальне співробітництво громад". </w:t>
      </w:r>
      <w:r/>
    </w:p>
    <w:p>
      <w:pPr>
        <w:pStyle w:val="648"/>
        <w:ind w:firstLine="685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Враховуючи звернення </w:t>
      </w:r>
      <w:r>
        <w:rPr>
          <w:sz w:val="28"/>
          <w:szCs w:val="28"/>
        </w:rPr>
        <w:t xml:space="preserve">Березнянської</w:t>
      </w:r>
      <w:r>
        <w:rPr>
          <w:sz w:val="28"/>
          <w:szCs w:val="28"/>
        </w:rPr>
        <w:t xml:space="preserve"> селищної ради щодо забезпечення послугами з підвезення учасників освітнього процесу, що проживають на території </w:t>
      </w:r>
      <w:r>
        <w:rPr>
          <w:sz w:val="28"/>
          <w:szCs w:val="28"/>
        </w:rPr>
        <w:t xml:space="preserve">Березнянської</w:t>
      </w:r>
      <w:r>
        <w:rPr>
          <w:sz w:val="28"/>
          <w:szCs w:val="28"/>
        </w:rPr>
        <w:t xml:space="preserve"> селищної територіальної громади, надання можливостей учням старших класів здобувати профільну та професійну освіту, оволодівати спецкурсами та курсами за вибором технологічного напрямку, розроблено відповідні </w:t>
      </w:r>
      <w:r>
        <w:rPr>
          <w:sz w:val="28"/>
          <w:szCs w:val="28"/>
        </w:rPr>
        <w:t xml:space="preserve">Паспорти </w:t>
      </w:r>
      <w:r>
        <w:rPr>
          <w:sz w:val="28"/>
          <w:szCs w:val="28"/>
        </w:rPr>
        <w:t xml:space="preserve">автобусних </w:t>
      </w:r>
      <w:r>
        <w:rPr>
          <w:sz w:val="28"/>
          <w:szCs w:val="28"/>
        </w:rPr>
        <w:t xml:space="preserve">маршрутів</w:t>
      </w:r>
      <w:r>
        <w:rPr>
          <w:sz w:val="28"/>
          <w:szCs w:val="28"/>
        </w:rPr>
        <w:t xml:space="preserve"> з перевезення (що додаються до Програми).</w:t>
      </w:r>
      <w:r/>
    </w:p>
    <w:p>
      <w:pPr>
        <w:pStyle w:val="648"/>
        <w:ind w:firstLine="685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Інші нерегулярні перевезення здійснюються на умовах окремо визначених Менською міською радою у відповідності до затверджених тарифів.</w:t>
      </w:r>
      <w:r/>
    </w:p>
    <w:p>
      <w:pPr>
        <w:pStyle w:val="648"/>
        <w:ind w:firstLine="685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Степанівський</w:t>
      </w:r>
      <w:r>
        <w:rPr>
          <w:sz w:val="28"/>
          <w:szCs w:val="28"/>
        </w:rPr>
        <w:t xml:space="preserve"> міжшкільний навчально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виробничий комбінат як міжшкільний ресурсний центр має змогу забезпечувати безперебійн</w:t>
      </w:r>
      <w:r>
        <w:rPr>
          <w:sz w:val="28"/>
          <w:szCs w:val="28"/>
        </w:rPr>
        <w:t xml:space="preserve">е підвезення </w:t>
      </w:r>
      <w:r>
        <w:rPr>
          <w:sz w:val="28"/>
          <w:szCs w:val="28"/>
        </w:rPr>
        <w:t xml:space="preserve"> учасників освітнього процесу. </w:t>
      </w:r>
      <w:r>
        <w:rPr>
          <w:sz w:val="28"/>
          <w:szCs w:val="28"/>
        </w:rPr>
        <w:t xml:space="preserve">На балансі  МНВК є транспорт, що дозволяє забезпечити </w:t>
      </w:r>
      <w:r>
        <w:rPr>
          <w:sz w:val="28"/>
          <w:szCs w:val="28"/>
        </w:rPr>
        <w:t xml:space="preserve">такий </w:t>
      </w:r>
      <w:r>
        <w:rPr>
          <w:sz w:val="28"/>
          <w:szCs w:val="28"/>
        </w:rPr>
        <w:t xml:space="preserve">підвіз для </w:t>
      </w:r>
      <w:r>
        <w:rPr>
          <w:sz w:val="28"/>
          <w:szCs w:val="28"/>
        </w:rPr>
        <w:t xml:space="preserve">284</w:t>
      </w:r>
      <w:r>
        <w:rPr>
          <w:sz w:val="28"/>
          <w:szCs w:val="28"/>
        </w:rPr>
        <w:t xml:space="preserve"> учнів сільської місцевості, які проживають за межею пішохідної доступності. Для підвозу </w:t>
      </w:r>
      <w:r>
        <w:rPr>
          <w:sz w:val="28"/>
          <w:szCs w:val="28"/>
        </w:rPr>
        <w:t xml:space="preserve">може бути </w:t>
      </w:r>
      <w:r>
        <w:rPr>
          <w:sz w:val="28"/>
          <w:szCs w:val="28"/>
        </w:rPr>
        <w:t xml:space="preserve">задіяно 12 транспортн</w:t>
      </w:r>
      <w:r>
        <w:rPr>
          <w:sz w:val="28"/>
          <w:szCs w:val="28"/>
        </w:rPr>
        <w:t xml:space="preserve">их одиниць</w:t>
      </w:r>
      <w:r>
        <w:rPr>
          <w:sz w:val="28"/>
          <w:szCs w:val="28"/>
        </w:rPr>
        <w:t xml:space="preserve">, з них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шкільни</w:t>
      </w:r>
      <w:r>
        <w:rPr>
          <w:sz w:val="28"/>
          <w:szCs w:val="28"/>
        </w:rPr>
        <w:t xml:space="preserve">х автобусів</w:t>
      </w:r>
      <w:r>
        <w:rPr>
          <w:sz w:val="28"/>
          <w:szCs w:val="28"/>
        </w:rPr>
        <w:t xml:space="preserve">. П’ять шкільних автобусів з терміном </w:t>
      </w:r>
      <w:r>
        <w:rPr>
          <w:sz w:val="28"/>
          <w:szCs w:val="28"/>
        </w:rPr>
        <w:t xml:space="preserve">експлуатації від 12 до 19 років потребують заміни. Один автобус мобілізований в зону АТО.</w:t>
      </w:r>
      <w:r/>
    </w:p>
    <w:p>
      <w:pPr>
        <w:ind w:left="-1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щодо стану шкільних автобусів та маршрутів підвозу, які використовуються для підвезення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станом на </w:t>
      </w:r>
      <w:r>
        <w:rPr>
          <w:rFonts w:ascii="Times New Roman" w:hAnsi="Times New Roman"/>
          <w:sz w:val="28"/>
          <w:szCs w:val="28"/>
          <w:lang w:val="uk-UA"/>
        </w:rPr>
        <w:t xml:space="preserve">01.01.2021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наведена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додатку 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(Паспорт автобусного маршруту)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ind w:left="-1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розвантаження маршрутів шкільного автобуса, оновлення автопарку та з метою ефективного комплектування мережі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</w:t>
      </w:r>
      <w:r>
        <w:rPr>
          <w:rFonts w:ascii="Times New Roman" w:hAnsi="Times New Roman"/>
          <w:sz w:val="28"/>
          <w:szCs w:val="28"/>
          <w:lang w:val="uk-UA"/>
        </w:rPr>
        <w:t xml:space="preserve">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на перспективу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додатково 2 шкільних автобуса.</w:t>
      </w:r>
      <w:r/>
    </w:p>
    <w:p>
      <w:pPr>
        <w:pStyle w:val="407"/>
        <w:ind w:left="10" w:right="1"/>
        <w:jc w:val="center"/>
        <w:spacing w:after="30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III. Визначення мети Програми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є :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реалізація положень статей 13.</w:t>
      </w:r>
      <w:r>
        <w:rPr>
          <w:rFonts w:ascii="Times New Roman" w:hAnsi="Times New Roman"/>
          <w:sz w:val="28"/>
          <w:szCs w:val="28"/>
          <w:lang w:val="uk-UA"/>
        </w:rPr>
        <w:t xml:space="preserve">4, 13.5 та 56.2 Закону України «Про освіту», статті 8.5 Закону 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повну загальну середню 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ст.6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статті 32 Закону 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щодо забезпечення у сільській місцевості регулярного безоплатного підвезення до місць навчання і додому учнів та педагогічних працівників;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рівних можливостей для всіх громадян, які проживають і постійно працюють у сільській місцевості, у задоволенні соціальних та культурно-освітніх потреб;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раціональне використання кадрового потенціалу педагогічних працівни</w:t>
      </w:r>
      <w:r>
        <w:rPr>
          <w:rFonts w:ascii="Times New Roman" w:hAnsi="Times New Roman"/>
          <w:sz w:val="28"/>
          <w:szCs w:val="28"/>
          <w:lang w:val="uk-UA"/>
        </w:rPr>
        <w:t xml:space="preserve">ків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сільській місцевості;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належної соціальної інфраструктури села;  </w:t>
      </w:r>
      <w:r/>
    </w:p>
    <w:p>
      <w:pPr>
        <w:jc w:val="both"/>
        <w:spacing w:after="2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співпраця з іншими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територіальними громадами</w:t>
      </w:r>
      <w:r>
        <w:rPr>
          <w:rFonts w:ascii="Times New Roman" w:hAnsi="Times New Roman"/>
          <w:sz w:val="28"/>
          <w:szCs w:val="28"/>
          <w:lang w:val="uk-UA"/>
        </w:rPr>
        <w:t xml:space="preserve"> по підвезенню учнів.</w:t>
      </w:r>
      <w:r/>
    </w:p>
    <w:p>
      <w:pPr>
        <w:ind w:left="10"/>
        <w:jc w:val="center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IV. Шляхи і засоби розв’язання проблеми, на які спрямована Програма. Напрямок її діяльності.</w:t>
      </w:r>
      <w:r/>
    </w:p>
    <w:p>
      <w:pPr>
        <w:ind w:left="-5"/>
        <w:jc w:val="both"/>
        <w:spacing w:after="1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>
        <w:rPr>
          <w:rFonts w:ascii="Times New Roman" w:hAnsi="Times New Roman"/>
          <w:sz w:val="28"/>
          <w:szCs w:val="28"/>
          <w:lang w:val="uk-UA"/>
        </w:rPr>
        <w:t xml:space="preserve">Обгрунтування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шляхів і засобів розв’язання проблеми.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демографічними змінами значно зросла кількість малокомплектних шкіл різних ступенів у мережі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що викликає необхідність їх реорганізації і навіть закриття.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охоплення навчанням усіх дітей шкільного віку, поліпшення керованості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процесом, удосконалення використання навчально-матеріальної бази шкіл, забезпечення висококваліфікованими кадрами, ефективного використання фінансових ресурсів пропону</w:t>
      </w:r>
      <w:r>
        <w:rPr>
          <w:rFonts w:ascii="Times New Roman" w:hAnsi="Times New Roman"/>
          <w:sz w:val="28"/>
          <w:szCs w:val="28"/>
          <w:lang w:val="uk-UA"/>
        </w:rPr>
        <w:t xml:space="preserve">ється організувати в Менській ТГ та на замовлення маршрутів підвозу учнів з віддалених населених пунктів до опорних шкіл. Кожен маршрут оснащується транспортним засобом відповідної марки залежно від кількості дітей, які потребують підвозу, організовується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супроводження учнів. </w:t>
      </w:r>
      <w:r/>
    </w:p>
    <w:p>
      <w:pPr>
        <w:ind w:firstLine="694"/>
        <w:jc w:val="both"/>
        <w:spacing w:lineRule="auto" w:line="252" w:after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Розпорядженням міського голови від 08 вересня 2020 року №233 «Про затвердження мережі закладів загальної середньої освіти Менської міської об'єднаної територіальної громади на 2020-2021 </w:t>
      </w:r>
      <w:r>
        <w:rPr>
          <w:rFonts w:ascii="Times New Roman" w:hAnsi="Times New Roman"/>
          <w:sz w:val="28"/>
          <w:szCs w:val="28"/>
          <w:lang w:val="uk-UA"/>
        </w:rPr>
        <w:t xml:space="preserve">н.р</w:t>
      </w:r>
      <w:r>
        <w:rPr>
          <w:rFonts w:ascii="Times New Roman" w:hAnsi="Times New Roman"/>
          <w:sz w:val="28"/>
          <w:szCs w:val="28"/>
          <w:lang w:val="uk-UA"/>
        </w:rPr>
        <w:t xml:space="preserve">.» затверджено мережу закладів освіти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до складу якої увійшли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два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порн</w:t>
      </w:r>
      <w:r>
        <w:rPr>
          <w:rFonts w:ascii="Times New Roman" w:hAnsi="Times New Roman"/>
          <w:sz w:val="28"/>
          <w:szCs w:val="28"/>
          <w:lang w:val="uk-UA"/>
        </w:rPr>
        <w:t xml:space="preserve">і заклади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до яких першочергово здійснюється підвіз учнів з віддалених населених пунктів. Підвіз забезпечує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міжшкільн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навчально-виробнич</w:t>
      </w:r>
      <w:r>
        <w:rPr>
          <w:rFonts w:ascii="Times New Roman" w:hAnsi="Times New Roman"/>
          <w:sz w:val="28"/>
          <w:szCs w:val="28"/>
          <w:lang w:val="uk-UA"/>
        </w:rPr>
        <w:t xml:space="preserve">ий комбінат як  Міжшкільний ресурсний центр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694"/>
        <w:jc w:val="both"/>
        <w:spacing w:lineRule="auto" w:line="252" w:after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аршрутами </w:t>
      </w:r>
      <w:r>
        <w:rPr>
          <w:rFonts w:ascii="Times New Roman" w:hAnsi="Times New Roman"/>
          <w:sz w:val="28"/>
          <w:szCs w:val="28"/>
          <w:lang w:val="uk-UA"/>
        </w:rPr>
        <w:t xml:space="preserve"> закріплюються транспортні засоби відповідної марки в залежності від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кількості учнів, що підвозяться,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 визначаються школи, до яких будуть підвозитись учні з навколишніх сіл.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наданні шкільних автобусів беруться до уваги дорожні умови, маршрути та частота їх пересування для того, щоб максимально використовувати транспортні засоби та мінімізувати незручності для учнів (та вчителів), які д</w:t>
      </w:r>
      <w:r>
        <w:rPr>
          <w:rFonts w:ascii="Times New Roman" w:hAnsi="Times New Roman"/>
          <w:sz w:val="28"/>
          <w:szCs w:val="28"/>
          <w:lang w:val="uk-UA"/>
        </w:rPr>
        <w:t xml:space="preserve">обираються до мережі шкіл зі своїх сіл, наявність кваліфікованих водіїв та зростаючі регулярні витрати на підтримку роботи системи шкільних автобусів (наприклад страхування, обов’язковий технічний контроль, вартість палива, утримання транспортних засобів).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Організований підвіз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лише за відповідно затвердженими маршрутами. Транспортні маршрути підвозу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з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місцевості до місць навчання, на роботу та в зворотному напрямі можуть змінюватись у зв’язку із оптимізацією мер</w:t>
      </w:r>
      <w:r>
        <w:rPr>
          <w:rFonts w:ascii="Times New Roman" w:hAnsi="Times New Roman"/>
          <w:sz w:val="28"/>
          <w:szCs w:val="28"/>
          <w:lang w:val="uk-UA"/>
        </w:rPr>
        <w:t xml:space="preserve">ежі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Маршрути руху шкільних автобусів коригуються на початок навчального року </w:t>
      </w:r>
      <w:r>
        <w:rPr>
          <w:rFonts w:ascii="Times New Roman" w:hAnsi="Times New Roman"/>
          <w:sz w:val="28"/>
          <w:szCs w:val="28"/>
          <w:lang w:val="uk-UA"/>
        </w:rPr>
        <w:t xml:space="preserve"> та затверджуються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ради.</w:t>
      </w:r>
      <w:r/>
    </w:p>
    <w:p>
      <w:pPr>
        <w:ind w:left="-15" w:firstLine="709"/>
        <w:jc w:val="both"/>
        <w:spacing w:after="1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більш ефективного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 транспортних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ми освіти можуть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пропозиції та </w:t>
      </w:r>
      <w:r>
        <w:rPr>
          <w:rFonts w:ascii="Times New Roman" w:hAnsi="Times New Roman"/>
          <w:sz w:val="28"/>
          <w:szCs w:val="28"/>
          <w:lang w:val="uk-UA"/>
        </w:rPr>
        <w:t xml:space="preserve"> подаватись на розгляд (затвердження) до Відділу освіти Менської міської ради.</w:t>
      </w:r>
      <w:r/>
    </w:p>
    <w:p>
      <w:pPr>
        <w:ind w:left="-1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раціонального використання автобусів керівництво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повинно забезпечити коригування розкладу уроків та режиму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процесу.</w:t>
      </w:r>
      <w:r/>
    </w:p>
    <w:p>
      <w:pPr>
        <w:ind w:left="-15" w:firstLine="709"/>
        <w:jc w:val="both"/>
        <w:spacing w:after="3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Належна організація підвозу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місцевості, що проживають за межею пішохідної доступності, до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сприятиме проведенню оптимізації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створенню умов для безпеки дітей, збереженню їх здоров’я, ефективному використанню бюджетних коштів, кадрового потенціалу педагогічних працівників, удосконаленню мережі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розширить можливості для гурткової та позакласної роботи.</w:t>
      </w:r>
      <w:r/>
    </w:p>
    <w:p>
      <w:pPr>
        <w:ind w:left="-5"/>
        <w:spacing w:after="30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4.2. Напрямки діяльності Програми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Продовження практики цільового придбання автобусів для підвезення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до місць навчання та роботи та в зворотному напрямку дозволить раціональніше використовувати виділені для цього бюджетні кошти, забезпечити стабільність і організованість перевезень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firstLine="567"/>
        <w:jc w:val="both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перевезення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пл</w:t>
      </w:r>
      <w:r>
        <w:rPr>
          <w:rFonts w:ascii="Times New Roman" w:hAnsi="Times New Roman"/>
          <w:sz w:val="28"/>
          <w:szCs w:val="28"/>
          <w:lang w:val="uk-UA"/>
        </w:rPr>
        <w:t xml:space="preserve">анується здійснювати шляхом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numPr>
          <w:ilvl w:val="0"/>
          <w:numId w:val="7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Цільового використання та належної експлуатації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наявного парку автобусів, придбаних в минулих роках за відповідною державною та місцевою програмами;</w:t>
      </w:r>
      <w:r/>
    </w:p>
    <w:p>
      <w:pPr>
        <w:numPr>
          <w:ilvl w:val="0"/>
          <w:numId w:val="7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шкільних автобусів Менською міською радою для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на умовах конкурсних торгів за рахунок коштів місцевих бюджетів та інших джерел фінансування, не заборонених законодавством, і передачі їх закладам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подальшим оприбуткуванням згідно з вимогами чинного законодавства;</w:t>
      </w:r>
      <w:r/>
    </w:p>
    <w:p>
      <w:pPr>
        <w:numPr>
          <w:ilvl w:val="0"/>
          <w:numId w:val="7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Залучення за кошти спонсорів транспортних засобів;</w:t>
      </w:r>
      <w:r/>
    </w:p>
    <w:p>
      <w:pPr>
        <w:numPr>
          <w:ilvl w:val="0"/>
          <w:numId w:val="7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Укладання договорів з автотранспортними підприємствами, установами,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організаціями усіх форм власності про здійснення організованого підвезення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тому числі підвезення рейсовими автобусами;</w:t>
      </w:r>
      <w:r/>
    </w:p>
    <w:p>
      <w:pPr>
        <w:numPr>
          <w:ilvl w:val="0"/>
          <w:numId w:val="7"/>
        </w:numPr>
        <w:ind w:hanging="360"/>
        <w:jc w:val="both"/>
        <w:spacing w:lineRule="auto" w:line="249" w:after="310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Утримання в належному стані автомобільних доріг за маршрутами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курсування шкільних автобусів.</w:t>
      </w:r>
      <w:r/>
    </w:p>
    <w:p>
      <w:pPr>
        <w:pStyle w:val="407"/>
        <w:ind w:left="10"/>
        <w:jc w:val="center"/>
        <w:spacing w:after="0" w:befor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V. Обсяги та джерела фінансування Програми, </w:t>
      </w:r>
      <w:r/>
    </w:p>
    <w:p>
      <w:pPr>
        <w:pStyle w:val="407"/>
        <w:ind w:left="10"/>
        <w:jc w:val="center"/>
        <w:spacing w:after="0" w:befor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строки та етапи її виконання</w:t>
      </w:r>
      <w:r/>
    </w:p>
    <w:p>
      <w:pPr>
        <w:ind w:left="-5"/>
        <w:spacing w:after="3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Обсяги та джерела фінансування Програми</w:t>
      </w:r>
      <w:r/>
    </w:p>
    <w:p>
      <w:pPr>
        <w:ind w:left="-15" w:firstLine="709"/>
        <w:jc w:val="both"/>
        <w:spacing w:after="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заходів Програми здійснюється за рахунок коштів місцевого бюджету та інших джерел, не заборонених чинним законодавством, виключно для реалізації мети та завдань Програми.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формуванні місцевого бюджету на 2021 та наступні роки обсяги фінансування заходів Програми будуть визначатись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виходячи з реальних можливостей бюджету та можуть коригуватися в залежності від вартості транспортних одиниць на час їх </w:t>
      </w:r>
      <w:r>
        <w:rPr>
          <w:rFonts w:ascii="Times New Roman" w:hAnsi="Times New Roman"/>
          <w:sz w:val="28"/>
          <w:szCs w:val="28"/>
          <w:lang w:val="uk-UA"/>
        </w:rPr>
        <w:t xml:space="preserve">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Прогнозований обсяг видатків, що план</w:t>
      </w:r>
      <w:r>
        <w:rPr>
          <w:rFonts w:ascii="Times New Roman" w:hAnsi="Times New Roman"/>
          <w:sz w:val="28"/>
          <w:szCs w:val="28"/>
          <w:lang w:val="uk-UA"/>
        </w:rPr>
        <w:t xml:space="preserve">ується залучити для реалізації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в частині придбання транспортних засобів, за рахунок місцевого бюджету передбачається у сумі </w:t>
      </w:r>
      <w:r>
        <w:rPr>
          <w:rFonts w:ascii="Times New Roman" w:hAnsi="Times New Roman"/>
          <w:sz w:val="28"/>
          <w:szCs w:val="28"/>
          <w:lang w:val="uk-UA"/>
        </w:rPr>
        <w:t xml:space="preserve">4 000 000 грн </w:t>
      </w:r>
      <w:r>
        <w:rPr>
          <w:rFonts w:ascii="Times New Roman" w:hAnsi="Times New Roman"/>
          <w:sz w:val="28"/>
          <w:szCs w:val="28"/>
          <w:lang w:val="uk-UA"/>
        </w:rPr>
        <w:t xml:space="preserve">(додаток 2</w:t>
      </w:r>
      <w:r>
        <w:rPr>
          <w:rFonts w:ascii="Times New Roman" w:hAnsi="Times New Roman"/>
          <w:sz w:val="28"/>
          <w:szCs w:val="28"/>
          <w:lang w:val="uk-UA"/>
        </w:rPr>
        <w:t xml:space="preserve"> до Програми), з них:</w:t>
      </w:r>
      <w:r/>
    </w:p>
    <w:p>
      <w:pPr>
        <w:ind w:right="2550"/>
        <w:spacing w:lineRule="auto" w:line="245" w:after="3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4000 000 грн,  всього з міського бюджету – 4000 000 грн.</w:t>
      </w:r>
      <w:r/>
    </w:p>
    <w:p>
      <w:pPr>
        <w:ind w:left="-5"/>
        <w:spacing w:after="30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5.2. Строки та етапи виконання Програми</w:t>
      </w:r>
      <w:r/>
    </w:p>
    <w:p>
      <w:pPr>
        <w:ind w:left="-15" w:firstLine="709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буде виконуватись протягом 2021-2025 рр.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left="-15" w:firstLine="709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Виконавцями Програми є :</w:t>
      </w:r>
      <w:r/>
    </w:p>
    <w:p>
      <w:pPr>
        <w:numPr>
          <w:ilvl w:val="0"/>
          <w:numId w:val="8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Менської міської ради;</w:t>
      </w:r>
      <w:r/>
    </w:p>
    <w:p>
      <w:pPr>
        <w:numPr>
          <w:ilvl w:val="0"/>
          <w:numId w:val="8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міжшкільний навчально-виробничий комбінат;</w:t>
      </w:r>
      <w:r/>
    </w:p>
    <w:p>
      <w:pPr>
        <w:numPr>
          <w:ilvl w:val="0"/>
          <w:numId w:val="8"/>
        </w:numPr>
        <w:ind w:hanging="360"/>
        <w:jc w:val="both"/>
        <w:spacing w:lineRule="auto" w:line="249" w:after="306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ТГ.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Управління освіти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у </w:t>
      </w:r>
      <w:r>
        <w:rPr>
          <w:rFonts w:ascii="Times New Roman" w:hAnsi="Times New Roman"/>
          <w:sz w:val="28"/>
          <w:szCs w:val="28"/>
          <w:lang w:val="uk-UA"/>
        </w:rPr>
        <w:t xml:space="preserve">рамках реалізації відповідних державних програм за умови </w:t>
      </w:r>
      <w:r>
        <w:rPr>
          <w:rFonts w:ascii="Times New Roman" w:hAnsi="Times New Roman"/>
          <w:sz w:val="28"/>
          <w:szCs w:val="28"/>
          <w:lang w:val="uk-UA"/>
        </w:rPr>
        <w:t xml:space="preserve">спів фінансуванн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Менською міською радою забезпечує придбання транспортних засобів на умовах конкурсних торгів та передає їх безоплатно міській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в установленому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firstLine="709"/>
        <w:jc w:val="both"/>
        <w:spacing w:after="4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здійснює придбання автобусів для поповнення та оновлення існуючого па</w:t>
      </w:r>
      <w:r>
        <w:rPr>
          <w:rFonts w:ascii="Times New Roman" w:hAnsi="Times New Roman"/>
          <w:sz w:val="28"/>
          <w:szCs w:val="28"/>
          <w:lang w:val="uk-UA"/>
        </w:rPr>
        <w:t xml:space="preserve">рку за кошти місцевих бюджетів </w:t>
      </w:r>
      <w:r>
        <w:rPr>
          <w:rFonts w:ascii="Times New Roman" w:hAnsi="Times New Roman"/>
          <w:sz w:val="28"/>
          <w:szCs w:val="28"/>
          <w:lang w:val="uk-UA"/>
        </w:rPr>
        <w:t xml:space="preserve">при формуванні бюджету у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наступних роках,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з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Степанівським</w:t>
      </w:r>
      <w:r>
        <w:rPr>
          <w:rFonts w:ascii="Times New Roman" w:hAnsi="Times New Roman"/>
          <w:sz w:val="28"/>
          <w:szCs w:val="28"/>
          <w:lang w:val="uk-UA"/>
        </w:rPr>
        <w:t xml:space="preserve"> МНВК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комплекту</w:t>
      </w:r>
      <w:r>
        <w:rPr>
          <w:rFonts w:ascii="Times New Roman" w:hAnsi="Times New Roman"/>
          <w:sz w:val="28"/>
          <w:szCs w:val="28"/>
          <w:lang w:val="uk-UA"/>
        </w:rPr>
        <w:t xml:space="preserve">є кадровий склад водіїв, готує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для зберігання та технічного обслуговування автобусів.</w:t>
      </w:r>
      <w:r/>
    </w:p>
    <w:p>
      <w:pPr>
        <w:ind w:left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VI. Перелік завдань і заходів Програми та її </w:t>
      </w:r>
      <w:r/>
    </w:p>
    <w:p>
      <w:pPr>
        <w:ind w:left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результативні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показники</w:t>
      </w:r>
      <w:r/>
    </w:p>
    <w:p>
      <w:pPr>
        <w:ind w:left="1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6.1.Основними (пріоритетними) завданнями Програми є :</w:t>
      </w:r>
      <w:r/>
    </w:p>
    <w:p>
      <w:pPr>
        <w:numPr>
          <w:ilvl w:val="0"/>
          <w:numId w:val="9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реалізації прав громадян на доступність і безоплатність здобуття якісної та безопла</w:t>
      </w:r>
      <w:r>
        <w:rPr>
          <w:rFonts w:ascii="Times New Roman" w:hAnsi="Times New Roman"/>
          <w:sz w:val="28"/>
          <w:szCs w:val="28"/>
          <w:lang w:val="uk-UA"/>
        </w:rPr>
        <w:t xml:space="preserve">тної загальної середньої освіти;</w:t>
      </w:r>
      <w:r/>
    </w:p>
    <w:p>
      <w:pPr>
        <w:numPr>
          <w:ilvl w:val="0"/>
          <w:numId w:val="9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регулярного та безоплатного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місцевості до місць навчання (у першу чергу до опорних шкіл), на роботу та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зворотному напрямку;</w:t>
      </w:r>
      <w:r/>
    </w:p>
    <w:p>
      <w:pPr>
        <w:numPr>
          <w:ilvl w:val="0"/>
          <w:numId w:val="9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екскурсійного обслуговування учнівської молоді, її участі в конкурсах, спортивних змаганнях, </w:t>
      </w:r>
      <w:r>
        <w:rPr>
          <w:rFonts w:ascii="Times New Roman" w:hAnsi="Times New Roman"/>
          <w:sz w:val="28"/>
          <w:szCs w:val="28"/>
          <w:lang w:val="uk-UA"/>
        </w:rPr>
        <w:t xml:space="preserve">спартакіадах</w:t>
      </w:r>
      <w:r>
        <w:rPr>
          <w:rFonts w:ascii="Times New Roman" w:hAnsi="Times New Roman"/>
          <w:sz w:val="28"/>
          <w:szCs w:val="28"/>
          <w:lang w:val="uk-UA"/>
        </w:rPr>
        <w:t xml:space="preserve">, олімпіадах, фестивалях, заходах міського, обла</w:t>
      </w:r>
      <w:r>
        <w:rPr>
          <w:rFonts w:ascii="Times New Roman" w:hAnsi="Times New Roman"/>
          <w:sz w:val="28"/>
          <w:szCs w:val="28"/>
          <w:lang w:val="uk-UA"/>
        </w:rPr>
        <w:t xml:space="preserve">сного та Всеукраїнського рівнів;</w:t>
      </w:r>
      <w:r/>
    </w:p>
    <w:p>
      <w:pPr>
        <w:numPr>
          <w:ilvl w:val="0"/>
          <w:numId w:val="9"/>
        </w:numPr>
        <w:ind w:hanging="360"/>
        <w:jc w:val="both"/>
        <w:spacing w:lineRule="auto" w:line="249" w:after="56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участі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 в нарадах, семінарах, інших заходах міського, обласного та Всеукраїнського рівнів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9"/>
        </w:numPr>
        <w:ind w:hanging="360"/>
        <w:jc w:val="both"/>
        <w:spacing w:lineRule="auto" w:line="249" w:after="56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оптимізація мережі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сільській місцевості;</w:t>
      </w:r>
      <w:r/>
    </w:p>
    <w:p>
      <w:pPr>
        <w:numPr>
          <w:ilvl w:val="0"/>
          <w:numId w:val="9"/>
        </w:numPr>
        <w:ind w:hanging="360"/>
        <w:jc w:val="both"/>
        <w:spacing w:lineRule="auto" w:line="249" w:after="56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підвезення учнів і колективів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не пов’язаних з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виховним процесом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на замовлення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10"/>
        </w:numPr>
        <w:ind w:hanging="21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2.Основними заходами щодо виконання Програми є :</w:t>
      </w:r>
      <w:r/>
    </w:p>
    <w:tbl>
      <w:tblPr>
        <w:tblStyle w:val="642"/>
        <w:tblW w:w="10868" w:type="dxa"/>
        <w:tblInd w:w="-993" w:type="dxa"/>
        <w:tblCellMar>
          <w:top w:w="68" w:type="dxa"/>
          <w:right w:w="25" w:type="dxa"/>
        </w:tblCellMar>
        <w:tblLook w:val="04A0" w:firstRow="1" w:lastRow="0" w:firstColumn="1" w:lastColumn="0" w:noHBand="0" w:noVBand="1"/>
      </w:tblPr>
      <w:tblGrid>
        <w:gridCol w:w="633"/>
        <w:gridCol w:w="4183"/>
        <w:gridCol w:w="1984"/>
        <w:gridCol w:w="1857"/>
        <w:gridCol w:w="76"/>
        <w:gridCol w:w="2110"/>
        <w:gridCol w:w="25"/>
      </w:tblGrid>
      <w:tr>
        <w:trPr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ind w:left="183"/>
              <w:spacing w:lineRule="auto" w:line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/>
          </w:p>
          <w:p>
            <w:pPr>
              <w:ind w:left="128"/>
              <w:spacing w:lineRule="auto" w:line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left="33"/>
              <w:jc w:val="center"/>
              <w:spacing w:lineRule="auto" w:line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заходу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6"/>
              <w:jc w:val="center"/>
              <w:spacing w:lineRule="auto" w:line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виконання заходу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57" w:type="dxa"/>
            <w:vAlign w:val="center"/>
            <w:textDirection w:val="lrTb"/>
            <w:noWrap w:val="false"/>
          </w:tcPr>
          <w:p>
            <w:pPr>
              <w:ind w:left="107"/>
              <w:jc w:val="center"/>
              <w:spacing w:lineRule="auto" w:line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" w:type="dxa"/>
            <w:textDirection w:val="lrTb"/>
            <w:noWrap w:val="false"/>
          </w:tcPr>
          <w:p>
            <w:pPr>
              <w:spacing w:lineRule="auto" w:line="259"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5" w:type="dxa"/>
            <w:textDirection w:val="lrTb"/>
            <w:noWrap w:val="false"/>
          </w:tcPr>
          <w:p>
            <w:pPr>
              <w:jc w:val="center"/>
              <w:spacing w:lineRule="auto" w:line="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фінансування</w:t>
            </w:r>
            <w:r/>
          </w:p>
          <w:p>
            <w:pPr>
              <w:jc w:val="center"/>
              <w:spacing w:lineRule="auto" w:line="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рахунок місцевого</w:t>
            </w:r>
            <w:r/>
          </w:p>
          <w:p>
            <w:pPr>
              <w:jc w:val="center"/>
              <w:spacing w:lineRule="auto" w:line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бюджету 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textDirection w:val="lrTb"/>
            <w:noWrap w:val="false"/>
          </w:tcPr>
          <w:p>
            <w:pPr>
              <w:ind w:left="108" w:right="92"/>
              <w:spacing w:lineRule="auto" w:line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автобуса за рахунок коштів бюджету міської ради (співфінансування)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поповнення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існуючого парку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10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</w:t>
            </w:r>
            <w:r/>
          </w:p>
          <w:p>
            <w:pPr>
              <w:ind w:left="94" w:right="84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7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1" w:type="dxa"/>
            <w:textDirection w:val="lrTb"/>
            <w:noWrap w:val="false"/>
          </w:tcPr>
          <w:p>
            <w:pPr>
              <w:ind w:left="315" w:hanging="122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</w:t>
            </w:r>
            <w:r/>
          </w:p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</w:t>
            </w:r>
            <w:r/>
          </w:p>
          <w:p>
            <w:pPr>
              <w:ind w:left="556" w:hanging="233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/>
          </w:p>
        </w:tc>
      </w:tr>
      <w:tr>
        <w:trPr>
          <w:trHeight w:val="25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textDirection w:val="lrTb"/>
            <w:noWrap w:val="false"/>
          </w:tcPr>
          <w:p>
            <w:pPr>
              <w:ind w:left="108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Закріплення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Степанівським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МНВК територій обслуговування з урахуванням потреби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рганізації підвезення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учасників освітнього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сільській місцевості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10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</w:t>
            </w:r>
            <w:r/>
          </w:p>
          <w:p>
            <w:pPr>
              <w:ind w:left="94" w:right="84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ind w:left="315" w:hanging="122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</w:t>
            </w:r>
            <w:r/>
          </w:p>
          <w:p>
            <w:pPr>
              <w:ind w:left="-13" w:firstLine="13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</w:t>
            </w:r>
            <w:r/>
          </w:p>
          <w:p>
            <w:pPr>
              <w:ind w:left="556" w:hanging="233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/>
          </w:p>
        </w:tc>
      </w:tr>
      <w:tr>
        <w:trPr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textDirection w:val="lrTb"/>
            <w:noWrap w:val="false"/>
          </w:tcPr>
          <w:p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затвердити транспортні маршрути для перевезення учнів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сільській місцевості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10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</w:t>
            </w:r>
            <w:r/>
          </w:p>
          <w:p>
            <w:pPr>
              <w:ind w:left="94" w:right="84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1" w:type="dxa"/>
            <w:textDirection w:val="lrTb"/>
            <w:noWrap w:val="false"/>
          </w:tcPr>
          <w:p>
            <w:pPr>
              <w:ind w:left="315" w:hanging="122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</w:t>
            </w:r>
            <w:r/>
          </w:p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</w:t>
            </w:r>
            <w:r/>
          </w:p>
          <w:p>
            <w:pPr>
              <w:ind w:left="556" w:hanging="233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/>
          </w:p>
        </w:tc>
      </w:tr>
      <w:tr>
        <w:trPr>
          <w:trHeight w:val="25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textDirection w:val="lrTb"/>
            <w:noWrap w:val="false"/>
          </w:tcPr>
          <w:p>
            <w:pPr>
              <w:ind w:left="108" w:right="111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формуванні місцев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бюджету щорічно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 внесенні змін до бюджетів )</w:t>
            </w:r>
            <w:r/>
          </w:p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фінансування видатків на виконання заходів, необхідних для забезпечення пально-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мастильними матеріалами та безпечної 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сплуатації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10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</w:t>
            </w:r>
            <w:r/>
          </w:p>
          <w:p>
            <w:pPr>
              <w:ind w:left="94" w:right="84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Фінансове управління, відділ</w:t>
            </w:r>
            <w:r/>
          </w:p>
          <w:p>
            <w:pPr>
              <w:ind w:left="70" w:right="52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міської ради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ind w:left="315" w:hanging="122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</w:t>
            </w:r>
            <w:r/>
          </w:p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</w:t>
            </w:r>
            <w:r/>
          </w:p>
          <w:p>
            <w:pPr>
              <w:ind w:left="556" w:hanging="233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/>
          </w:p>
        </w:tc>
      </w:tr>
      <w:tr>
        <w:trPr>
          <w:gridAfter w:val="1"/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textDirection w:val="lrTb"/>
            <w:noWrap w:val="false"/>
          </w:tcPr>
          <w:p>
            <w:pPr>
              <w:ind w:left="108" w:right="672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відповідних місць для розміщення шкільного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(особливо в зимовий час)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25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</w:t>
            </w:r>
            <w:r/>
          </w:p>
          <w:p>
            <w:pPr>
              <w:ind w:left="102" w:right="77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7" w:type="dxa"/>
            <w:vAlign w:val="center"/>
            <w:textDirection w:val="lrTb"/>
            <w:noWrap w:val="false"/>
          </w:tcPr>
          <w:p>
            <w:pPr>
              <w:ind w:left="7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Степанівський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МНВК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ind w:left="96" w:right="71"/>
              <w:jc w:val="center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</w:t>
            </w:r>
            <w:r/>
          </w:p>
          <w:p>
            <w:pPr>
              <w:ind w:left="25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</w:t>
            </w:r>
            <w:r/>
          </w:p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/>
          </w:p>
        </w:tc>
      </w:tr>
      <w:tr>
        <w:trPr>
          <w:gridAfter w:val="1"/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textDirection w:val="lrTb"/>
            <w:noWrap w:val="false"/>
          </w:tcPr>
          <w:p>
            <w:pPr>
              <w:ind w:left="108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контролю за безпекою перевезення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  <w:r/>
          </w:p>
          <w:p>
            <w:pPr>
              <w:ind w:left="-25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25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</w:t>
            </w:r>
            <w:r/>
          </w:p>
          <w:p>
            <w:pPr>
              <w:ind w:left="102" w:right="77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7" w:type="dxa"/>
            <w:textDirection w:val="lrTb"/>
            <w:noWrap w:val="false"/>
          </w:tcPr>
          <w:p>
            <w:pPr>
              <w:jc w:val="center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превентивної</w:t>
            </w:r>
            <w:r/>
          </w:p>
          <w:p>
            <w:pPr>
              <w:ind w:left="25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</w:t>
            </w:r>
            <w:r/>
          </w:p>
          <w:p>
            <w:pPr>
              <w:ind w:left="47" w:right="22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аціональної поліції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ind w:left="96" w:right="71"/>
              <w:jc w:val="center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</w:t>
            </w:r>
            <w:r/>
          </w:p>
          <w:p>
            <w:pPr>
              <w:ind w:left="25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</w:t>
            </w:r>
            <w:r/>
          </w:p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/>
          </w:p>
        </w:tc>
      </w:tr>
      <w:tr>
        <w:trPr>
          <w:gridAfter w:val="1"/>
          <w:trHeight w:val="3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3" w:type="dxa"/>
            <w:textDirection w:val="lrTb"/>
            <w:noWrap w:val="false"/>
          </w:tcPr>
          <w:p>
            <w:pPr>
              <w:ind w:left="108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чинного законодавства введення посад інженера-механіка та медпрацівника по випуску автобусів на лінію та</w:t>
            </w:r>
            <w:r/>
          </w:p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постійного їх контролю, вихователів, які, будуть здійснювати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 дітей до місць 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тощо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25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</w:t>
            </w:r>
            <w:r/>
          </w:p>
          <w:p>
            <w:pPr>
              <w:ind w:left="102" w:right="77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7" w:type="dxa"/>
            <w:vAlign w:val="center"/>
            <w:textDirection w:val="lrTb"/>
            <w:noWrap w:val="false"/>
          </w:tcPr>
          <w:p>
            <w:pPr>
              <w:ind w:left="7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6" w:type="dxa"/>
            <w:vAlign w:val="center"/>
            <w:textDirection w:val="lrTb"/>
            <w:noWrap w:val="false"/>
          </w:tcPr>
          <w:p>
            <w:pPr>
              <w:ind w:left="96" w:right="71"/>
              <w:jc w:val="center"/>
              <w:spacing w:lineRule="auto" w:line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</w:t>
            </w:r>
            <w:r/>
          </w:p>
          <w:p>
            <w:pPr>
              <w:ind w:left="25"/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</w:t>
            </w:r>
            <w:r/>
          </w:p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/>
          </w:p>
        </w:tc>
      </w:tr>
    </w:tbl>
    <w:p>
      <w:pPr>
        <w:ind w:left="-5"/>
        <w:spacing w:after="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Результативні показники :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до 2025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надасть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можливість :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здійснювати і надалі стовідсотковий безперебійний підвіз учнів сільської місцевості в ТГ, які проживають за межею пішохідної доступності;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придбати шкільні автобуси для поповнення та оновлення існуючого пар</w:t>
      </w:r>
      <w:r>
        <w:rPr>
          <w:rFonts w:ascii="Times New Roman" w:hAnsi="Times New Roman"/>
          <w:sz w:val="28"/>
          <w:szCs w:val="28"/>
          <w:lang w:val="uk-UA"/>
        </w:rPr>
        <w:t xml:space="preserve">ку шкільних автобусів з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- (при умові стабільної вартості автотранспортних засобів та виходячи з реальних можливостей бюджету);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соціальний захист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процесу, припинити негативні процеси у соціальній сфері села, досягти позитивних зрушень у забезпеченні життєдіяльності сільського населення;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умови для забезпечення у сільській місцевості регулярного безоплатного перевезення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 та</w:t>
      </w:r>
      <w:r>
        <w:rPr>
          <w:rFonts w:ascii="Times New Roman" w:hAnsi="Times New Roman"/>
          <w:sz w:val="28"/>
          <w:szCs w:val="28"/>
          <w:lang w:val="uk-UA"/>
        </w:rPr>
        <w:t xml:space="preserve"> учнів та педагогічних працівників до місць навчання, роботи і додому;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оптимальну мережу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сільській місцевості;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41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вирішувати відповідні проблеми освіти на більш високому рівні з урахуванням диференціації, індивідуалізації навчання, організації систематичного та якісного контролю за навчальними досягненнями учнів;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поліпшити якість знань учнів, ефективно використовувати наявну матеріально-технічну базу, кадровий потенціал педагогічних працівників, фінансові можливості освітянської галузі в сільській місцевості;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та поліпшити технічний стан автотранспортних засобів за рахунок коштів місцевого бюджету;</w:t>
      </w:r>
      <w:r/>
    </w:p>
    <w:p>
      <w:pPr>
        <w:numPr>
          <w:ilvl w:val="1"/>
          <w:numId w:val="10"/>
        </w:numPr>
        <w:ind w:hanging="360"/>
        <w:jc w:val="both"/>
        <w:spacing w:lineRule="auto" w:line="245" w:after="3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привести у задовільний стан автомобільні дороги за маршрутами роботи шкільних автобусів.</w:t>
      </w:r>
      <w:r/>
    </w:p>
    <w:p>
      <w:pPr>
        <w:pStyle w:val="407"/>
        <w:ind w:left="10" w:right="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VI. Координація та контроль за ходом виконання Програми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Координатором роботи щодо виконання заходів Програми та головним розпорядником коштів міського бюджету, що передбачаються на реалізацію вищезазначених заходів, є відділ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Менської міської ради здійснює моніторинг виконання Програми шляхом планових та оперативних перевірок щодо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 використання автотранспорту, відповідних умов його зберігання та експлуатації, оптимальності затверджених маршрутів.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7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416"/>
    <w:link w:val="419"/>
    <w:uiPriority w:val="99"/>
  </w:style>
  <w:style w:type="character" w:styleId="43">
    <w:name w:val="Footer Char"/>
    <w:basedOn w:val="416"/>
    <w:link w:val="420"/>
    <w:uiPriority w:val="99"/>
  </w:style>
  <w:style w:type="paragraph" w:styleId="406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407">
    <w:name w:val="Heading 1"/>
    <w:basedOn w:val="406"/>
    <w:next w:val="406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06"/>
    <w:next w:val="406"/>
    <w:link w:val="4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paragraph" w:styleId="419">
    <w:name w:val="Header"/>
    <w:basedOn w:val="406"/>
    <w:link w:val="44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20">
    <w:name w:val="Footer"/>
    <w:basedOn w:val="406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21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31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32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35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38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39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40" w:customStyle="1">
    <w:name w:val="Верхній колонтитул Знак1"/>
    <w:basedOn w:val="416"/>
    <w:link w:val="419"/>
    <w:uiPriority w:val="99"/>
  </w:style>
  <w:style w:type="character" w:styleId="441" w:customStyle="1">
    <w:name w:val="Нижній колонтитул Знак1"/>
    <w:basedOn w:val="416"/>
    <w:link w:val="420"/>
    <w:uiPriority w:val="99"/>
  </w:style>
  <w:style w:type="character" w:styleId="442" w:customStyle="1">
    <w:name w:val="Footnote Text Char"/>
    <w:uiPriority w:val="99"/>
    <w:rPr>
      <w:sz w:val="18"/>
    </w:rPr>
  </w:style>
  <w:style w:type="paragraph" w:styleId="443" w:customStyle="1">
    <w:name w:val="Заголовок 11"/>
    <w:basedOn w:val="406"/>
    <w:next w:val="406"/>
    <w:link w:val="609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444" w:customStyle="1">
    <w:name w:val="Заголовок 21"/>
    <w:basedOn w:val="406"/>
    <w:next w:val="406"/>
    <w:link w:val="610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445" w:customStyle="1">
    <w:name w:val="Заголовок 31"/>
    <w:basedOn w:val="406"/>
    <w:next w:val="406"/>
    <w:link w:val="611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46" w:customStyle="1">
    <w:name w:val="Заголовок 41"/>
    <w:basedOn w:val="406"/>
    <w:next w:val="406"/>
    <w:link w:val="612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447" w:customStyle="1">
    <w:name w:val="Заголовок 51"/>
    <w:basedOn w:val="406"/>
    <w:next w:val="406"/>
    <w:link w:val="613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448" w:customStyle="1">
    <w:name w:val="Заголовок 61"/>
    <w:basedOn w:val="406"/>
    <w:next w:val="406"/>
    <w:link w:val="614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449" w:customStyle="1">
    <w:name w:val="Заголовок 71"/>
    <w:basedOn w:val="406"/>
    <w:next w:val="406"/>
    <w:link w:val="615"/>
    <w:qFormat/>
    <w:uiPriority w:val="9"/>
    <w:semiHidden/>
    <w:unhideWhenUsed/>
    <w:pPr>
      <w:spacing w:after="60" w:before="240"/>
      <w:outlineLvl w:val="6"/>
    </w:pPr>
  </w:style>
  <w:style w:type="paragraph" w:styleId="450" w:customStyle="1">
    <w:name w:val="Заголовок 81"/>
    <w:basedOn w:val="406"/>
    <w:next w:val="406"/>
    <w:link w:val="616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451" w:customStyle="1">
    <w:name w:val="Заголовок 91"/>
    <w:basedOn w:val="406"/>
    <w:next w:val="406"/>
    <w:link w:val="617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452" w:customStyle="1">
    <w:name w:val="Заголовок 1 Знак1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53" w:customStyle="1">
    <w:name w:val="Заголовок 2 Знак1"/>
    <w:basedOn w:val="416"/>
    <w:link w:val="408"/>
    <w:uiPriority w:val="9"/>
    <w:rPr>
      <w:rFonts w:ascii="Arial" w:hAnsi="Arial" w:cs="Arial" w:eastAsia="Arial"/>
      <w:sz w:val="34"/>
    </w:rPr>
  </w:style>
  <w:style w:type="character" w:styleId="454" w:customStyle="1">
    <w:name w:val="Заголовок 3 Знак1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55" w:customStyle="1">
    <w:name w:val="Заголовок 4 Знак1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56" w:customStyle="1">
    <w:name w:val="Заголовок 5 Знак1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57" w:customStyle="1">
    <w:name w:val="Заголовок 6 Знак1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58" w:customStyle="1">
    <w:name w:val="Заголовок 7 Знак1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9" w:customStyle="1">
    <w:name w:val="Заголовок 8 Знак1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60" w:customStyle="1">
    <w:name w:val="Заголовок 9 Знак1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461" w:customStyle="1">
    <w:name w:val="Title Char"/>
    <w:basedOn w:val="416"/>
    <w:uiPriority w:val="10"/>
    <w:rPr>
      <w:sz w:val="48"/>
      <w:szCs w:val="48"/>
    </w:rPr>
  </w:style>
  <w:style w:type="character" w:styleId="462" w:customStyle="1">
    <w:name w:val="Subtitle Char"/>
    <w:basedOn w:val="416"/>
    <w:uiPriority w:val="11"/>
    <w:rPr>
      <w:sz w:val="24"/>
      <w:szCs w:val="24"/>
    </w:rPr>
  </w:style>
  <w:style w:type="character" w:styleId="463" w:customStyle="1">
    <w:name w:val="Quote Char"/>
    <w:uiPriority w:val="29"/>
    <w:rPr>
      <w:i/>
    </w:rPr>
  </w:style>
  <w:style w:type="character" w:styleId="464" w:customStyle="1">
    <w:name w:val="Intense Quote Char"/>
    <w:uiPriority w:val="30"/>
    <w:rPr>
      <w:i/>
    </w:rPr>
  </w:style>
  <w:style w:type="paragraph" w:styleId="465" w:customStyle="1">
    <w:name w:val="Верхній колонтитул1"/>
    <w:basedOn w:val="406"/>
    <w:link w:val="4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6" w:customStyle="1">
    <w:name w:val="Верхній колонтитул Знак"/>
    <w:basedOn w:val="416"/>
    <w:link w:val="465"/>
    <w:uiPriority w:val="99"/>
  </w:style>
  <w:style w:type="paragraph" w:styleId="467" w:customStyle="1">
    <w:name w:val="Нижній колонтитул1"/>
    <w:basedOn w:val="406"/>
    <w:link w:val="4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8" w:customStyle="1">
    <w:name w:val="Нижній колонтитул Знак"/>
    <w:basedOn w:val="416"/>
    <w:link w:val="467"/>
    <w:uiPriority w:val="99"/>
  </w:style>
  <w:style w:type="table" w:styleId="469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0" w:customStyle="1">
    <w:name w:val="Звичайна таблиця 1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 w:customStyle="1">
    <w:name w:val="Звичайна таблиця 21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 w:customStyle="1">
    <w:name w:val="Звичайна таблиця 3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3" w:customStyle="1">
    <w:name w:val="Звичайна таблиця 4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Звичайна таблиця 5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5" w:customStyle="1">
    <w:name w:val="Таблиця-сітка 1 (світл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Таблиця-сітка 2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я-сітка 3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Таблиця-сітка 4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7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8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9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00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01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02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3" w:customStyle="1">
    <w:name w:val="Таблиця-сітка 5 (темн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10" w:customStyle="1">
    <w:name w:val="Таблиця-сітка 6 (кольоров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1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12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3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4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5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6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7" w:customStyle="1">
    <w:name w:val="Таблиця-сітка 7 (кольоров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Таблиця-список 1 (світлий)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Таблиця-список 2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2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3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4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5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6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7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8" w:customStyle="1">
    <w:name w:val="Таблиця-список 3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Таблиця-список 4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Таблиця-список 5 (темний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Таблиця-список 6 (кольоровий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0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61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62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3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4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5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6" w:customStyle="1">
    <w:name w:val="Таблиця-список 7 (кольоровий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7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8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9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2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3" w:customStyle="1">
    <w:name w:val="Lined - Accent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Lined - Accent 1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Lined - Accent 2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Lined - Accent 3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Lined - Accent 4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Lined - Accent 5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Lined - Accent 6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 &amp; Lined - Accent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1" w:customStyle="1">
    <w:name w:val="Bordered &amp; Lined - Accent 1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2" w:customStyle="1">
    <w:name w:val="Bordered &amp; Lined - Accent 2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3" w:customStyle="1">
    <w:name w:val="Bordered &amp; Lined - Accent 3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4" w:customStyle="1">
    <w:name w:val="Bordered &amp; Lined - Accent 4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5" w:customStyle="1">
    <w:name w:val="Bordered &amp; Lined - Accent 5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6" w:customStyle="1">
    <w:name w:val="Bordered &amp; Lined - Accent 6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7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8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9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90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91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92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3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4">
    <w:name w:val="Hyperlink"/>
    <w:uiPriority w:val="99"/>
    <w:unhideWhenUsed/>
    <w:rPr>
      <w:color w:val="0000FF" w:themeColor="hyperlink"/>
      <w:u w:val="single"/>
    </w:rPr>
  </w:style>
  <w:style w:type="paragraph" w:styleId="595">
    <w:name w:val="footnote text"/>
    <w:basedOn w:val="406"/>
    <w:link w:val="596"/>
    <w:uiPriority w:val="99"/>
    <w:semiHidden/>
    <w:unhideWhenUsed/>
    <w:rPr>
      <w:sz w:val="18"/>
    </w:rPr>
    <w:pPr>
      <w:spacing w:after="40"/>
    </w:pPr>
  </w:style>
  <w:style w:type="character" w:styleId="596" w:customStyle="1">
    <w:name w:val="Текст виноски Знак"/>
    <w:link w:val="595"/>
    <w:uiPriority w:val="99"/>
    <w:rPr>
      <w:sz w:val="18"/>
    </w:rPr>
  </w:style>
  <w:style w:type="character" w:styleId="597">
    <w:name w:val="footnote reference"/>
    <w:basedOn w:val="416"/>
    <w:uiPriority w:val="99"/>
    <w:unhideWhenUsed/>
    <w:rPr>
      <w:vertAlign w:val="superscript"/>
    </w:rPr>
  </w:style>
  <w:style w:type="paragraph" w:styleId="598">
    <w:name w:val="toc 1"/>
    <w:basedOn w:val="406"/>
    <w:next w:val="406"/>
    <w:uiPriority w:val="39"/>
    <w:unhideWhenUsed/>
    <w:pPr>
      <w:spacing w:after="57"/>
    </w:pPr>
  </w:style>
  <w:style w:type="paragraph" w:styleId="599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600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601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602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603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604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605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606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607">
    <w:name w:val="Balloon Text"/>
    <w:basedOn w:val="406"/>
    <w:link w:val="608"/>
    <w:uiPriority w:val="99"/>
    <w:semiHidden/>
    <w:unhideWhenUsed/>
    <w:rPr>
      <w:rFonts w:ascii="Tahoma" w:hAnsi="Tahoma" w:cs="Tahoma"/>
      <w:sz w:val="16"/>
      <w:szCs w:val="16"/>
    </w:rPr>
  </w:style>
  <w:style w:type="character" w:styleId="608" w:customStyle="1">
    <w:name w:val="Текст у виносці Знак"/>
    <w:basedOn w:val="416"/>
    <w:link w:val="607"/>
    <w:uiPriority w:val="99"/>
    <w:semiHidden/>
    <w:rPr>
      <w:rFonts w:ascii="Tahoma" w:hAnsi="Tahoma" w:cs="Tahoma"/>
      <w:sz w:val="16"/>
      <w:szCs w:val="16"/>
    </w:rPr>
  </w:style>
  <w:style w:type="character" w:styleId="609" w:customStyle="1">
    <w:name w:val="Заголовок 1 Знак"/>
    <w:basedOn w:val="416"/>
    <w:link w:val="443"/>
    <w:uiPriority w:val="9"/>
    <w:rPr>
      <w:rFonts w:ascii="Cambria" w:hAnsi="Cambria" w:eastAsia="Cambria"/>
      <w:b/>
      <w:bCs/>
      <w:sz w:val="32"/>
      <w:szCs w:val="32"/>
    </w:rPr>
  </w:style>
  <w:style w:type="character" w:styleId="610" w:customStyle="1">
    <w:name w:val="Заголовок 2 Знак"/>
    <w:basedOn w:val="416"/>
    <w:link w:val="444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611" w:customStyle="1">
    <w:name w:val="Заголовок 3 Знак"/>
    <w:basedOn w:val="416"/>
    <w:link w:val="445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612" w:customStyle="1">
    <w:name w:val="Заголовок 4 Знак"/>
    <w:basedOn w:val="416"/>
    <w:link w:val="446"/>
    <w:uiPriority w:val="9"/>
    <w:rPr>
      <w:b/>
      <w:bCs/>
      <w:sz w:val="28"/>
      <w:szCs w:val="28"/>
    </w:rPr>
  </w:style>
  <w:style w:type="character" w:styleId="613" w:customStyle="1">
    <w:name w:val="Заголовок 5 Знак"/>
    <w:basedOn w:val="416"/>
    <w:link w:val="447"/>
    <w:uiPriority w:val="9"/>
    <w:semiHidden/>
    <w:rPr>
      <w:b/>
      <w:bCs/>
      <w:i/>
      <w:iCs/>
      <w:sz w:val="26"/>
      <w:szCs w:val="26"/>
    </w:rPr>
  </w:style>
  <w:style w:type="character" w:styleId="614" w:customStyle="1">
    <w:name w:val="Заголовок 6 Знак"/>
    <w:basedOn w:val="416"/>
    <w:link w:val="448"/>
    <w:uiPriority w:val="9"/>
    <w:semiHidden/>
    <w:rPr>
      <w:b/>
      <w:bCs/>
    </w:rPr>
  </w:style>
  <w:style w:type="character" w:styleId="615" w:customStyle="1">
    <w:name w:val="Заголовок 7 Знак"/>
    <w:basedOn w:val="416"/>
    <w:link w:val="449"/>
    <w:uiPriority w:val="9"/>
    <w:semiHidden/>
    <w:rPr>
      <w:sz w:val="24"/>
      <w:szCs w:val="24"/>
    </w:rPr>
  </w:style>
  <w:style w:type="character" w:styleId="616" w:customStyle="1">
    <w:name w:val="Заголовок 8 Знак"/>
    <w:basedOn w:val="416"/>
    <w:link w:val="450"/>
    <w:uiPriority w:val="9"/>
    <w:semiHidden/>
    <w:rPr>
      <w:i/>
      <w:iCs/>
      <w:sz w:val="24"/>
      <w:szCs w:val="24"/>
    </w:rPr>
  </w:style>
  <w:style w:type="character" w:styleId="617" w:customStyle="1">
    <w:name w:val="Заголовок 9 Знак"/>
    <w:basedOn w:val="416"/>
    <w:link w:val="451"/>
    <w:uiPriority w:val="9"/>
    <w:semiHidden/>
    <w:rPr>
      <w:rFonts w:ascii="Cambria" w:hAnsi="Cambria" w:eastAsia="Cambria"/>
    </w:rPr>
  </w:style>
  <w:style w:type="paragraph" w:styleId="618">
    <w:name w:val="Title"/>
    <w:basedOn w:val="406"/>
    <w:next w:val="406"/>
    <w:link w:val="619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619" w:customStyle="1">
    <w:name w:val="Назва Знак"/>
    <w:basedOn w:val="416"/>
    <w:link w:val="618"/>
    <w:uiPriority w:val="10"/>
    <w:rPr>
      <w:rFonts w:ascii="Cambria" w:hAnsi="Cambria" w:eastAsia="Cambria"/>
      <w:b/>
      <w:bCs/>
      <w:sz w:val="32"/>
      <w:szCs w:val="32"/>
    </w:rPr>
  </w:style>
  <w:style w:type="paragraph" w:styleId="620">
    <w:name w:val="Subtitle"/>
    <w:basedOn w:val="406"/>
    <w:next w:val="406"/>
    <w:link w:val="621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621" w:customStyle="1">
    <w:name w:val="Підзаголовок Знак"/>
    <w:basedOn w:val="416"/>
    <w:link w:val="620"/>
    <w:uiPriority w:val="11"/>
    <w:rPr>
      <w:rFonts w:ascii="Cambria" w:hAnsi="Cambria" w:eastAsia="Cambria"/>
      <w:sz w:val="24"/>
      <w:szCs w:val="24"/>
    </w:rPr>
  </w:style>
  <w:style w:type="character" w:styleId="622">
    <w:name w:val="Strong"/>
    <w:basedOn w:val="416"/>
    <w:qFormat/>
    <w:uiPriority w:val="22"/>
    <w:rPr>
      <w:b/>
      <w:bCs/>
    </w:rPr>
  </w:style>
  <w:style w:type="character" w:styleId="623">
    <w:name w:val="Emphasis"/>
    <w:basedOn w:val="416"/>
    <w:qFormat/>
    <w:uiPriority w:val="20"/>
    <w:rPr>
      <w:rFonts w:ascii="Calibri" w:hAnsi="Calibri"/>
      <w:b/>
      <w:i/>
      <w:iCs/>
    </w:rPr>
  </w:style>
  <w:style w:type="paragraph" w:styleId="624">
    <w:name w:val="No Spacing"/>
    <w:basedOn w:val="406"/>
    <w:qFormat/>
    <w:uiPriority w:val="1"/>
    <w:rPr>
      <w:szCs w:val="32"/>
    </w:rPr>
  </w:style>
  <w:style w:type="paragraph" w:styleId="625">
    <w:name w:val="List Paragraph"/>
    <w:basedOn w:val="406"/>
    <w:link w:val="639"/>
    <w:qFormat/>
    <w:uiPriority w:val="34"/>
    <w:pPr>
      <w:contextualSpacing w:val="true"/>
      <w:ind w:left="720"/>
    </w:pPr>
  </w:style>
  <w:style w:type="paragraph" w:styleId="626">
    <w:name w:val="Quote"/>
    <w:basedOn w:val="406"/>
    <w:next w:val="406"/>
    <w:link w:val="627"/>
    <w:qFormat/>
    <w:uiPriority w:val="29"/>
    <w:rPr>
      <w:i/>
    </w:rPr>
  </w:style>
  <w:style w:type="character" w:styleId="627" w:customStyle="1">
    <w:name w:val="Цитата Знак"/>
    <w:basedOn w:val="416"/>
    <w:link w:val="626"/>
    <w:uiPriority w:val="29"/>
    <w:rPr>
      <w:i/>
      <w:sz w:val="24"/>
      <w:szCs w:val="24"/>
    </w:rPr>
  </w:style>
  <w:style w:type="paragraph" w:styleId="628">
    <w:name w:val="Intense Quote"/>
    <w:basedOn w:val="406"/>
    <w:next w:val="406"/>
    <w:link w:val="629"/>
    <w:qFormat/>
    <w:uiPriority w:val="30"/>
    <w:rPr>
      <w:b/>
      <w:i/>
      <w:szCs w:val="22"/>
    </w:rPr>
    <w:pPr>
      <w:ind w:left="720" w:right="720"/>
    </w:pPr>
  </w:style>
  <w:style w:type="character" w:styleId="629" w:customStyle="1">
    <w:name w:val="Насичена цитата Знак"/>
    <w:basedOn w:val="416"/>
    <w:link w:val="628"/>
    <w:uiPriority w:val="30"/>
    <w:rPr>
      <w:b/>
      <w:i/>
      <w:sz w:val="24"/>
    </w:rPr>
  </w:style>
  <w:style w:type="character" w:styleId="630">
    <w:name w:val="Subtle Emphasis"/>
    <w:qFormat/>
    <w:uiPriority w:val="19"/>
    <w:rPr>
      <w:i/>
      <w:color w:val="5A5A5A" w:themeColor="text1" w:themeTint="A5"/>
    </w:rPr>
  </w:style>
  <w:style w:type="character" w:styleId="631">
    <w:name w:val="Intense Emphasis"/>
    <w:basedOn w:val="416"/>
    <w:qFormat/>
    <w:uiPriority w:val="21"/>
    <w:rPr>
      <w:b/>
      <w:i/>
      <w:sz w:val="24"/>
      <w:szCs w:val="24"/>
      <w:u w:val="single"/>
    </w:rPr>
  </w:style>
  <w:style w:type="character" w:styleId="632">
    <w:name w:val="Subtle Reference"/>
    <w:basedOn w:val="416"/>
    <w:qFormat/>
    <w:uiPriority w:val="31"/>
    <w:rPr>
      <w:sz w:val="24"/>
      <w:szCs w:val="24"/>
      <w:u w:val="single"/>
    </w:rPr>
  </w:style>
  <w:style w:type="character" w:styleId="633">
    <w:name w:val="Intense Reference"/>
    <w:basedOn w:val="416"/>
    <w:qFormat/>
    <w:uiPriority w:val="32"/>
    <w:rPr>
      <w:b/>
      <w:sz w:val="24"/>
      <w:u w:val="single"/>
    </w:rPr>
  </w:style>
  <w:style w:type="character" w:styleId="634">
    <w:name w:val="Book Title"/>
    <w:basedOn w:val="41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635">
    <w:name w:val="TOC Heading"/>
    <w:basedOn w:val="443"/>
    <w:next w:val="406"/>
    <w:qFormat/>
    <w:uiPriority w:val="39"/>
    <w:semiHidden/>
    <w:unhideWhenUsed/>
    <w:pPr>
      <w:outlineLvl w:val="9"/>
    </w:pPr>
  </w:style>
  <w:style w:type="table" w:styleId="636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37">
    <w:name w:val="Body Text"/>
    <w:basedOn w:val="406"/>
    <w:link w:val="638"/>
    <w:rPr>
      <w:rFonts w:ascii="Times New Roman" w:hAnsi="Times New Roman" w:eastAsia="Times New Roman"/>
      <w:sz w:val="20"/>
      <w:szCs w:val="20"/>
      <w:lang w:val="uk-UA" w:bidi="ar-SA" w:eastAsia="ru-RU"/>
    </w:rPr>
    <w:pPr>
      <w:spacing w:after="120"/>
    </w:pPr>
  </w:style>
  <w:style w:type="character" w:styleId="638" w:customStyle="1">
    <w:name w:val="Основний текст Знак"/>
    <w:basedOn w:val="416"/>
    <w:link w:val="637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639" w:customStyle="1">
    <w:name w:val="Абзац списку Знак"/>
    <w:link w:val="625"/>
    <w:uiPriority w:val="34"/>
    <w:rPr>
      <w:sz w:val="24"/>
      <w:szCs w:val="24"/>
    </w:rPr>
  </w:style>
  <w:style w:type="paragraph" w:styleId="640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41" w:customStyle="1">
    <w:name w:val="Обычный"/>
    <w:rPr>
      <w:lang w:val="ru-RU" w:bidi="ar-SA"/>
    </w:rPr>
  </w:style>
  <w:style w:type="table" w:styleId="642" w:customStyle="1">
    <w:name w:val="Table Grid"/>
    <w:rPr>
      <w:rFonts w:ascii="Calibri" w:hAnsi="Calibri" w:cs="Calibri" w:eastAsia="Calibri"/>
      <w:lang w:val="uk-UA" w:bidi="ar-SA" w:eastAsia="uk-UA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43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644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5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paragraph" w:styleId="646" w:customStyle="1">
    <w:name w:val="Body text (4)1"/>
    <w:rPr>
      <w:rFonts w:ascii="Times New Roman" w:hAnsi="Times New Roman" w:eastAsia="Times New Roman"/>
      <w:b/>
      <w:bCs/>
      <w:lang w:bidi="ar-SA"/>
    </w:rPr>
    <w:pPr>
      <w:jc w:val="both"/>
      <w:spacing w:lineRule="atLeast" w:line="240" w:after="240" w:before="240"/>
      <w:shd w:val="clear" w:color="auto" w:fill="FFFFFF"/>
      <w:widowControl w:val="off"/>
    </w:pPr>
  </w:style>
  <w:style w:type="paragraph" w:styleId="647" w:customStyle="1">
    <w:name w:val="Обычный1"/>
    <w:rPr>
      <w:rFonts w:ascii="Times New Roman" w:hAnsi="Times New Roman" w:eastAsia="Times New Roman"/>
      <w:sz w:val="24"/>
      <w:szCs w:val="24"/>
      <w:lang w:val="ru-RU" w:bidi="ar-SA" w:eastAsia="ru-RU"/>
    </w:rPr>
    <w:pPr>
      <w:spacing w:lineRule="auto" w:line="240" w:after="0"/>
    </w:pPr>
  </w:style>
  <w:style w:type="paragraph" w:styleId="648">
    <w:name w:val="Normal (Web)"/>
    <w:basedOn w:val="406"/>
    <w:uiPriority w:val="99"/>
    <w:unhideWhenUsed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ПРИМАКОВ Геннадій Анатолійович</cp:lastModifiedBy>
  <cp:revision>13</cp:revision>
  <dcterms:created xsi:type="dcterms:W3CDTF">2021-01-16T13:38:00Z</dcterms:created>
  <dcterms:modified xsi:type="dcterms:W3CDTF">2021-01-19T10:49:22Z</dcterms:modified>
</cp:coreProperties>
</file>