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Times New Roman" w:eastAsia="Calibri"/>
          <w:lang w:val="uk-U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Calibri" w:hAnsi="Calibri" w:cs="Times New Roman" w:eastAsia="Calibri"/>
          <w:lang w:val="uk-UA" w:eastAsia="ru-RU"/>
        </w:rPr>
      </w:pPr>
      <w:r>
        <w:rPr>
          <w:rFonts w:ascii="Calibri" w:hAnsi="Calibri" w:cs="Times New Roman" w:eastAsia="Calibri"/>
          <w:lang w:val="uk-UA" w:eastAsia="ru-RU"/>
        </w:rPr>
      </w:r>
      <w:r/>
    </w:p>
    <w:p>
      <w:pPr>
        <w:keepNext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outlineLvl w:val="3"/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ічня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2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7</w:t>
      </w:r>
      <w:r/>
    </w:p>
    <w:p>
      <w:pPr>
        <w:spacing w:lineRule="auto" w:line="240" w:after="0"/>
        <w:rPr>
          <w:rFonts w:ascii="Times New Roman" w:hAnsi="Times New Roman" w:cs="Times New Roman" w:eastAsia="Calibri"/>
          <w:lang w:val="uk-UA" w:eastAsia="ru-RU"/>
        </w:rPr>
      </w:pPr>
      <w:r>
        <w:rPr>
          <w:rFonts w:ascii="Times New Roman" w:hAnsi="Times New Roman" w:cs="Times New Roman" w:eastAsia="Calibri"/>
          <w:lang w:val="uk-UA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 оголошення конкурсу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та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проведення іспиту на заміщення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вакантної посади </w:t>
      </w:r>
      <w:r/>
    </w:p>
    <w:p>
      <w:pPr>
        <w:jc w:val="both"/>
        <w:spacing w:lineRule="auto" w:line="276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val="uk-UA" w:eastAsia="uk-UA"/>
        </w:rPr>
        <w:br/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Відповідно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рішення другої сесії восьмого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скликання Менської міської ради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№ 162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затвердження структури та загальної чисельності апарату Менської міської ради та її виконавчих органів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штатного розпису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статті 10 Закону України «Про службу в органах місцевого самоврядування»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вимог постанови Кабінету Міністрів України від 15.02.2002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№ 169 «Про затвердження Порядку проведення конкурсу на заміщення вакантних посад державних службовців» із змінами та доповненнями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</w:t>
      </w:r>
      <w:r>
        <w:rPr>
          <w:rFonts w:ascii="Times New Roman" w:hAnsi="Times New Roman" w:cs="Times New Roman"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аказу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оловного управління державної служби України від 08.07.2011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враховуючи Порядок проведення конкурсу на заміщення вакантних посад посадових осіб місцевого самоврядуванн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я в Менській міській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затверджени</w:t>
      </w:r>
      <w:r>
        <w:rPr>
          <w:rFonts w:ascii="Times New Roman" w:hAnsi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01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/>
          <w:sz w:val="28"/>
          <w:szCs w:val="28"/>
          <w:lang w:val="uk-UA"/>
        </w:rPr>
        <w:t xml:space="preserve"> та Порядок проведення іспиту кандидатів на заміщення вакантних посад посадових осіб місцевого самоврядування в Менській міської раді, затверджени</w:t>
      </w:r>
      <w:r>
        <w:rPr>
          <w:rFonts w:ascii="Times New Roman" w:hAnsi="Times New Roman"/>
          <w:sz w:val="28"/>
          <w:szCs w:val="28"/>
          <w:lang w:val="uk-UA"/>
        </w:rPr>
        <w:t xml:space="preserve">й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розпорядженням міського голови від 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01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16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color w:val="000000"/>
          <w:sz w:val="27"/>
          <w:szCs w:val="27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голосити конкурс на заміщення вакантної посади посадової особи місцевого самоврядування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провідного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спеціаліста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освіти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значити вимоги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до посади: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вищ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</w:t>
      </w:r>
      <w:r>
        <w:rPr>
          <w:rFonts w:ascii="Times New Roman" w:hAnsi="Times New Roman"/>
          <w:sz w:val="28"/>
          <w:szCs w:val="28"/>
          <w:lang w:eastAsia="uk-UA"/>
        </w:rPr>
        <w:t xml:space="preserve">нижче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ступеня</w:t>
      </w:r>
      <w:r>
        <w:rPr>
          <w:rFonts w:ascii="Times New Roman" w:hAnsi="Times New Roman"/>
          <w:sz w:val="28"/>
          <w:szCs w:val="28"/>
          <w:lang w:eastAsia="uk-UA"/>
        </w:rPr>
        <w:t xml:space="preserve"> бакалавра,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відповідного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професійного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спрямування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за </w:t>
      </w:r>
      <w:r>
        <w:rPr>
          <w:rFonts w:ascii="Times New Roman" w:hAnsi="Times New Roman"/>
          <w:sz w:val="28"/>
          <w:szCs w:val="28"/>
          <w:lang w:eastAsia="uk-UA"/>
        </w:rPr>
        <w:t xml:space="preserve">спеціальністю</w:t>
      </w:r>
      <w:r>
        <w:rPr>
          <w:rFonts w:ascii="Times New Roman" w:hAnsi="Times New Roman"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Педагогічна освіта </w:t>
      </w:r>
      <w:r>
        <w:rPr>
          <w:rFonts w:ascii="Times New Roman" w:hAnsi="Times New Roman"/>
          <w:sz w:val="28"/>
          <w:szCs w:val="28"/>
          <w:lang w:eastAsia="uk-UA"/>
        </w:rPr>
        <w:t xml:space="preserve">»;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color w:val="3C392E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роботи</w:t>
      </w:r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  <w:lang w:eastAsia="uk-UA"/>
        </w:rPr>
        <w:t xml:space="preserve">службі</w:t>
      </w:r>
      <w:r>
        <w:rPr>
          <w:rFonts w:ascii="Times New Roman" w:hAnsi="Times New Roman"/>
          <w:sz w:val="28"/>
          <w:szCs w:val="28"/>
          <w:lang w:eastAsia="uk-UA"/>
        </w:rPr>
        <w:t xml:space="preserve"> в органах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місцевого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або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державній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службі</w:t>
      </w:r>
      <w:r>
        <w:rPr>
          <w:rFonts w:ascii="Times New Roman" w:hAnsi="Times New Roman"/>
          <w:sz w:val="28"/>
          <w:szCs w:val="28"/>
          <w:lang w:eastAsia="uk-UA"/>
        </w:rPr>
        <w:t xml:space="preserve"> не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менше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чи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</w:t>
      </w:r>
      <w:r>
        <w:rPr>
          <w:rFonts w:ascii="Times New Roman" w:hAnsi="Times New Roman"/>
          <w:sz w:val="28"/>
          <w:szCs w:val="28"/>
          <w:lang w:eastAsia="uk-UA"/>
        </w:rPr>
        <w:t xml:space="preserve">роботи</w:t>
      </w:r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r>
        <w:rPr>
          <w:rFonts w:ascii="Times New Roman" w:hAnsi="Times New Roman"/>
          <w:sz w:val="28"/>
          <w:szCs w:val="28"/>
          <w:lang w:eastAsia="uk-UA"/>
        </w:rPr>
        <w:t xml:space="preserve">інших</w:t>
      </w:r>
      <w:r>
        <w:rPr>
          <w:rFonts w:ascii="Times New Roman" w:hAnsi="Times New Roman"/>
          <w:sz w:val="28"/>
          <w:szCs w:val="28"/>
          <w:lang w:eastAsia="uk-UA"/>
        </w:rPr>
        <w:t xml:space="preserve"> сферах </w:t>
      </w:r>
      <w:r>
        <w:rPr>
          <w:rFonts w:ascii="Times New Roman" w:hAnsi="Times New Roman"/>
          <w:sz w:val="28"/>
          <w:szCs w:val="28"/>
          <w:lang w:eastAsia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eastAsia="uk-UA"/>
        </w:rPr>
        <w:t xml:space="preserve"> не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менше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- вільне володіння державною мовою;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- знання основних програм роботи на комп’ютері.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Провести іспит на вакантну посаду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посадової особи місцевого 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провідного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спеціаліста відділу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освіти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Для проведення іспиту затвердити: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-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Менської міської ради.</w:t>
      </w:r>
      <w:r/>
    </w:p>
    <w:p>
      <w:pPr>
        <w:jc w:val="both"/>
        <w:spacing w:lineRule="auto" w:line="276" w:after="0"/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Завідувачу сектору кадрової роботи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Осєдач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Р.М. подати повідомлення про оголошення конкурсу на заміщення вакантної посади для опублікування в інтернет - виданні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Менщина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76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r>
      <w:r/>
    </w:p>
    <w:p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  <w:t xml:space="preserve">Г.А. Примаков</w:t>
      </w:r>
      <w:r/>
    </w:p>
    <w:p>
      <w:pPr>
        <w:shd w:val="nil" w:color="auto" w:fill="FFFFFF"/>
      </w:pPr>
      <w:r>
        <w:br w:type="page"/>
      </w:r>
      <w:r/>
    </w:p>
    <w:p>
      <w:pPr>
        <w:ind w:left="6372" w:right="0" w:firstLine="1"/>
        <w:spacing w:lineRule="atLeast" w:line="301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міського голови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6372" w:right="0" w:firstLine="1"/>
        <w:spacing w:lineRule="atLeast" w:line="301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12.01.2021 № 17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Перелік питань на перевірку знання Конституції України,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Законів України «Про службу в органах місцевого самоврядування», «Про запобігання корупції», «Про місцеве самоврядування в Україні», «Про освіту»,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15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tLeast" w:line="301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I. Питання на перевіркузнання Конституції України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Основні розділи Конституції України.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Основні риси Української держави за Конституцією України (статті 1, 2).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Форма правління в Україні (стаття 5).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Визнання найвищої соціальної цінності України (стаття 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Конституційний статус державної мови та мов національних меншин України (стаття 10).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Об'єкти права власності Українського народу (статті 13, 14).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Найважливіші функції держави (стаття 17).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Державні символи України (стаття 20).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Конституційне право на працю (стаття 43).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Конституційне право на освіту (стаття 53).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Конституційне право на соціальний захист (стаття 46).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Конституційне право на охорону здоров'я (стаття 49).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Обов'язки громадянина України (статті 65 - 68).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Право громадянина України на вибори. (статті 70).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Призначення всеукраїнського референдуму. Питання, що вирішуються на всеукраїнському референдумі (статті 72-74).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Бюджетна система України. Державний бюджет України (статті 95- 96).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Порядок обрання Президента України (стаття 103).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 Дострокове припинення повноваження Президента України (стаття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108).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Склад Кабінету Міністрів України (стаття 114).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Повноваження Кабінету Міністрів України (статті 116, 117).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21. Повноваження місцевих державних адміністрацій (стаття 119).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22. Статус прокуратури України за Конституцією України (стаття 121).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23. Правосуддя в Україні. Система судів в Україні (стаття 124, 125).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24. Система адміністративно-територіального устрою України (стаття 133).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25.Територіальні громади. Органи місцевого самоврядування в Україні (статті 143-144).V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360" w:right="0" w:firstLine="0"/>
        <w:spacing w:lineRule="atLeast" w:line="301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II. Питання на перевірку знання Закону України «Про службу в органах місцевого самоврядування»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Посади в органах місцевого самоврядування (стаття 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Основні принципи  служби в органах місцевого самоврядування (стаття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Основні обов’язки посадових осіб місцевого самоврядування (стаття 8).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Основні права посадових осіб місцевого самоврядування (стаття 9)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Прийняття на службу в органи місцевого самоврядування (стаття 10).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Право на службу в органах місцевого самоврядування (стаття 5)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Присяга посадових осіб місцевого самоврядування (стаття 11).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Обмеження, пов'язані з прийняттям на службу в органи місцевого самоврядування (статті 12).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Граничний вік перебування на службі в органах місцевого самоврядування(стаття 18).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Підстави припинення служби в органах місцевого самоврядування (стаття 20).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Класифікація посад в органах місцевого самоврядування (статті 14).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Ранги посадових осіб місцевого самоврядування (стаття 15).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Правове регулювання статусу посадових осіб місцевого самоврядування (стаття 7).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Кадровий резерв служби в органах місцевого самоврядування (стаття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16).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Атестація посадових осіб місцевого самоврядування (стаття 17).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 Відповідальність посадової особи місцевого самоврядування (стаття  24).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tLeast" w:line="301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502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Питання на перевірку знання </w:t>
      </w:r>
      <w:hyperlink r:id="rId9" w:history="1">
        <w:r>
          <w:rPr>
            <w:rStyle w:val="546"/>
            <w:rFonts w:ascii="Times New Roman" w:hAnsi="Times New Roman" w:cs="Times New Roman" w:eastAsia="Times New Roman"/>
            <w:b/>
            <w:color w:val="000000"/>
            <w:sz w:val="28"/>
            <w:u w:val="single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«Про запобігання корупції»</w:t>
      </w:r>
      <w:r>
        <w:rPr>
          <w:sz w:val="28"/>
        </w:rPr>
      </w:r>
      <w:r/>
    </w:p>
    <w:p>
      <w:pPr>
        <w:ind w:left="0" w:right="502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10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1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Суб’єкти, на яких поширюється дія Закону України «Про запобігання корупції» (</w:t>
      </w:r>
      <w:hyperlink r:id="rId11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3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Статус та склад Національного агентства з питань запобігання корупції (</w:t>
      </w:r>
      <w:hyperlink r:id="rId12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статті 4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 </w:t>
      </w:r>
      <w:hyperlink r:id="rId13" w:history="1">
        <w:r>
          <w:rPr>
            <w:rStyle w:val="546"/>
            <w:rFonts w:ascii="Times New Roman" w:hAnsi="Times New Roman" w:cs="Times New Roman" w:eastAsia="Times New Roman"/>
            <w:color w:val="000099"/>
            <w:sz w:val="28"/>
            <w:u w:val="single"/>
          </w:rPr>
          <w:t xml:space="preserve">5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Повноваження Національного агентства з питань запобігання корупції (</w:t>
      </w:r>
      <w:hyperlink r:id="rId14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11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Права Національного агентства з питань запобігання корупції (</w:t>
      </w:r>
      <w:hyperlink r:id="rId15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  12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Контроль за діяльністю Національного агентства з питань запобігання корупції (</w:t>
      </w:r>
      <w:hyperlink r:id="rId16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14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Національна доповідь щодо реалізації засад антикорупційної політики (</w:t>
      </w:r>
      <w:hyperlink r:id="rId17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20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Обмеження щодо використання службових повноважень чи свого становища та одержання подарунків (</w:t>
      </w:r>
      <w:hyperlink r:id="rId18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статті 22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 </w:t>
      </w:r>
      <w:hyperlink r:id="rId19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23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hyperlink r:id="rId20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статті 25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 </w:t>
      </w:r>
      <w:hyperlink r:id="rId21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27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Запобігання та врегулювання конфлікту інтересів (</w:t>
      </w:r>
      <w:hyperlink r:id="rId22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28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Заходи зовнішнього та самостійного врегулювання конфлікту інтересів (</w:t>
      </w:r>
      <w:hyperlink r:id="rId23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29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Запобігання конфлікту інтересів у зв’язку з наявністю в особи підприємств чи корпоративних прав (</w:t>
      </w:r>
      <w:hyperlink r:id="rId24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36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Вимоги до поведінки осіб (</w:t>
      </w:r>
      <w:hyperlink r:id="rId25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37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Подання декларацій осіб, уповноважених на виконання функцій держави або місцевого самоврядування (</w:t>
      </w:r>
      <w:hyperlink r:id="rId26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45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Встановлення своєчасності подання декларації та повна перевірка декларації (</w:t>
      </w:r>
      <w:hyperlink r:id="rId27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статті 49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hyperlink r:id="rId28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50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Моніторинг способу життя суб’єктів декларування (</w:t>
      </w:r>
      <w:hyperlink r:id="rId29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51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Державний захист осіб, які надають допомогу в запобіганні і протидії корупції (</w:t>
      </w:r>
      <w:hyperlink r:id="rId30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53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hyperlink r:id="rId31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54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Антикорупційна експертиза (</w:t>
      </w:r>
      <w:hyperlink r:id="rId32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55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Спеціальна перевірка (</w:t>
      </w:r>
      <w:hyperlink r:id="rId33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56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21. Загальні засади запобігання корупції у діяльності юридичної особи (</w:t>
      </w:r>
      <w:hyperlink r:id="rId34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61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22. Відповідальність за корупційні або пов’язані з корупцією правопорушення (</w:t>
      </w:r>
      <w:hyperlink r:id="rId35" w:history="1">
        <w:r>
          <w:rPr>
            <w:rStyle w:val="54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стаття 65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sz w:val="28"/>
        </w:rPr>
      </w:r>
      <w:r/>
    </w:p>
    <w:p>
      <w:pPr>
        <w:ind w:left="0" w:right="0" w:firstLine="709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spacing w:lineRule="atLeast" w:line="301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Питання на перевірку знання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tLeast" w:line="301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Поняття місцевого самоврядування (стаття 2). Право на участь у місцевому самоврядуванні (стаття 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Громадські слухання (стаття 13).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Порядок формування рад (стаття 45).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Організація роботи виконавчого комітету (стаття 53).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Депутат ради (стаття 49).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Сільський, селищний, міський голова (стаття 12).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8. Сесія ради (стаття 46).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Постійні комісії ради (стаття 47).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10.Секретар сільської, селищної, міської ради (стаття 50).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Місцеві бюджети (стаття 61).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Дострокове припинення повноважень сільського, селищного, міського голови (стаття 79).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Відповідальність органів та посадових осіб місцевого самоврядування перед державою (стаття 76).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15. Виконавчі органи рад (стаття 11).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Дострокове припинення повноважень ради (стаття 78).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Законодавство про місцеве самоврядування (стаття 24).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tLeast" w:line="253" w:after="20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</w:rPr>
        <w:t xml:space="preserve">V. Перелік питань для перевірки знання законодавства у сфері освіти на посаду провідного спеціаліста відділу освіти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Автономія, яка гарантується державою закладам освіти відповідно до ст. 23 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Вимоги до опорного закладу освіти відповідно до ст. 13 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Перелік документів та інформації до якої заклад освіти зобов'язаний забезпечити відкритий доступ на своєму веб-сайті (у разі його відсутності - на веб-сайті свого засновника) відповідно до ст. 30 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Права і обов’язки засновника закладу освіти відповідно до ст. 25 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Повноваження керівника закладу освіти в межах наданих йому повноважень відповідно до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ст. 26 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Мета утворення інклюзивно-ресурсного центру відповідно до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ст. 20 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Учасники освітнього процесу відповідно до ст. 52 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Форми здобуття індивідуальної освіти відповідно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9 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tLeast" w:line="233"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Органи громадського самоврядування в закладах освіти відповідно до ст. 28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Вимоги до створення наглядової (піклувальної) ради закладу освіти та її права відповідно до ст. 29 Закону України «Про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Рівні здобуття повної загальної середньої освіти відповідно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4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Система загальної середньої освіти відповідно до ст. 3 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Умови реорганізації та ліквідації закладів загальної середньої освіти у сільській місцевості відповідно до ст.32 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Повноваження педагогічної ради закладу загальної середньої освіти відповідно до ст. 40 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Типи закладів освіти, що забезпечують здобуття повної загальної середньої освіти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відповідно до ст. 35 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Інституційний аудит закладів загальної середньої освіти відповідно до ст. 46 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Вимоги до осіб, які приймаються на посади педагогічних працівників відповідно до ст. 22 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Педагогічна інтернатура відповідно до ст. 23 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Підстави для дострокового звільнення керівника закладу загальної середньої освіти відповідно до ст. 39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Права керівника закладу загальної середньої освіти відповідно до ст. 38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21. Особа, яка не може обіймати посаду керівника закладу загальної середньої освіти відповідно до ст. 38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Закону України «Про повну загальну середню освіту».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7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zakon1.rada.gov.ua/laws/show/1700-18/paran2#n2" TargetMode="External"/><Relationship Id="rId10" Type="http://schemas.openxmlformats.org/officeDocument/2006/relationships/hyperlink" Target="http://zakon1.rada.gov.ua/laws/show/1700-18/paran6#n6" TargetMode="External"/><Relationship Id="rId11" Type="http://schemas.openxmlformats.org/officeDocument/2006/relationships/hyperlink" Target="http://zakon1.rada.gov.ua/laws/show/1700-18/paran24#n24" TargetMode="External"/><Relationship Id="rId12" Type="http://schemas.openxmlformats.org/officeDocument/2006/relationships/hyperlink" Target="http://zakon1.rada.gov.ua/laws/show/1700-18/paran42#n42" TargetMode="External"/><Relationship Id="rId13" Type="http://schemas.openxmlformats.org/officeDocument/2006/relationships/hyperlink" Target="http://zakon1.rada.gov.ua/laws/show/1700-18/paran50#n50" TargetMode="External"/><Relationship Id="rId14" Type="http://schemas.openxmlformats.org/officeDocument/2006/relationships/hyperlink" Target="http://zakon1.rada.gov.ua/laws/show/1700-18/paran159#n159" TargetMode="External"/><Relationship Id="rId15" Type="http://schemas.openxmlformats.org/officeDocument/2006/relationships/hyperlink" Target="http://zakon1.rada.gov.ua/laws/show/1700-18/paran183#n183" TargetMode="External"/><Relationship Id="rId16" Type="http://schemas.openxmlformats.org/officeDocument/2006/relationships/hyperlink" Target="http://zakon1.rada.gov.ua/laws/show/1700-18/paran215#n215" TargetMode="External"/><Relationship Id="rId17" Type="http://schemas.openxmlformats.org/officeDocument/2006/relationships/hyperlink" Target="http://zakon1.rada.gov.ua/laws/show/1700-18/paran260#n260" TargetMode="External"/><Relationship Id="rId18" Type="http://schemas.openxmlformats.org/officeDocument/2006/relationships/hyperlink" Target="http://zakon1.rada.gov.ua/laws/show/1700-18/paran311#n311" TargetMode="External"/><Relationship Id="rId19" Type="http://schemas.openxmlformats.org/officeDocument/2006/relationships/hyperlink" Target="http://zakon1.rada.gov.ua/laws/show/1700-18/paran313#n313" TargetMode="External"/><Relationship Id="rId20" Type="http://schemas.openxmlformats.org/officeDocument/2006/relationships/hyperlink" Target="http://zakon1.rada.gov.ua/laws/show/1700-18/paran335#n335" TargetMode="External"/><Relationship Id="rId21" Type="http://schemas.openxmlformats.org/officeDocument/2006/relationships/hyperlink" Target="http://zakon1.rada.gov.ua/laws/show/1700-18/paran348#n348" TargetMode="External"/><Relationship Id="rId22" Type="http://schemas.openxmlformats.org/officeDocument/2006/relationships/hyperlink" Target="http://zakon1.rada.gov.ua/laws/show/1700-18/paran359#n359" TargetMode="External"/><Relationship Id="rId23" Type="http://schemas.openxmlformats.org/officeDocument/2006/relationships/hyperlink" Target="http://zakon1.rada.gov.ua/laws/show/1700-18/paran372#n372" TargetMode="External"/><Relationship Id="rId24" Type="http://schemas.openxmlformats.org/officeDocument/2006/relationships/hyperlink" Target="http://zakon1.rada.gov.ua/laws/show/1700-18/paran405#n405" TargetMode="External"/><Relationship Id="rId25" Type="http://schemas.openxmlformats.org/officeDocument/2006/relationships/hyperlink" Target="http://zakon1.rada.gov.ua/laws/show/1700-18/paran417#n417" TargetMode="External"/><Relationship Id="rId26" Type="http://schemas.openxmlformats.org/officeDocument/2006/relationships/hyperlink" Target="http://zakon1.rada.gov.ua/laws/show/1700-18/paran439#n439" TargetMode="External"/><Relationship Id="rId27" Type="http://schemas.openxmlformats.org/officeDocument/2006/relationships/hyperlink" Target="http://zakon1.rada.gov.ua/laws/show/1700-18/paran488#n488" TargetMode="External"/><Relationship Id="rId28" Type="http://schemas.openxmlformats.org/officeDocument/2006/relationships/hyperlink" Target="http://zakon1.rada.gov.ua/laws/show/1700-18/paran493#n493" TargetMode="External"/><Relationship Id="rId29" Type="http://schemas.openxmlformats.org/officeDocument/2006/relationships/hyperlink" Target="http://zakon1.rada.gov.ua/laws/show/1700-18/paran500#n500" TargetMode="External"/><Relationship Id="rId30" Type="http://schemas.openxmlformats.org/officeDocument/2006/relationships/hyperlink" Target="http://zakon1.rada.gov.ua/laws/show/1700-18/paran512#n512" TargetMode="External"/><Relationship Id="rId31" Type="http://schemas.openxmlformats.org/officeDocument/2006/relationships/hyperlink" Target="http://zakon1.rada.gov.ua/laws/show/1700-18/paran526#n526" TargetMode="External"/><Relationship Id="rId32" Type="http://schemas.openxmlformats.org/officeDocument/2006/relationships/hyperlink" Target="http://zakon1.rada.gov.ua/laws/show/1700-18/paran529#n529" TargetMode="External"/><Relationship Id="rId33" Type="http://schemas.openxmlformats.org/officeDocument/2006/relationships/hyperlink" Target="http://zakon1.rada.gov.ua/laws/show/1700-18/paran550#n550" TargetMode="External"/><Relationship Id="rId34" Type="http://schemas.openxmlformats.org/officeDocument/2006/relationships/hyperlink" Target="http://zakon1.rada.gov.ua/laws/show/1700-18/paran649#n649" TargetMode="External"/><Relationship Id="rId35" Type="http://schemas.openxmlformats.org/officeDocument/2006/relationships/hyperlink" Target="http://zakon1.rada.gov.ua/laws/show/1700-18/paran701#n701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13</cp:revision>
  <dcterms:created xsi:type="dcterms:W3CDTF">2021-01-12T10:33:00Z</dcterms:created>
  <dcterms:modified xsi:type="dcterms:W3CDTF">2021-01-16T12:17:57Z</dcterms:modified>
</cp:coreProperties>
</file>