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8"/>
        </w:rPr>
      </w:pPr>
      <w:r>
        <w:rPr>
          <w:sz w:val="28"/>
          <w:szCs w:val="28"/>
        </w:rPr>
      </w:r>
      <w:r/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/>
      <w:r/>
    </w:p>
    <w:p>
      <w:pPr>
        <w:tabs>
          <w:tab w:val="left" w:pos="4395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грудня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</w:rPr>
        <w:t xml:space="preserve"> 139</w:t>
      </w:r>
      <w:r/>
      <w:r>
        <w:rPr>
          <w:rFonts w:cs="Mangal" w:eastAsia="Lucida Sans Unicode"/>
          <w:b/>
          <w:sz w:val="28"/>
          <w:szCs w:val="28"/>
          <w:lang w:bidi="hi-IN" w:eastAsia="hi-IN"/>
        </w:rPr>
      </w:r>
      <w:r/>
    </w:p>
    <w:p>
      <w:pPr>
        <w:pStyle w:val="377"/>
        <w:ind w:left="0" w:right="5528" w:firstLine="0"/>
        <w:jc w:val="both"/>
        <w:rPr>
          <w:rFonts w:ascii="Times New Roman" w:hAnsi="Times New Roman" w:cs="Times New Roman"/>
          <w:b/>
          <w:bCs/>
          <w:color w:val="auto"/>
          <w:sz w:val="32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 xml:space="preserve">Про </w:t>
      </w:r>
      <w:r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 xml:space="preserve">затвердження Плану дій сталого енергетичного розвитку та клімату</w:t>
      </w:r>
      <w:r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 xml:space="preserve"> Менської міської територіальної громади </w:t>
      </w:r>
      <w:r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 xml:space="preserve">до</w:t>
      </w:r>
      <w:r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 xml:space="preserve">3</w:t>
      </w:r>
      <w:r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 xml:space="preserve">0</w:t>
      </w:r>
      <w:r>
        <w:rPr>
          <w:rStyle w:val="384"/>
          <w:b w:val="false"/>
          <w:sz w:val="28"/>
          <w:szCs w:val="28"/>
          <w:lang w:val="uk-UA" w:eastAsia="uk-UA"/>
        </w:rPr>
        <w:t xml:space="preserve"> </w:t>
      </w:r>
      <w:r/>
      <w:r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</w:r>
      <w:r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 xml:space="preserve">року</w:t>
      </w:r>
      <w:r/>
      <w:r>
        <w:rPr>
          <w:color w:val="000000"/>
          <w:sz w:val="22"/>
          <w:szCs w:val="28"/>
        </w:rPr>
      </w:r>
      <w:r/>
    </w:p>
    <w:p>
      <w:pPr>
        <w:pStyle w:val="383"/>
        <w:ind w:firstLine="567"/>
        <w:jc w:val="both"/>
        <w:spacing w:lineRule="auto" w:line="240"/>
        <w:widowControl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З метою підвищення енергоефективності у бюджетних закладах та установах</w:t>
      </w:r>
      <w:r>
        <w:rPr>
          <w:rStyle w:val="384"/>
          <w:b w:val="false"/>
          <w:sz w:val="28"/>
          <w:szCs w:val="28"/>
          <w:lang w:val="uk-UA" w:eastAsia="uk-UA"/>
        </w:rPr>
        <w:t xml:space="preserve">,</w:t>
      </w:r>
      <w:r>
        <w:rPr>
          <w:rStyle w:val="384"/>
          <w:b w:val="false"/>
          <w:sz w:val="28"/>
          <w:szCs w:val="28"/>
          <w:lang w:val="uk-UA" w:eastAsia="uk-UA"/>
        </w:rPr>
        <w:t xml:space="preserve"> житлових будівлях, громадському транспорті, вуличному освітленні населених пунктів та у комунальних підприємствах,</w:t>
      </w:r>
      <w:r>
        <w:rPr>
          <w:rStyle w:val="384"/>
          <w:b w:val="false"/>
          <w:sz w:val="28"/>
          <w:szCs w:val="28"/>
          <w:lang w:val="uk-UA" w:eastAsia="uk-UA"/>
        </w:rPr>
        <w:t xml:space="preserve"> </w:t>
      </w:r>
      <w:r>
        <w:rPr>
          <w:rStyle w:val="384"/>
          <w:b w:val="false"/>
          <w:sz w:val="28"/>
          <w:szCs w:val="28"/>
          <w:lang w:val="uk-UA" w:eastAsia="uk-UA"/>
        </w:rPr>
        <w:t xml:space="preserve">керуючись</w:t>
      </w:r>
      <w:r>
        <w:rPr>
          <w:rStyle w:val="384"/>
          <w:b w:val="false"/>
          <w:sz w:val="28"/>
          <w:szCs w:val="28"/>
          <w:lang w:val="uk-UA" w:eastAsia="uk-UA"/>
        </w:rPr>
        <w:t xml:space="preserve"> ст. 2</w:t>
      </w:r>
      <w:r>
        <w:rPr>
          <w:rStyle w:val="384"/>
          <w:b w:val="false"/>
          <w:sz w:val="28"/>
          <w:szCs w:val="28"/>
          <w:lang w:val="uk-UA" w:eastAsia="uk-UA"/>
        </w:rPr>
        <w:t xml:space="preserve">6, ч.1 ст.59 </w:t>
      </w:r>
      <w:r>
        <w:rPr>
          <w:rStyle w:val="384"/>
          <w:b w:val="false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Закону України «Про місцеве самоврядування в Україні»</w:t>
      </w:r>
      <w:r>
        <w:rPr>
          <w:sz w:val="28"/>
          <w:szCs w:val="28"/>
          <w:shd w:val="clear" w:color="auto" w:fill="FFFFFF"/>
          <w:lang w:val="uk-UA"/>
        </w:rPr>
        <w:t xml:space="preserve">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відповідно до Стратегії розвитку Менської територіальної громади на період до 2024 року, </w:t>
      </w:r>
      <w:r>
        <w:rPr>
          <w:sz w:val="28"/>
          <w:szCs w:val="28"/>
          <w:shd w:val="clear" w:color="auto" w:fill="FFFFFF"/>
          <w:lang w:val="uk-UA"/>
        </w:rPr>
        <w:t xml:space="preserve">Менська міська рада</w:t>
      </w:r>
      <w:r/>
    </w:p>
    <w:p>
      <w:pPr>
        <w:pStyle w:val="383"/>
        <w:ind w:firstLine="0"/>
        <w:jc w:val="both"/>
        <w:spacing w:lineRule="auto" w:line="240"/>
        <w:widowControl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</w:t>
      </w:r>
      <w:r>
        <w:rPr>
          <w:sz w:val="28"/>
          <w:szCs w:val="28"/>
          <w:lang w:val="uk-UA"/>
        </w:rPr>
        <w:t xml:space="preserve">:</w:t>
      </w:r>
      <w:r/>
    </w:p>
    <w:p>
      <w:pPr>
        <w:pStyle w:val="386"/>
        <w:numPr>
          <w:ilvl w:val="0"/>
          <w:numId w:val="3"/>
        </w:numPr>
        <w:ind w:left="0" w:firstLine="567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План дій сталого енергетичного розвитку та клімату Менської територіальної громади до 2030 року, згідно з додатком.</w:t>
      </w:r>
      <w:r/>
    </w:p>
    <w:p>
      <w:pPr>
        <w:pStyle w:val="386"/>
        <w:numPr>
          <w:ilvl w:val="0"/>
          <w:numId w:val="3"/>
        </w:numPr>
        <w:ind w:left="0" w:firstLine="567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Структурним підрозділам виконавчого комітету Менської міської ради забезпечити виконання </w:t>
      </w:r>
      <w:r>
        <w:rPr>
          <w:sz w:val="28"/>
          <w:szCs w:val="28"/>
        </w:rPr>
        <w:t xml:space="preserve">завдань та заходів за відповідними напрямками Плану дій сталого енергетичного розвитку та клімату Менської міської територіальної громади до 2030 року</w:t>
      </w:r>
      <w:r>
        <w:rPr>
          <w:sz w:val="28"/>
          <w:szCs w:val="28"/>
        </w:rPr>
        <w:t xml:space="preserve">.</w:t>
      </w:r>
      <w:r/>
    </w:p>
    <w:p>
      <w:pPr>
        <w:pStyle w:val="386"/>
        <w:numPr>
          <w:ilvl w:val="0"/>
          <w:numId w:val="3"/>
        </w:numPr>
        <w:ind w:left="0" w:firstLine="567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Рекомендувати підприємствам, організаціям та установам – суб’єктам</w:t>
      </w:r>
      <w:r>
        <w:rPr>
          <w:sz w:val="28"/>
          <w:szCs w:val="28"/>
        </w:rPr>
        <w:t xml:space="preserve"> відносин у сфері енергозбереження керуватися Планом дій сталого енергетичного розвитку та клімату Менської територіальної громади до 2030</w:t>
      </w:r>
      <w:r>
        <w:rPr>
          <w:rStyle w:val="384"/>
          <w:b w:val="false"/>
          <w:sz w:val="28"/>
          <w:szCs w:val="28"/>
          <w:lang w:val="uk-UA" w:eastAsia="uk-UA"/>
        </w:rPr>
        <w:t xml:space="preserve"> </w:t>
      </w:r>
      <w:r/>
      <w:r>
        <w:rPr>
          <w:sz w:val="28"/>
          <w:szCs w:val="28"/>
        </w:rPr>
        <w:t xml:space="preserve">року</w:t>
      </w:r>
      <w:r>
        <w:rPr>
          <w:sz w:val="28"/>
          <w:szCs w:val="28"/>
        </w:rPr>
        <w:t xml:space="preserve">.</w:t>
      </w:r>
      <w:r/>
    </w:p>
    <w:p>
      <w:pPr>
        <w:pStyle w:val="386"/>
        <w:numPr>
          <w:ilvl w:val="0"/>
          <w:numId w:val="3"/>
        </w:numPr>
        <w:ind w:left="0" w:firstLine="567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</w:t>
      </w:r>
      <w:r>
        <w:rPr>
          <w:sz w:val="28"/>
          <w:szCs w:val="28"/>
        </w:rPr>
        <w:t xml:space="preserve">покласти на постійну комісію з питань житлово-комунального господарства та комунальної власності</w:t>
      </w:r>
      <w:r>
        <w:rPr>
          <w:sz w:val="28"/>
          <w:szCs w:val="28"/>
        </w:rPr>
        <w:t xml:space="preserve">.</w:t>
      </w:r>
      <w:r/>
    </w:p>
    <w:p>
      <w:pPr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426" w:leader="none"/>
          <w:tab w:val="left" w:pos="993" w:leader="none"/>
          <w:tab w:val="left" w:pos="6237" w:leader="none"/>
        </w:tabs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Міський голова</w:t>
      </w:r>
      <w:r>
        <w:rPr>
          <w:b w:val="false"/>
          <w:sz w:val="28"/>
          <w:szCs w:val="28"/>
        </w:rPr>
        <w:tab/>
        <w:t xml:space="preserve">Г.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А.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Примаков</w:t>
      </w:r>
      <w:r>
        <w:rPr>
          <w:b w:val="false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ahoma">
    <w:panose1 w:val="020B0604030504040204"/>
  </w:font>
  <w:font w:name="Times New Roman">
    <w:panose1 w:val="020206030504050203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41" w:hanging="360"/>
        <w:tabs>
          <w:tab w:val="left" w:pos="7015" w:leader="none"/>
        </w:tabs>
      </w:pPr>
      <w:rPr>
        <w:rFonts w:hint="default"/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9801" w:hanging="720"/>
        <w:tabs>
          <w:tab w:val="left" w:pos="7655" w:leader="none"/>
        </w:tabs>
      </w:pPr>
      <w:rPr>
        <w:rFonts w:hint="default"/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161" w:hanging="720"/>
        <w:tabs>
          <w:tab w:val="left" w:pos="7655" w:leader="none"/>
        </w:tabs>
      </w:pPr>
      <w:rPr>
        <w:rFonts w:hint="default"/>
        <w:sz w:val="28"/>
        <w:szCs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81" w:hanging="1080"/>
        <w:tabs>
          <w:tab w:val="left" w:pos="7655" w:leader="none"/>
        </w:tabs>
      </w:pPr>
      <w:rPr>
        <w:rFonts w:hint="default"/>
        <w:sz w:val="28"/>
        <w:szCs w:val="28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1241" w:hanging="1080"/>
        <w:tabs>
          <w:tab w:val="left" w:pos="7655" w:leader="none"/>
        </w:tabs>
      </w:pPr>
      <w:rPr>
        <w:rFonts w:hint="default"/>
        <w:sz w:val="28"/>
        <w:szCs w:val="28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1961" w:hanging="1440"/>
        <w:tabs>
          <w:tab w:val="left" w:pos="7655" w:leader="none"/>
        </w:tabs>
      </w:pPr>
      <w:rPr>
        <w:rFonts w:hint="default"/>
        <w:sz w:val="28"/>
        <w:szCs w:val="28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2681" w:hanging="1800"/>
        <w:tabs>
          <w:tab w:val="left" w:pos="7655" w:leader="none"/>
        </w:tabs>
      </w:pPr>
      <w:rPr>
        <w:rFonts w:hint="default"/>
        <w:sz w:val="28"/>
        <w:szCs w:val="28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3041" w:hanging="1800"/>
        <w:tabs>
          <w:tab w:val="left" w:pos="7655" w:leader="none"/>
        </w:tabs>
      </w:pPr>
      <w:rPr>
        <w:rFonts w:hint="default"/>
        <w:sz w:val="28"/>
        <w:szCs w:val="28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761" w:hanging="2160"/>
        <w:tabs>
          <w:tab w:val="left" w:pos="7655" w:leader="none"/>
        </w:tabs>
      </w:pPr>
      <w:rPr>
        <w:rFonts w:hint="default"/>
        <w:sz w:val="28"/>
        <w:szCs w:val="28"/>
      </w:rPr>
    </w:lvl>
  </w:abstractNum>
  <w:abstractNum w:abstractNumId="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6"/>
    <w:next w:val="37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8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378"/>
    <w:link w:val="377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6"/>
    <w:next w:val="37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6"/>
    <w:next w:val="37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6"/>
    <w:next w:val="37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6"/>
    <w:next w:val="37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6"/>
    <w:next w:val="37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6"/>
    <w:next w:val="37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6"/>
    <w:next w:val="37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6"/>
    <w:next w:val="37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8"/>
    <w:link w:val="32"/>
    <w:uiPriority w:val="10"/>
    <w:rPr>
      <w:sz w:val="48"/>
      <w:szCs w:val="48"/>
    </w:rPr>
  </w:style>
  <w:style w:type="paragraph" w:styleId="34">
    <w:name w:val="Subtitle"/>
    <w:basedOn w:val="376"/>
    <w:next w:val="37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8"/>
    <w:link w:val="34"/>
    <w:uiPriority w:val="11"/>
    <w:rPr>
      <w:sz w:val="24"/>
      <w:szCs w:val="24"/>
    </w:rPr>
  </w:style>
  <w:style w:type="paragraph" w:styleId="36">
    <w:name w:val="Quote"/>
    <w:basedOn w:val="376"/>
    <w:next w:val="37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6"/>
    <w:next w:val="37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8"/>
    <w:link w:val="40"/>
    <w:uiPriority w:val="99"/>
  </w:style>
  <w:style w:type="paragraph" w:styleId="42">
    <w:name w:val="Footer"/>
    <w:basedOn w:val="376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8"/>
    <w:link w:val="42"/>
    <w:uiPriority w:val="99"/>
  </w:style>
  <w:style w:type="table" w:styleId="44">
    <w:name w:val="Table Grid"/>
    <w:basedOn w:val="37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6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8"/>
    <w:uiPriority w:val="99"/>
    <w:unhideWhenUsed/>
    <w:rPr>
      <w:vertAlign w:val="superscript"/>
    </w:rPr>
  </w:style>
  <w:style w:type="paragraph" w:styleId="174">
    <w:name w:val="toc 1"/>
    <w:basedOn w:val="376"/>
    <w:next w:val="376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6"/>
    <w:next w:val="376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6"/>
    <w:next w:val="376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6"/>
    <w:next w:val="376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6"/>
    <w:next w:val="376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6"/>
    <w:next w:val="376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6"/>
    <w:next w:val="376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6"/>
    <w:next w:val="376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6"/>
    <w:next w:val="376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6" w:default="1">
    <w:name w:val="Normal"/>
    <w:qFormat/>
    <w:rPr>
      <w:rFonts w:ascii="Times New Roman" w:hAnsi="Times New Roman" w:cs="Times New Roman" w:eastAsia="Times New Roman"/>
      <w:sz w:val="20"/>
      <w:szCs w:val="20"/>
      <w:lang w:eastAsia="zh-CN"/>
    </w:rPr>
    <w:pPr>
      <w:spacing w:lineRule="auto" w:line="240" w:after="0"/>
    </w:pPr>
  </w:style>
  <w:style w:type="paragraph" w:styleId="377">
    <w:name w:val="Heading 2"/>
    <w:basedOn w:val="376"/>
    <w:next w:val="376"/>
    <w:link w:val="385"/>
    <w:qFormat/>
    <w:uiPriority w:val="9"/>
    <w:unhideWhenUsed/>
    <w:rPr>
      <w:rFonts w:ascii="Cambria" w:hAnsi="Cambria" w:cs="Cambria" w:eastAsia="Cambria"/>
      <w:color w:val="365F91" w:themeColor="accent1" w:themeShade="BF"/>
      <w:sz w:val="26"/>
      <w:szCs w:val="26"/>
    </w:rPr>
    <w:pPr>
      <w:keepLines/>
      <w:keepNext/>
      <w:spacing w:before="40"/>
      <w:outlineLvl w:val="1"/>
    </w:pPr>
  </w:style>
  <w:style w:type="character" w:styleId="378" w:default="1">
    <w:name w:val="Default Paragraph Font"/>
    <w:uiPriority w:val="1"/>
    <w:semiHidden/>
    <w:unhideWhenUsed/>
  </w:style>
  <w:style w:type="table" w:styleId="3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0" w:default="1">
    <w:name w:val="No List"/>
    <w:uiPriority w:val="99"/>
    <w:semiHidden/>
    <w:unhideWhenUsed/>
  </w:style>
  <w:style w:type="paragraph" w:styleId="381">
    <w:name w:val="Balloon Text"/>
    <w:basedOn w:val="376"/>
    <w:link w:val="382"/>
    <w:uiPriority w:val="99"/>
    <w:semiHidden/>
    <w:unhideWhenUsed/>
    <w:rPr>
      <w:rFonts w:ascii="Tahoma" w:hAnsi="Tahoma" w:cs="Tahoma"/>
      <w:sz w:val="16"/>
      <w:szCs w:val="16"/>
    </w:rPr>
  </w:style>
  <w:style w:type="character" w:styleId="382" w:customStyle="1">
    <w:name w:val="Текст у виносці Знак"/>
    <w:basedOn w:val="378"/>
    <w:link w:val="381"/>
    <w:uiPriority w:val="99"/>
    <w:semiHidden/>
    <w:rPr>
      <w:rFonts w:ascii="Tahoma" w:hAnsi="Tahoma" w:cs="Tahoma" w:eastAsia="Times New Roman"/>
      <w:sz w:val="16"/>
      <w:szCs w:val="16"/>
      <w:lang w:eastAsia="zh-CN"/>
    </w:rPr>
  </w:style>
  <w:style w:type="paragraph" w:styleId="383" w:customStyle="1">
    <w:name w:val="Style1"/>
    <w:basedOn w:val="376"/>
    <w:rPr>
      <w:sz w:val="24"/>
      <w:szCs w:val="24"/>
      <w:lang w:val="ru-RU" w:eastAsia="ru-RU"/>
    </w:rPr>
    <w:pPr>
      <w:ind w:firstLine="1483"/>
      <w:spacing w:lineRule="exact" w:line="247"/>
      <w:widowControl w:val="off"/>
    </w:pPr>
  </w:style>
  <w:style w:type="character" w:styleId="384" w:customStyle="1">
    <w:name w:val="Font Style19"/>
    <w:basedOn w:val="378"/>
    <w:rPr>
      <w:rFonts w:ascii="Times New Roman" w:hAnsi="Times New Roman" w:cs="Times New Roman"/>
      <w:b/>
      <w:bCs/>
      <w:sz w:val="20"/>
      <w:szCs w:val="20"/>
    </w:rPr>
  </w:style>
  <w:style w:type="character" w:styleId="385" w:customStyle="1">
    <w:name w:val="Заголовок 2 Знак"/>
    <w:basedOn w:val="378"/>
    <w:link w:val="377"/>
    <w:uiPriority w:val="9"/>
    <w:rPr>
      <w:rFonts w:ascii="Cambria" w:hAnsi="Cambria" w:cs="Cambria" w:eastAsia="Cambria"/>
      <w:color w:val="365F91" w:themeColor="accent1" w:themeShade="BF"/>
      <w:sz w:val="26"/>
      <w:szCs w:val="26"/>
      <w:lang w:eastAsia="zh-CN"/>
    </w:rPr>
  </w:style>
  <w:style w:type="paragraph" w:styleId="386">
    <w:name w:val="List Paragraph"/>
    <w:basedOn w:val="376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ПРИМАКОВ Геннадій Анатолійович</cp:lastModifiedBy>
  <cp:revision>7</cp:revision>
  <dcterms:created xsi:type="dcterms:W3CDTF">2020-12-16T09:27:00Z</dcterms:created>
  <dcterms:modified xsi:type="dcterms:W3CDTF">2020-12-31T11:32:49Z</dcterms:modified>
</cp:coreProperties>
</file>