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3 до рішенн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я 2 сесії Менської міської ради 8 скликання від 30.12.2020 №166 “Про затвердження інформаційних, технологічних карток та доповнення переліку адміністративних послуг, які надаються через відділ "Центр надання адміністративних послуг" Менської міської ради”</w:t>
      </w:r>
      <w:r>
        <w:rPr>
          <w:rFonts w:ascii="Times New Roman" w:hAnsi="Times New Roman" w:cs="Times New Roman" w:eastAsia="Times New Roman"/>
          <w:sz w:val="20"/>
          <w:lang w:val="uk-UA"/>
        </w:rPr>
      </w:r>
      <w:r/>
    </w:p>
    <w:p>
      <w:pPr>
        <w:ind w:left="567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CellSpacing w:w="2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51"/>
        <w:gridCol w:w="4526"/>
      </w:tblGrid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Інформаційна картка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Про внес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ення змін та доповнень до рішення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 сесії Менської міської ради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Інформація про центр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Суб’єкт надання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Найменування центру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Відділ «Центр надання адміністративних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послуг»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Місцезнаходження центру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15600, вул. Героїв Ато, 6, м. Мена,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Чернігівська обл.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Режим роботи центру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Понеділок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– 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Вівторок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– 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Середа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– 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Четвер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П’ятниця – 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– 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Вихідні дні: субота, неділя.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 (04644) 2-16-81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. пошта: cnapradamena@cg.gov.ua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55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Закони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Стаття 12 Земельного кодексу України, п.34 ст.26 Закону України 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Акти Кабінету Міністрів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Акти органів виконавчої влади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Акти органів місцевого самоврядування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55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Умови отримання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Підстава для одержання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val="uk-UA" w:eastAsia="uk-UA"/>
              </w:rPr>
              <w:t xml:space="preserve">Для видачі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ро внесення змін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та доповнень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до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сесії Менської міської ради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заява на ім’я міського голови (ст. 20 Закону України «Про звернення громадян»,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12 Земельного кодексу України, п.34 ст.26 Закону України 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Для видачі рішення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ро внесення змін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та доповнень до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сесії Менської міської ради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заява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з зазначенням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підстави для внесення змін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копії документів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є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підставою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внесення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змін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копія рішення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сесії міської ради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копія паспорта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та ідентифікаційного коду для фізичних осіб;</w:t>
            </w:r>
            <w:bookmarkStart w:id="0" w:name="_GoBack"/>
            <w:r>
              <w:rPr>
                <w:rFonts w:ascii="Times New Roman" w:hAnsi="Times New Roman" w:cs="Times New Roman" w:eastAsia="Times New Roman"/>
              </w:rPr>
            </w:r>
            <w:bookmarkEnd w:id="0"/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uk-UA" w:eastAsia="uk-UA"/>
              </w:rPr>
              <w:t xml:space="preserve">довіреність на право представляти інтереси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суб’єкта звернення в органах місцевого 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Документи подаються до адміністраторів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центру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Менської міської ради, які здійснюють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прийом суб’єктів господарювання 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приміщенні дозвільного центру Менської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29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080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Платність (безоплатність) надання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66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55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У разі платності: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12.1.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29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Нормативно-правові акти, на підставі яких стягується плата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12.2.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29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Розмір та порядок внесення плати (адміністративного збору)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12.3.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29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Розрахунковий рахунок для внесення плати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13.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29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Строк надання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не більше одного місяця від дня їх надходження, відповідно до ст. 20 Закону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України «Про звернення громадян», ст. 46 Закону України «Про місцеве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самоврядування в Україні» та ст. 15 Закону України «Про доступ до публічної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інформації»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14.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29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Перелік підстав для відмови у наданні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подання замовником неповного пакета документів;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- виявлення в документах, поданих замовником, недостовірних відомостей;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- не відповідність положенням       ст. 123 Земельного кодексу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29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Рішення Менської міської ради про надання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дозволу на розроблення технічної документації із землеустрою щодо встановлення (відновлення) меж земельної ділянки в натурі (на місцевості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val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29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Способи отримання відповіді (результату)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Особисто,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в тому числі через представника за довіреністю (з посвідченням особи) або поштою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17.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29" w:type="dxa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61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622"/>
      </w:tblGrid>
      <w:tr>
        <w:trPr>
          <w:tblCellSpacing w:w="20" w:type="dxa"/>
          <w:trHeight w:val="758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Технологічна картка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адміністративної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635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val="uk-UA"/>
              </w:rPr>
              <w:t xml:space="preserve">Про внесення змін та доповнень до рішення сесії Менської міської ради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-18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  <w:lang w:val="uk-UA"/>
        </w:rPr>
        <w:t xml:space="preserve">Центр надання адміністративних послуг 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4990" w:type="pct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3113"/>
        <w:gridCol w:w="2581"/>
        <w:gridCol w:w="1669"/>
        <w:gridCol w:w="1610"/>
      </w:tblGrid>
      <w:tr>
        <w:trPr>
          <w:tblCellSpacing w:w="20" w:type="dxa"/>
          <w:trHeight w:val="143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143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Прийом і перевірка повноти пакету документів, реєстрація заяви, повідомлення заявника про орієнтовний термін погодження. Формування дозвільної справи, занесення даних до реєстру 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Передача пакету документів заявника до відділу земельних відносин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Адміністратор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Відділу «Центр надання адміністративних послуг»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143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Реєстрація пакету документів, передача пакету документів заявника від начальника відділу земельних відносин до посадової особи (виконавця) відділу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Посадові особи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відділ земельних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відносин Менської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міської рад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882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Підготовка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Посадові особи відділ земельних відносин Менської міської ради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773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Погодження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Посадові особи юридичного відділу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Погоджує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1088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Оприлюднення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Посадові особи організаційного відділу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Оприлюднює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1922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Розгляд профільною комісією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та подання на розгляд сесії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Голова постійної комісії з питань містобудування, будівництва, земельних відносин та охорони природи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Подає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955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Розгляд на черговій сесії Менської міської ради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Депутати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680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Підпис рішення головою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Голова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Підписує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404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87" w:type="pct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Видача заявнику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Видає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------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20" w:type="dxa"/>
          <w:trHeight w:val="335"/>
        </w:trPr>
        <w:tc>
          <w:tcPr>
            <w:gridSpan w:val="4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60" w:type="pct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Загальна кількість днів надання послуги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uk-UA"/>
              </w:rPr>
              <w:t xml:space="preserve">30 календарних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ind w:left="595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4 до рішенн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я 2 сесії Менської міської ради 8 скликання від 30.12.2020 №166 “Про затвердження інформаційних, технологічних карток та доповнення переліку адміністративних послуг, які надаються через відділ "Центр надання адміністративних послуг" Менської міської ради”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567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  <w:lang w:val="uk-UA"/>
        </w:rPr>
      </w:r>
      <w:r/>
    </w:p>
    <w:p>
      <w:pPr>
        <w:jc w:val="left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</w:t>
      </w:r>
      <w:r>
        <w:rPr>
          <w:rFonts w:ascii="Times New Roman" w:hAnsi="Times New Roman" w:cs="Times New Roman" w:eastAsia="Times New Roman"/>
        </w:rPr>
      </w:r>
      <w:r/>
    </w:p>
    <w:p>
      <w:pPr>
        <w:pStyle w:val="392"/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  <w:u w:val="single"/>
          <w:lang w:val="uk-UA"/>
        </w:rPr>
        <w:t xml:space="preserve">Надання висновку про можливість виконання обов’язків опікуна /піклувальника над недієздатною/обмежено дієздатною особою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0"/>
          <w:szCs w:val="20"/>
          <w:u w:val="single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3259"/>
        <w:gridCol w:w="868"/>
        <w:gridCol w:w="175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Дія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день звернень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до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 дня звернення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0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Обстеження житлово-побутових умов заявників та складання акту обстеження житлово-побутових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Начальник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опікунської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4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та передача проекту рішення до виконавчого комітету ММР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охорони здоров’я та соціального захисту населення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посадові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особи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юридичного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Відділ «Центр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30днів+15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br w:type="page"/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 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u w:val="single"/>
          <w:lang w:eastAsia="ru-RU"/>
        </w:rPr>
        <w:t xml:space="preserve">Надання дозволу опікуну/піклувальнику на здійснення правочину від імені недієздатної/обмежено дієздатної особи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0"/>
          <w:szCs w:val="20"/>
          <w:u w:val="single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260"/>
        <w:gridCol w:w="726"/>
        <w:gridCol w:w="175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заявника на реєстрацію та внесення резолюції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проекту рішення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охорони здоров’я та соціального захисту населення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посадові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особи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юридичного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проекту рішення для розгляду на засіданні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Відділ «Центр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6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94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br w:type="page"/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 надання дозволу опікуну на вчинення правочинів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8"/>
        <w:gridCol w:w="2718"/>
        <w:gridCol w:w="1130"/>
        <w:gridCol w:w="177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Дія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заявника на реєстрацію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внесення резолюції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Обстеження житлово-побутових умов нерухомого майна, яке передається підопічному у власність та складання акту обстеження житлово-побутових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ради опіки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та передача проекту рішення до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“Центр надання адміністративних послуг”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30днів+15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pacing w:val="-2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br w:type="page"/>
      </w:r>
      <w:r/>
    </w:p>
    <w:p>
      <w:pPr>
        <w:jc w:val="center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ехнолог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ічна картка адміністративної послуги</w:t>
      </w:r>
      <w:r>
        <w:rPr>
          <w:rFonts w:ascii="Times New Roman" w:hAnsi="Times New Roman" w:cs="Times New Roman" w:eastAsia="Times New Roman"/>
        </w:rPr>
      </w:r>
      <w:r/>
    </w:p>
    <w:p>
      <w:pPr>
        <w:pStyle w:val="39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4"/>
          <w:szCs w:val="24"/>
          <w:u w:val="single"/>
          <w:lang w:val="uk-UA"/>
        </w:rPr>
        <w:t xml:space="preserve">прийняття рішення щодо соціального обслуговування громадянина КУ «Територіальний центр соціального обслуговування </w:t>
      </w:r>
      <w:r>
        <w:rPr>
          <w:rFonts w:ascii="Times New Roman" w:hAnsi="Times New Roman" w:cs="Times New Roman" w:eastAsia="Times New Roman"/>
          <w:caps/>
          <w:color w:val="000000"/>
          <w:sz w:val="24"/>
          <w:szCs w:val="24"/>
          <w:u w:val="single"/>
          <w:lang w:val="uk-UA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  <w:lang w:val="uk-UA"/>
        </w:rPr>
        <w:t xml:space="preserve">надання соціальних послуг)»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1"/>
          <w:u w:val="single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60"/>
        <w:gridCol w:w="2506"/>
        <w:gridCol w:w="1094"/>
        <w:gridCol w:w="156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П№ п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en-US"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Відповідальна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посадова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особа і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структурний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письмової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та пакету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Заявник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перевірка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повноти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пакету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реєстрація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день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наступного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робочого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Запит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 закладу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здоров’я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/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перебування громадянина для одержання медичного висновку про здатність до самообслуговування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триденний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інформації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доходи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триденний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медичного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висновку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здатність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самообслуговування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 потребу 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постійній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сторонній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допомозі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потребують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центром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Відповідальні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особи закладу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здоров’я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5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Прийняття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керівника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відмови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Керівник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одноденний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всіх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Передача пакету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відмову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зазначених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визначає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індивідуальні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потреби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отримувача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встановлює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групу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рухової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активності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визначає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зміст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уточнює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складає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індивідуальний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план,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приймає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необхідність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видається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відповідний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наказ,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укладає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отримувачем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таких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Завідувачі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відділень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Отримувачем соціальної послуги та/або його законним представником після прийняття рішення про надання соціальної послуги, визначення ступеня індивідуальних потреб та складання Індивідуального плану укладається договір про надання соціальної послуги.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укладається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участю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отримувача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та/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законного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підписується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отримувачем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законним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надає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соціальну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послугу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Кожна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зі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сторін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отримує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один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примірник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договору.</w:t>
            </w:r>
            <w:bookmarkStart w:id="0" w:name="n70"/>
            <w:r>
              <w:rPr>
                <w:rFonts w:ascii="Times New Roman" w:hAnsi="Times New Roman" w:cs="Times New Roman" w:eastAsia="Times New Roman"/>
              </w:rPr>
            </w:r>
            <w:bookmarkEnd w:id="0"/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Завідувачі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відділень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48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Загальна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48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Загальна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передбачена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)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До 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</w:rPr>
        <w:t xml:space="preserve">Умовні позначки: В - виконує; У - бере участь; П - погоджує; 3 -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</w:t>
      </w:r>
      <w:r>
        <w:rPr>
          <w:rFonts w:ascii="Times New Roman" w:hAnsi="Times New Roman" w:cs="Times New Roman" w:eastAsia="Times New Roman"/>
        </w:rPr>
      </w:r>
      <w:r/>
    </w:p>
    <w:p>
      <w:pPr>
        <w:pStyle w:val="392"/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  <w:u w:val="single"/>
          <w:lang w:val="uk-UA"/>
        </w:rPr>
        <w:t xml:space="preserve">Надання висновку про можливість виконання обов’язків опікуна /піклувальника над недієздатною/обмежено дієздатною особою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0"/>
          <w:szCs w:val="20"/>
          <w:u w:val="single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2703"/>
        <w:gridCol w:w="1151"/>
        <w:gridCol w:w="175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Дія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день звернень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до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 дня звернення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0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Обстеження житлово-побутових умов заявників та складання акту обстеження житлово-побутових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Начальник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опікунської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та передача проекту рішення до виконавчого комітету ММР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охорони здоров’я та соціального захисту населення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посадові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особи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юридичного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«Центр надання адміністравтиних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3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5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54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30днів+15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br w:type="page"/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 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u w:val="single"/>
          <w:lang w:eastAsia="ru-RU"/>
        </w:rPr>
        <w:t xml:space="preserve">Надання дозволу опікуну/піклувальнику на здійснення правочину від імені недієздатної/обмежено дієздатної особи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0"/>
          <w:szCs w:val="20"/>
          <w:u w:val="single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9"/>
        <w:gridCol w:w="2465"/>
        <w:gridCol w:w="1382"/>
        <w:gridCol w:w="177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заявника на реєстрацію та внесення резолюції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проекту рішення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посадові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особи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юридичного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проекту рішення для розгляду на засіданні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pStyle w:val="406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“Центр надання адміністративних послуг”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uto" w:line="276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94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br w:type="page"/>
      </w:r>
      <w:r/>
    </w:p>
    <w:p>
      <w:pPr>
        <w:ind w:firstLine="56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</w:rPr>
        <w:t xml:space="preserve">Технологічна картка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 надання дозволу опікуну на вчинення правочинів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/>
          <w:lang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97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9"/>
        <w:gridCol w:w="2717"/>
        <w:gridCol w:w="1130"/>
        <w:gridCol w:w="177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Етапи 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Відповідальна посадова особа і структурний 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  <w:t xml:space="preserve">Термін виконання (днів)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Прийом і перевірка повноти пакету документів, повідомлення заявника про орієнтовний термін виконання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Передача пакету документів заявника на реєстрацію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внесення резолюції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пакету документів виконавцем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1-2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Обстеження житлово-побутових умов нерухомого майна, яке передається підопічному у власність та складання акту обстеження житлово-побутових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документів для розгляду на засіданні ради опіки та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1-2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Розгляд документів на засіданні ради опіки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Опікунська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Відповідні особи відділу охорони здоров’я та соціального захисту населення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Підготовка та передача проекту рішення до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Спеціаліст відділу охорони здоров’я та соціального захисту населення Менської міської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5 днів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Отримання копії рішення  виконавчого комітету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pStyle w:val="406"/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Відділ “Центр надання адміністративних послуг”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Надання заявнику письмової відповіді на заяву та копії рішення виконавчого комітету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Адміністратор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Протягом 3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рабочих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 днів після отримання копії рішення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надання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33" w:type="dxa"/>
            <w:textDirection w:val="lrTb"/>
            <w:noWrap w:val="false"/>
          </w:tcPr>
          <w:p>
            <w:pPr>
              <w:contextualSpacing w:val="false"/>
              <w:ind w:firstLine="56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Загальна кількість днів (передбачена законодавством)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5" w:type="dxa"/>
            <w:textDirection w:val="lrTb"/>
            <w:noWrap w:val="false"/>
          </w:tcPr>
          <w:p>
            <w:pPr>
              <w:contextualSpacing w:val="fals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  <w:t xml:space="preserve">30днів+15 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tabs>
          <w:tab w:val="left" w:pos="0" w:leader="none"/>
          <w:tab w:val="left" w:pos="51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Умовні позначки: В-виконує, У- бере участь, П - погоджує, З 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  <w:lang w:val="ru-RU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z w:val="20"/>
          <w:szCs w:val="20"/>
        </w:rPr>
        <w:t xml:space="preserve"> затверджує.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pacing w:val="-2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br w:type="page"/>
      </w:r>
      <w:r/>
    </w:p>
    <w:p>
      <w:pPr>
        <w:jc w:val="center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ехнолог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</w:rPr>
        <w:t xml:space="preserve">ічна картка адміністративної послуги</w:t>
      </w:r>
      <w:r>
        <w:rPr>
          <w:rFonts w:ascii="Times New Roman" w:hAnsi="Times New Roman" w:cs="Times New Roman" w:eastAsia="Times New Roman"/>
        </w:rPr>
      </w:r>
      <w:r/>
    </w:p>
    <w:p>
      <w:pPr>
        <w:pStyle w:val="39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4"/>
          <w:szCs w:val="24"/>
          <w:u w:val="single"/>
          <w:lang w:val="uk-UA"/>
        </w:rPr>
        <w:t xml:space="preserve">прийняття рішення щодо соціального обслуговування громадянина КУ «Територіальний центр соціального обслуговування </w:t>
      </w:r>
      <w:r>
        <w:rPr>
          <w:rFonts w:ascii="Times New Roman" w:hAnsi="Times New Roman" w:cs="Times New Roman" w:eastAsia="Times New Roman"/>
          <w:caps/>
          <w:color w:val="000000"/>
          <w:sz w:val="24"/>
          <w:szCs w:val="24"/>
          <w:u w:val="single"/>
          <w:lang w:val="uk-UA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  <w:lang w:val="uk-UA"/>
        </w:rPr>
        <w:t xml:space="preserve">надання соціальних послуг)» Менської міської ради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1"/>
          <w:u w:val="single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60"/>
        <w:gridCol w:w="2506"/>
        <w:gridCol w:w="1094"/>
        <w:gridCol w:w="156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П№ п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en-US"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Відповідальна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посадова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особа і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структурний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підрозділ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(В, У, П, З)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ru-RU"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письмової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та пакету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Заявник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перевірка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повноти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пакету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реєстрація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день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реєстрації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наступного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робочого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Запит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 закладу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здоров’я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/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перебування громадянина для одержання медичного висновку про здатність до самообслуговування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триденний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інформації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доходи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триденний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заяви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медичного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висновку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здатність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самообслуговування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 потребу 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постійній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сторонній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допомозі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громадян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потребують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центром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Відповідальні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особи закладу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здоров’я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5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Прийняття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керівника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відмови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Керівник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одноденний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строк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всіх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необхідних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Передача пакету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відмову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Спеціаліст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охорони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здоров’ я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населення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1 дня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Після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надходження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зазначених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документів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визначає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індивідуальні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потреби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отримувача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встановлює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групу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рухової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активності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визначає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зміст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уточнює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складає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індивідуальний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план,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приймає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рішення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необхідність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,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видається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відповідний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наказ, та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укладає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отримувачем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таких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Завідувачі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відділень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0" w:type="dxa"/>
            <w:vAlign w:val="center"/>
            <w:textDirection w:val="lrTb"/>
            <w:noWrap w:val="false"/>
          </w:tcPr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Отримувачем соціальної послуги та/або його законним представником після прийняття рішення про надання соціальної послуги, визначення ступеня індивідуальних потреб та складання Індивідуального плану укладається договір про надання соціальної послуги.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укладається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участю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отримувача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та/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законного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565"/>
              <w:jc w:val="both"/>
              <w:spacing w:lineRule="auto" w:line="254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Договір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про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підписується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отримувачем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або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його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законним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і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представником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суб’єкта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що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надає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соціальну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послугу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Кожна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зі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сторін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отримує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один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примірник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договору.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6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Завідувачі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відділень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КУ «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)»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4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Протягом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48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Загальна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48" w:type="dxa"/>
            <w:textDirection w:val="lrTb"/>
            <w:noWrap w:val="false"/>
          </w:tcPr>
          <w:p>
            <w:pPr>
              <w:ind w:firstLine="567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Загальна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днів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передбачена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) 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shd w:val="clear" w:color="auto" w:fill="FFFFFF"/>
              <w:widowControl w:val="off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lang w:val="ru-RU" w:eastAsia="ru-RU"/>
              </w:rPr>
              <w:t xml:space="preserve">До 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56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i/>
          <w:color w:val="000000"/>
        </w:rPr>
        <w:t xml:space="preserve">Умовні позначки: В - виконує; У - бере участь; П - погоджує; 3 - затверджує.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8"/>
      <w:footnotePr/>
      <w:type w:val="nextPage"/>
      <w:pgSz w:w="11906" w:h="16838" w:orient="portrait"/>
      <w:pgMar w:top="709" w:right="1134" w:bottom="709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Calibri" w:hAnsi="Calibri" w:cs="Times New Roman" w:eastAsia="Calibri"/>
      <w:lang w:val="ru-RU"/>
    </w:rPr>
    <w:pPr>
      <w:spacing w:lineRule="auto" w:line="276" w:after="20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List Paragraph"/>
    <w:basedOn w:val="559"/>
    <w:qFormat/>
    <w:pPr>
      <w:contextualSpacing w:val="true"/>
      <w:ind w:left="720"/>
    </w:pPr>
  </w:style>
  <w:style w:type="paragraph" w:styleId="564" w:customStyle="1">
    <w:name w:val="docdata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5" w:customStyle="1">
    <w:name w:val="rvps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Adminov Admin </cp:lastModifiedBy>
  <cp:revision>14</cp:revision>
  <dcterms:created xsi:type="dcterms:W3CDTF">2020-12-22T14:47:00Z</dcterms:created>
  <dcterms:modified xsi:type="dcterms:W3CDTF">2020-12-31T13:31:43Z</dcterms:modified>
</cp:coreProperties>
</file>