
<file path=[Content_Types].xml><?xml version="1.0" encoding="utf-8"?>
<Types xmlns="http://schemas.openxmlformats.org/package/2006/content-types">
  <Default Extension="xlsx" ContentType="application/vnd.openxmlformats-officedocument.spreadsheetml.sheet"/>
  <Default Extension="jpg" ContentType="image/jpeg"/>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charts/chart21.xml" ContentType="application/vnd.openxmlformats-officedocument.drawingml.chart+xml"/>
  <Override PartName="/word/charts/chart16.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header2.xml" ContentType="application/vnd.openxmlformats-officedocument.wordprocessingml.header+xml"/>
  <Override PartName="/word/header1.xml" ContentType="application/vnd.openxmlformats-officedocument.wordprocessingml.header+xml"/>
  <Override PartName="/word/charts/chart17.xml" ContentType="application/vnd.openxmlformats-officedocument.drawingml.chart+xml"/>
  <Override PartName="/word/footnotes.xml" ContentType="application/vnd.openxmlformats-officedocument.wordprocessingml.footnotes+xml"/>
  <Override PartName="/word/numbering.xml" ContentType="application/vnd.openxmlformats-officedocument.wordprocessingml.numbering+xml"/>
  <Override PartName="/word/charts/chart18.xml" ContentType="application/vnd.openxmlformats-officedocument.drawingml.chart+xml"/>
  <Override PartName="/word/theme/theme1.xml" ContentType="application/vnd.openxmlformats-officedocument.theme+xml"/>
  <Override PartName="/word/footer2.xml" ContentType="application/vnd.openxmlformats-officedocument.wordprocessingml.footer+xml"/>
  <Override PartName="/word/webSettings.xml" ContentType="application/vnd.openxmlformats-officedocument.wordprocessingml.webSettings+xml"/>
  <Override PartName="/word/charts/chart20.xml" ContentType="application/vnd.openxmlformats-officedocument.drawingml.chart+xml"/>
  <Override PartName="/word/charts/chart9.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charts/chart19.xml" ContentType="application/vnd.openxmlformats-officedocument.drawingml.chart+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sdt>
      <w:sdtPr>
        <w15:appearance w15:val="boundingBox"/>
        <w:id w:val="-1234544218"/>
        <w:docPartObj>
          <w:docPartGallery w:val="Cover Pages"/>
          <w:docPartUnique w:val="true"/>
        </w:docPartObj>
      </w:sdtPr>
      <w:sdtContent>
        <w:p>
          <w:pPr>
            <w:jc w:val="both"/>
            <w:spacing w:lineRule="exact" w:line="200"/>
            <w:rPr>
              <w:rFonts w:ascii="Arial" w:hAnsi="Arial" w:cs="Arial"/>
              <w:sz w:val="24"/>
            </w:rPr>
          </w:pPr>
          <w:r>
            <w:rPr>
              <w:rFonts w:ascii="Arial" w:hAnsi="Arial" w:cs="Arial"/>
              <w:lang w:val="uk-UA" w:eastAsia="uk-UA"/>
            </w:rPr>
          </w:r>
          <w:r/>
          <w:r>
            <w:rPr>
              <w:rFonts w:ascii="Arial" w:hAnsi="Arial" w:cs="Arial"/>
              <w:lang w:val="uk-UA" w:eastAsia="uk-UA"/>
            </w:rPr>
          </w:r>
          <w:r/>
        </w:p>
        <w:p>
          <w:pPr>
            <w:jc w:val="both"/>
            <w:spacing w:lineRule="exact" w:line="200"/>
            <w:rPr>
              <w:rFonts w:ascii="Arial" w:hAnsi="Arial" w:cs="Arial"/>
              <w:sz w:val="24"/>
            </w:rPr>
          </w:pPr>
          <w:r/>
          <w:bookmarkStart w:id="0" w:name="page1"/>
          <w:r/>
          <w:bookmarkEnd w:id="0"/>
          <w:r/>
          <w:r/>
        </w:p>
        <w:p>
          <w:pPr>
            <w:jc w:val="both"/>
            <w:spacing w:lineRule="exact" w:line="200"/>
            <w:rPr>
              <w:rFonts w:ascii="Arial" w:hAnsi="Arial" w:cs="Arial"/>
              <w:sz w:val="24"/>
            </w:rPr>
          </w:pPr>
          <w:r>
            <w:rPr>
              <w:rFonts w:ascii="Arial" w:hAnsi="Arial" w:cs="Arial"/>
              <w:sz w:val="24"/>
            </w:rPr>
          </w:r>
          <w:r>
            <mc:AlternateContent>
              <mc:Choice Requires="wpg">
                <w:drawing>
                  <wp:anchor xmlns:wp="http://schemas.openxmlformats.org/drawingml/2006/wordprocessingDrawing" distT="0" distB="0" distL="114300" distR="114300" simplePos="0" relativeHeight="251679744" behindDoc="1" locked="0" layoutInCell="1" allowOverlap="1">
                    <wp:simplePos x="0" y="0"/>
                    <wp:positionH relativeFrom="margin">
                      <wp:posOffset>7535545</wp:posOffset>
                    </wp:positionH>
                    <wp:positionV relativeFrom="paragraph">
                      <wp:posOffset>136525</wp:posOffset>
                    </wp:positionV>
                    <wp:extent cx="1536065" cy="1019175"/>
                    <wp:effectExtent l="0" t="0" r="6985" b="9525"/>
                    <wp:wrapTight wrapText="bothSides">
                      <wp:wrapPolygon edited="1">
                        <wp:start x="0" y="0"/>
                        <wp:lineTo x="0" y="21398"/>
                        <wp:lineTo x="21430" y="21398"/>
                        <wp:lineTo x="21430" y="0"/>
                        <wp:lineTo x="0" y="0"/>
                      </wp:wrapPolygon>
                    </wp:wrapTight>
                    <wp:docPr id="5" name="Рисунок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pic:cNvPicPr>
                              <a:picLocks noChangeAspect="1"/>
                            </pic:cNvPicPr>
                          </pic:nvPicPr>
                          <pic:blipFill>
                            <a:blip r:embed="rId12"/>
                            <a:srcRect l="-1412" t="0" r="32251" b="0"/>
                            <a:stretch/>
                          </pic:blipFill>
                          <pic:spPr bwMode="auto">
                            <a:xfrm>
                              <a:off x="0" y="0"/>
                              <a:ext cx="1536064" cy="1019174"/>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79744;o:allowoverlap:true;o:allowincell:true;mso-position-horizontal-relative:margin;margin-left:593.4pt;mso-position-horizontal:absolute;mso-position-vertical-relative:text;margin-top:10.8pt;mso-position-vertical:absolute;width:120.9pt;height:80.2pt;" wrapcoords="0 0 0 99065 99213 99065 99213 0 0 0">
                    <v:path textboxrect="0,0,0,0"/>
                    <v:imagedata r:id="rId12" o:title=""/>
                  </v:shape>
                </w:pict>
              </mc:Fallback>
            </mc:AlternateContent>
          </w:r>
          <w:r>
            <w:rPr>
              <w:rFonts w:ascii="Arial" w:hAnsi="Arial" w:cs="Arial"/>
              <w:sz w:val="24"/>
            </w:rPr>
          </w:r>
          <w:r/>
        </w:p>
        <w:p>
          <w:pPr>
            <w:jc w:val="both"/>
            <w:spacing w:lineRule="exact" w:line="200"/>
            <w:rPr>
              <w:rFonts w:ascii="Arial" w:hAnsi="Arial" w:cs="Arial"/>
              <w:sz w:val="24"/>
            </w:rPr>
          </w:pPr>
          <w:r>
            <w:rPr>
              <w:rFonts w:ascii="Arial" w:hAnsi="Arial" w:cs="Arial"/>
              <w:sz w:val="24"/>
            </w:rPr>
          </w:r>
          <w:r/>
        </w:p>
        <w:p>
          <w:pPr>
            <w:jc w:val="both"/>
            <w:spacing w:lineRule="exact" w:line="200"/>
            <w:rPr>
              <w:rFonts w:ascii="Arial" w:hAnsi="Arial" w:cs="Arial"/>
              <w:sz w:val="24"/>
            </w:rPr>
          </w:pPr>
          <w:r>
            <w:rPr>
              <w:rFonts w:ascii="Arial" w:hAnsi="Arial" w:cs="Arial"/>
              <w:sz w:val="24"/>
            </w:rPr>
          </w:r>
          <w:r/>
        </w:p>
        <w:p>
          <w:pPr>
            <w:jc w:val="both"/>
            <w:spacing w:lineRule="exact" w:line="200"/>
            <w:rPr>
              <w:rFonts w:ascii="Arial" w:hAnsi="Arial" w:cs="Arial"/>
              <w:sz w:val="24"/>
            </w:rPr>
          </w:pPr>
          <w:r>
            <w:rPr>
              <w:rFonts w:ascii="Arial" w:hAnsi="Arial" w:cs="Arial"/>
              <w:sz w:val="24"/>
            </w:rPr>
          </w:r>
          <w:r/>
          <w:r>
            <w:rPr>
              <w:rFonts w:ascii="Arial" w:hAnsi="Arial" w:cs="Arial"/>
              <w:sz w:val="24"/>
            </w:rPr>
          </w:r>
          <w:r/>
        </w:p>
        <w:p>
          <w:pPr>
            <w:jc w:val="both"/>
            <w:spacing w:lineRule="exact" w:line="200"/>
            <w:rPr>
              <w:rFonts w:ascii="Arial" w:hAnsi="Arial" w:cs="Arial"/>
              <w:sz w:val="24"/>
            </w:rPr>
          </w:pPr>
          <w:r>
            <w:rPr>
              <w:rFonts w:ascii="Arial" w:hAnsi="Arial" w:cs="Arial"/>
              <w:sz w:val="24"/>
            </w:rPr>
          </w:r>
          <w:r/>
        </w:p>
        <w:p>
          <w:pPr>
            <w:jc w:val="both"/>
            <w:spacing w:lineRule="exact" w:line="200"/>
            <w:rPr>
              <w:rFonts w:ascii="Arial" w:hAnsi="Arial" w:cs="Arial"/>
              <w:sz w:val="24"/>
            </w:rPr>
          </w:pPr>
          <w:r>
            <w:rPr>
              <w:rFonts w:ascii="Arial" w:hAnsi="Arial" w:cs="Arial"/>
              <w:sz w:val="24"/>
            </w:rPr>
          </w:r>
          <w:r/>
        </w:p>
        <w:p>
          <w:pPr>
            <w:jc w:val="both"/>
            <w:spacing w:lineRule="exact" w:line="200"/>
            <w:rPr>
              <w:rFonts w:ascii="Arial" w:hAnsi="Arial" w:cs="Arial"/>
              <w:sz w:val="24"/>
            </w:rPr>
          </w:pPr>
          <w:r>
            <w:rPr>
              <w:rFonts w:ascii="Arial" w:hAnsi="Arial" w:cs="Arial"/>
              <w:sz w:val="24"/>
            </w:rPr>
          </w:r>
          <w:r/>
        </w:p>
        <w:p>
          <w:pPr>
            <w:jc w:val="both"/>
            <w:spacing w:lineRule="exact" w:line="200"/>
            <w:rPr>
              <w:rFonts w:ascii="Arial" w:hAnsi="Arial" w:cs="Arial"/>
              <w:sz w:val="24"/>
            </w:rPr>
          </w:pPr>
          <w:r>
            <w:rPr>
              <w:rFonts w:ascii="Arial" w:hAnsi="Arial" w:cs="Arial"/>
              <w:lang w:val="uk-UA" w:eastAsia="uk-UA"/>
            </w:rPr>
            <mc:AlternateContent>
              <mc:Choice Requires="wpg">
                <w:drawing>
                  <wp:anchor xmlns:wp="http://schemas.openxmlformats.org/drawingml/2006/wordprocessingDrawing" distT="0" distB="0" distL="114300" distR="114300" simplePos="0" relativeHeight="251677696" behindDoc="1" locked="0" layoutInCell="1" allowOverlap="1">
                    <wp:simplePos x="0" y="0"/>
                    <wp:positionH relativeFrom="column">
                      <wp:posOffset>-900430</wp:posOffset>
                    </wp:positionH>
                    <wp:positionV relativeFrom="paragraph">
                      <wp:posOffset>336550</wp:posOffset>
                    </wp:positionV>
                    <wp:extent cx="10696575" cy="1304925"/>
                    <wp:effectExtent l="0" t="0" r="9525" b="9525"/>
                    <wp:wrapTight wrapText="bothSides">
                      <wp:wrapPolygon edited="1">
                        <wp:start x="0" y="0"/>
                        <wp:lineTo x="0" y="21442"/>
                        <wp:lineTo x="21581" y="21442"/>
                        <wp:lineTo x="21581" y="0"/>
                        <wp:lineTo x="0" y="0"/>
                      </wp:wrapPolygon>
                    </wp:wrapTight>
                    <wp:docPr id="6" name="Рисунок 3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Рисунок 1" hidden="0"/>
                            <pic:cNvPicPr>
                              <a:picLocks noChangeAspect="1"/>
                            </pic:cNvPicPr>
                          </pic:nvPicPr>
                          <pic:blipFill>
                            <a:blip r:embed="rId13"/>
                            <a:stretch/>
                          </pic:blipFill>
                          <pic:spPr bwMode="auto">
                            <a:xfrm>
                              <a:off x="0" y="0"/>
                              <a:ext cx="10696575" cy="13049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77696;o:allowoverlap:true;o:allowincell:true;mso-position-horizontal-relative:text;margin-left:-70.9pt;mso-position-horizontal:absolute;mso-position-vertical-relative:text;margin-top:26.5pt;mso-position-vertical:absolute;width:842.2pt;height:102.8pt;" wrapcoords="0 0 0 99269 99912 99269 99912 0 0 0">
                    <v:path textboxrect="0,0,0,0"/>
                    <v:imagedata r:id="rId13" o:title=""/>
                  </v:shape>
                </w:pict>
              </mc:Fallback>
            </mc:AlternateContent>
          </w:r>
          <w:r/>
        </w:p>
        <w:p>
          <w:pPr>
            <w:jc w:val="right"/>
            <w:spacing w:lineRule="exact" w:line="200"/>
            <w:rPr>
              <w:rFonts w:ascii="Arial" w:hAnsi="Arial" w:cs="Arial"/>
              <w:sz w:val="24"/>
            </w:rPr>
          </w:pPr>
          <w:r>
            <w:rPr>
              <w:rFonts w:ascii="Arial" w:hAnsi="Arial" w:cs="Arial"/>
              <w:sz w:val="24"/>
            </w:rPr>
          </w:r>
          <w:r/>
        </w:p>
        <w:p>
          <w:pPr>
            <w:jc w:val="right"/>
            <w:spacing w:lineRule="exact" w:line="200"/>
            <w:rPr>
              <w:rFonts w:ascii="Arial" w:hAnsi="Arial" w:cs="Arial"/>
              <w:sz w:val="24"/>
              <w:lang w:val="en-US"/>
            </w:rPr>
          </w:pPr>
          <w:r>
            <w:rPr>
              <w:rFonts w:ascii="Arial" w:hAnsi="Arial" w:cs="Arial"/>
              <w:sz w:val="24"/>
              <w:lang w:val="en-US"/>
            </w:rPr>
          </w:r>
          <w:r/>
        </w:p>
        <w:p>
          <w:pPr>
            <w:jc w:val="right"/>
            <w:spacing w:lineRule="atLeast" w:line="0"/>
            <w:rPr>
              <w:rFonts w:ascii="Arial" w:hAnsi="Arial" w:cs="Arial" w:eastAsia="Arial"/>
              <w:color w:val="00A3D6"/>
              <w:sz w:val="31"/>
              <w:lang w:val="uk-UA"/>
            </w:rPr>
          </w:pPr>
          <w:r>
            <w:rPr>
              <w:rFonts w:ascii="Arial" w:hAnsi="Arial" w:cs="Arial" w:eastAsia="Arial"/>
              <w:color w:val="00A3D6"/>
              <w:sz w:val="31"/>
              <w:lang w:val="uk-UA"/>
            </w:rPr>
            <w:t xml:space="preserve">МЕНСЬКА МІСЬК</w:t>
          </w:r>
          <w:r>
            <w:rPr>
              <w:rFonts w:ascii="Arial" w:hAnsi="Arial" w:cs="Arial" w:eastAsia="Arial"/>
              <w:color w:val="00A3D6"/>
              <w:sz w:val="31"/>
              <w:lang w:val="uk-UA"/>
            </w:rPr>
            <w:t xml:space="preserve">А РАДА</w:t>
          </w:r>
          <w:r/>
        </w:p>
        <w:p>
          <w:pPr>
            <w:jc w:val="right"/>
            <w:spacing w:lineRule="atLeast" w:line="0"/>
            <w:rPr>
              <w:rFonts w:ascii="Arial" w:hAnsi="Arial" w:cs="Arial" w:eastAsia="Arial"/>
              <w:b/>
              <w:color w:val="024C78"/>
              <w:sz w:val="51"/>
              <w:lang w:val="uk-UA"/>
            </w:rPr>
          </w:pPr>
          <w:r>
            <w:rPr>
              <w:b/>
              <w:color w:val="2E74B5"/>
              <w:sz w:val="38"/>
              <w:szCs w:val="38"/>
              <w:lang w:val="uk-UA" w:eastAsia="uk-UA"/>
            </w:rPr>
            <mc:AlternateContent>
              <mc:Choice Requires="wpg">
                <w:drawing>
                  <wp:anchor xmlns:wp="http://schemas.openxmlformats.org/drawingml/2006/wordprocessingDrawing" distT="0" distB="0" distL="114300" distR="114300" simplePos="0" relativeHeight="251680768" behindDoc="1" locked="0" layoutInCell="1" allowOverlap="1">
                    <wp:simplePos x="0" y="0"/>
                    <wp:positionH relativeFrom="column">
                      <wp:posOffset>385445</wp:posOffset>
                    </wp:positionH>
                    <wp:positionV relativeFrom="paragraph">
                      <wp:posOffset>49530</wp:posOffset>
                    </wp:positionV>
                    <wp:extent cx="1158240" cy="1495326"/>
                    <wp:effectExtent l="0" t="0" r="3810" b="0"/>
                    <wp:wrapTight wrapText="bothSides">
                      <wp:wrapPolygon edited="1">
                        <wp:start x="6039" y="0"/>
                        <wp:lineTo x="5329" y="0"/>
                        <wp:lineTo x="1066" y="3854"/>
                        <wp:lineTo x="0" y="4404"/>
                        <wp:lineTo x="0" y="14590"/>
                        <wp:lineTo x="1421" y="17618"/>
                        <wp:lineTo x="9237" y="21196"/>
                        <wp:lineTo x="9592" y="21196"/>
                        <wp:lineTo x="11368" y="21196"/>
                        <wp:lineTo x="11724" y="21196"/>
                        <wp:lineTo x="19539" y="17618"/>
                        <wp:lineTo x="20961" y="14314"/>
                        <wp:lineTo x="21316" y="10185"/>
                        <wp:lineTo x="21316" y="4680"/>
                        <wp:lineTo x="15986" y="275"/>
                        <wp:lineTo x="14566" y="0"/>
                        <wp:lineTo x="6039" y="0"/>
                      </wp:wrapPolygon>
                    </wp:wrapTight>
                    <wp:docPr id="7" name="Рисунок 2" descr="Mena gerb.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Picture 2" descr="Mena gerb.png" hidden="0"/>
                            <pic:cNvPicPr>
                              <a:picLocks noChangeAspect="1"/>
                            </pic:cNvPicPr>
                          </pic:nvPicPr>
                          <pic:blipFill>
                            <a:blip r:embed="rId14"/>
                            <a:stretch/>
                          </pic:blipFill>
                          <pic:spPr bwMode="auto">
                            <a:xfrm>
                              <a:off x="0" y="0"/>
                              <a:ext cx="1158240" cy="1495326"/>
                            </a:xfrm>
                            <a:prstGeom prst="rect">
                              <a:avLst/>
                            </a:prstGeom>
                            <a:noFill/>
                            <a:ln w="9525">
                              <a:noFill/>
                              <a:miter lim="800000"/>
                              <a:headEnd/>
                              <a:tailE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80768;o:allowoverlap:true;o:allowincell:true;mso-position-horizontal-relative:text;margin-left:30.3pt;mso-position-horizontal:absolute;mso-position-vertical-relative:text;margin-top:3.9pt;mso-position-vertical:absolute;width:91.2pt;height:117.7pt;" wrapcoords="27958 0 24671 0 4935 17843 0 20389 0 67546 6579 81565 42764 98130 44407 98130 52630 98130 54278 98130 90458 81565 97042 66269 98685 47153 98685 21667 74009 1273 67435 0 27958 0" strokeweight="0.75pt">
                    <v:path textboxrect="0,0,0,0"/>
                    <v:imagedata r:id="rId14" o:title=""/>
                  </v:shape>
                </w:pict>
              </mc:Fallback>
            </mc:AlternateContent>
          </w:r>
          <w:r>
            <w:rPr>
              <w:rFonts w:ascii="Arial" w:hAnsi="Arial" w:cs="Arial" w:eastAsia="Arial"/>
              <w:b/>
              <w:color w:val="024C78"/>
              <w:sz w:val="51"/>
              <w:lang w:val="uk-UA"/>
            </w:rPr>
            <w:t xml:space="preserve">ПЛАН ДІЙ СТАЛОГО ЕНЕРГЕТИЧНОГО</w:t>
          </w:r>
          <w:r/>
        </w:p>
        <w:p>
          <w:pPr>
            <w:jc w:val="right"/>
            <w:spacing w:lineRule="atLeast" w:line="0"/>
            <w:rPr>
              <w:rFonts w:ascii="Arial" w:hAnsi="Arial" w:cs="Arial" w:eastAsia="Arial"/>
              <w:b/>
              <w:color w:val="024C78"/>
              <w:sz w:val="51"/>
              <w:lang w:val="uk-UA"/>
            </w:rPr>
          </w:pPr>
          <w:r>
            <w:rPr>
              <w:rFonts w:ascii="Arial" w:hAnsi="Arial" w:cs="Arial" w:eastAsia="Arial"/>
              <w:b/>
              <w:color w:val="024C78"/>
              <w:sz w:val="51"/>
              <w:lang w:val="uk-UA"/>
            </w:rPr>
            <w:t xml:space="preserve">РОЗВИТКУ ТА КЛІМАТУ</w:t>
          </w:r>
          <w:r/>
        </w:p>
        <w:p>
          <w:pPr>
            <w:jc w:val="right"/>
            <w:spacing w:lineRule="atLeast" w:line="0"/>
            <w:rPr>
              <w:rFonts w:ascii="Arial" w:hAnsi="Arial" w:cs="Arial"/>
              <w:lang w:val="uk-UA"/>
            </w:rPr>
          </w:pPr>
          <w:r>
            <w:rPr>
              <w:rFonts w:ascii="Arial" w:hAnsi="Arial" w:cs="Arial" w:eastAsia="Arial"/>
              <w:b/>
              <w:color w:val="024C78"/>
              <w:sz w:val="51"/>
              <w:lang w:val="uk-UA"/>
            </w:rPr>
            <w:t xml:space="preserve">2020-2030</w:t>
          </w:r>
          <w:r/>
        </w:p>
        <w:p>
          <w:pPr>
            <w:jc w:val="both"/>
            <w:spacing w:lineRule="auto" w:line="240" w:after="0"/>
            <w:rPr>
              <w:rFonts w:ascii="Arial" w:hAnsi="Arial" w:cs="Arial"/>
              <w:b/>
              <w:sz w:val="40"/>
              <w:szCs w:val="40"/>
              <w:lang w:val="uk-UA"/>
            </w:rPr>
          </w:pPr>
          <w:r>
            <w:rPr>
              <w:rFonts w:ascii="Arial" w:hAnsi="Arial" w:cs="Arial"/>
              <w:b/>
              <w:sz w:val="40"/>
              <w:szCs w:val="40"/>
              <w:lang w:val="uk-UA"/>
            </w:rPr>
          </w:r>
          <w:r/>
        </w:p>
      </w:sdtContent>
    </w:sdt>
    <w:p>
      <w:pPr>
        <w:pStyle w:val="548"/>
        <w:jc w:val="right"/>
        <w:rPr>
          <w:b/>
          <w:bCs/>
          <w:sz w:val="20"/>
          <w:szCs w:val="20"/>
          <w:lang w:val="uk-UA"/>
        </w:rPr>
      </w:pPr>
      <w:r>
        <w:rPr>
          <w:b/>
          <w:bCs/>
          <w:sz w:val="20"/>
          <w:szCs w:val="20"/>
          <w:lang w:val="uk-UA"/>
        </w:rPr>
      </w:r>
      <w:r/>
    </w:p>
    <w:p>
      <w:pPr>
        <w:pStyle w:val="548"/>
        <w:jc w:val="right"/>
        <w:rPr>
          <w:b/>
          <w:bCs/>
          <w:sz w:val="20"/>
          <w:szCs w:val="20"/>
          <w:lang w:val="uk-UA"/>
        </w:rPr>
      </w:pPr>
      <w:r>
        <w:rPr>
          <w:b/>
          <w:bCs/>
          <w:sz w:val="20"/>
          <w:szCs w:val="20"/>
          <w:lang w:val="uk-UA"/>
        </w:rPr>
      </w:r>
      <w:r/>
    </w:p>
    <w:p>
      <w:pPr>
        <w:pStyle w:val="548"/>
        <w:jc w:val="right"/>
        <w:rPr>
          <w:b/>
          <w:bCs/>
          <w:sz w:val="20"/>
          <w:szCs w:val="20"/>
          <w:lang w:val="uk-UA"/>
        </w:rPr>
      </w:pPr>
      <w:r>
        <w:rPr>
          <w:b/>
          <w:bCs/>
          <w:sz w:val="20"/>
          <w:szCs w:val="20"/>
          <w:lang w:val="uk-UA"/>
        </w:rPr>
      </w:r>
      <w:r/>
    </w:p>
    <w:p>
      <w:pPr>
        <w:pStyle w:val="548"/>
        <w:jc w:val="right"/>
        <w:rPr>
          <w:b/>
          <w:bCs/>
          <w:sz w:val="20"/>
          <w:szCs w:val="20"/>
          <w:lang w:val="uk-UA"/>
        </w:rPr>
      </w:pPr>
      <w:r>
        <w:rPr>
          <w:b/>
          <w:bCs/>
          <w:sz w:val="20"/>
          <w:szCs w:val="20"/>
          <w:lang w:val="uk-UA"/>
        </w:rPr>
      </w:r>
      <w:r/>
    </w:p>
    <w:p>
      <w:pPr>
        <w:pStyle w:val="548"/>
        <w:jc w:val="right"/>
        <w:rPr>
          <w:b/>
          <w:bCs/>
          <w:sz w:val="20"/>
          <w:szCs w:val="20"/>
          <w:lang w:val="uk-UA"/>
        </w:rPr>
      </w:pPr>
      <w:r>
        <w:rPr>
          <w:b/>
          <w:bCs/>
          <w:sz w:val="20"/>
          <w:szCs w:val="20"/>
          <w:lang w:val="uk-UA"/>
        </w:rPr>
      </w:r>
      <w:r/>
    </w:p>
    <w:p>
      <w:pPr>
        <w:pStyle w:val="548"/>
        <w:jc w:val="right"/>
        <w:rPr>
          <w:b/>
          <w:bCs/>
          <w:sz w:val="20"/>
          <w:szCs w:val="20"/>
          <w:lang w:val="uk-UA"/>
        </w:rPr>
      </w:pPr>
      <w:r>
        <w:rPr>
          <w:b/>
          <w:bCs/>
          <w:sz w:val="20"/>
          <w:szCs w:val="20"/>
          <w:lang w:val="uk-UA"/>
        </w:rPr>
      </w:r>
      <w:r/>
    </w:p>
    <w:p>
      <w:pPr>
        <w:ind w:left="10630" w:right="-1" w:firstLine="0"/>
        <w:jc w:val="both"/>
        <w:rPr>
          <w:rFonts w:ascii="Arial" w:hAnsi="Arial" w:cs="Arial"/>
          <w:sz w:val="20"/>
          <w:szCs w:val="20"/>
          <w:lang w:val="uk-UA"/>
        </w:rPr>
      </w:pPr>
      <w:r>
        <w:rPr>
          <w:rFonts w:ascii="Arial" w:hAnsi="Arial" w:cs="Arial"/>
          <w:sz w:val="20"/>
          <w:szCs w:val="20"/>
          <w:lang w:val="uk-UA"/>
        </w:rPr>
        <w:t xml:space="preserve">Додаток </w:t>
      </w:r>
      <w:r>
        <w:rPr>
          <w:rFonts w:ascii="Arial" w:hAnsi="Arial" w:cs="Arial"/>
          <w:sz w:val="20"/>
          <w:shd w:val="clear" w:color="auto" w:fill="FFFFFF"/>
          <w:lang w:val="uk-UA"/>
        </w:rPr>
        <w:t xml:space="preserve">до рішення 2 сесії Менської міської ради 8 скликання від 30.12.2020 №139 «Про </w:t>
      </w:r>
      <w:r>
        <w:rPr>
          <w:rFonts w:ascii="Arial" w:hAnsi="Arial" w:cs="Arial"/>
          <w:sz w:val="20"/>
          <w:shd w:val="clear" w:color="auto" w:fill="FFFFFF"/>
          <w:lang w:val="uk-UA"/>
        </w:rPr>
        <w:t xml:space="preserve">затвердження Плану дій сталого енергетичного розвитку та клімату</w:t>
      </w:r>
      <w:r>
        <w:rPr>
          <w:rFonts w:ascii="Arial" w:hAnsi="Arial" w:cs="Arial"/>
          <w:sz w:val="20"/>
          <w:shd w:val="clear" w:color="auto" w:fill="FFFFFF"/>
          <w:lang w:val="uk-UA"/>
        </w:rPr>
        <w:t xml:space="preserve"> Менської міської територіальної громади </w:t>
      </w:r>
      <w:r>
        <w:rPr>
          <w:rFonts w:ascii="Arial" w:hAnsi="Arial" w:cs="Arial"/>
          <w:sz w:val="20"/>
          <w:shd w:val="clear" w:color="auto" w:fill="FFFFFF"/>
          <w:lang w:val="uk-UA"/>
        </w:rPr>
        <w:t xml:space="preserve">до</w:t>
      </w:r>
      <w:r>
        <w:rPr>
          <w:rFonts w:ascii="Arial" w:hAnsi="Arial" w:cs="Arial"/>
          <w:sz w:val="20"/>
          <w:shd w:val="clear" w:color="auto" w:fill="FFFFFF"/>
          <w:lang w:val="uk-UA"/>
        </w:rPr>
        <w:t xml:space="preserve"> 20</w:t>
      </w:r>
      <w:r>
        <w:rPr>
          <w:rFonts w:ascii="Arial" w:hAnsi="Arial" w:cs="Arial"/>
          <w:sz w:val="20"/>
          <w:shd w:val="clear" w:color="auto" w:fill="FFFFFF"/>
          <w:lang w:val="uk-UA"/>
        </w:rPr>
        <w:t xml:space="preserve">3</w:t>
      </w:r>
      <w:r>
        <w:rPr>
          <w:rFonts w:ascii="Arial" w:hAnsi="Arial" w:cs="Arial"/>
          <w:sz w:val="20"/>
          <w:shd w:val="clear" w:color="auto" w:fill="FFFFFF"/>
          <w:lang w:val="uk-UA"/>
        </w:rPr>
        <w:t xml:space="preserve">0</w:t>
      </w:r>
      <w:r>
        <w:rPr>
          <w:rFonts w:ascii="Arial" w:hAnsi="Arial" w:cs="Arial"/>
          <w:sz w:val="20"/>
          <w:szCs w:val="28"/>
          <w:lang w:val="uk-UA" w:eastAsia="uk-UA"/>
        </w:rPr>
        <w:t xml:space="preserve"> </w:t>
      </w:r>
      <w:r>
        <w:rPr>
          <w:rFonts w:ascii="Arial" w:hAnsi="Arial" w:cs="Arial"/>
          <w:sz w:val="20"/>
          <w:shd w:val="clear" w:color="auto" w:fill="FFFFFF"/>
          <w:lang w:val="uk-UA"/>
        </w:rPr>
        <w:t xml:space="preserve">року</w:t>
      </w:r>
      <w:r>
        <w:rPr>
          <w:rFonts w:ascii="Arial" w:hAnsi="Arial" w:cs="Arial"/>
          <w:bCs/>
          <w:sz w:val="20"/>
          <w:szCs w:val="28"/>
          <w:lang w:val="uk-UA"/>
        </w:rPr>
        <w:t xml:space="preserve">»</w:t>
      </w:r>
      <w:r>
        <w:rPr>
          <w:rFonts w:ascii="Arial" w:hAnsi="Arial" w:cs="Arial"/>
          <w:sz w:val="20"/>
          <w:lang w:val="uk-UA"/>
        </w:rPr>
      </w:r>
    </w:p>
    <w:p>
      <w:pPr>
        <w:ind w:right="-1"/>
        <w:jc w:val="center"/>
        <w:rPr>
          <w:rFonts w:ascii="Arial" w:hAnsi="Arial" w:cs="Arial"/>
          <w:color w:val="385623"/>
          <w:sz w:val="24"/>
          <w:szCs w:val="24"/>
          <w:lang w:val="uk-UA"/>
        </w:rPr>
      </w:pPr>
      <w:r>
        <w:rPr>
          <w:b/>
          <w:color w:val="2E74B5"/>
          <w:sz w:val="38"/>
          <w:szCs w:val="38"/>
          <w:lang w:val="uk-UA" w:eastAsia="uk-UA"/>
        </w:rPr>
        <mc:AlternateContent>
          <mc:Choice Requires="wpg">
            <w:drawing>
              <wp:inline xmlns:wp="http://schemas.openxmlformats.org/drawingml/2006/wordprocessingDrawing" distT="0" distB="0" distL="0" distR="0">
                <wp:extent cx="1158240" cy="1495326"/>
                <wp:effectExtent l="0" t="0" r="3810" b="0"/>
                <wp:docPr id="8" name="Рисунок 2" descr="Mena gerb.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Picture 2" descr="Mena gerb.png" hidden="0"/>
                        <pic:cNvPicPr>
                          <a:picLocks noChangeAspect="1"/>
                        </pic:cNvPicPr>
                      </pic:nvPicPr>
                      <pic:blipFill>
                        <a:blip r:embed="rId15"/>
                        <a:stretch/>
                      </pic:blipFill>
                      <pic:spPr bwMode="auto">
                        <a:xfrm>
                          <a:off x="0" y="0"/>
                          <a:ext cx="1170531" cy="151119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91.2pt;height:117.7pt;" strokeweight="0.75pt">
                <v:path textboxrect="0,0,0,0"/>
                <v:imagedata r:id="rId15" o:title=""/>
              </v:shape>
            </w:pict>
          </mc:Fallback>
        </mc:AlternateContent>
      </w:r>
      <w:r/>
    </w:p>
    <w:p>
      <w:pPr>
        <w:jc w:val="center"/>
        <w:spacing w:lineRule="auto" w:line="240" w:after="80"/>
        <w:rPr>
          <w:rFonts w:ascii="Arial" w:hAnsi="Arial" w:cs="Arial"/>
          <w:b/>
          <w:sz w:val="40"/>
          <w:szCs w:val="40"/>
          <w:lang w:val="uk-UA"/>
        </w:rPr>
      </w:pPr>
      <w:r>
        <w:rPr>
          <w:rFonts w:ascii="Arial" w:hAnsi="Arial" w:cs="Arial"/>
          <w:b/>
          <w:sz w:val="40"/>
          <w:szCs w:val="40"/>
          <w:lang w:val="uk-UA"/>
        </w:rPr>
        <w:t xml:space="preserve">ПЛАН ДІЙ </w:t>
      </w:r>
      <w:r/>
    </w:p>
    <w:p>
      <w:pPr>
        <w:jc w:val="center"/>
        <w:spacing w:lineRule="auto" w:line="240" w:after="80"/>
        <w:rPr>
          <w:rFonts w:ascii="Arial" w:hAnsi="Arial" w:cs="Arial"/>
          <w:b/>
          <w:sz w:val="40"/>
          <w:szCs w:val="40"/>
          <w:lang w:val="uk-UA"/>
        </w:rPr>
      </w:pPr>
      <w:r>
        <w:rPr>
          <w:rFonts w:ascii="Arial" w:hAnsi="Arial" w:cs="Arial"/>
          <w:b/>
          <w:sz w:val="40"/>
          <w:szCs w:val="40"/>
          <w:lang w:val="uk-UA"/>
        </w:rPr>
        <w:t xml:space="preserve">СТАЛОГО ЕНЕРГЕТИЧНОГО РОЗВИТКУ </w:t>
      </w:r>
      <w:r/>
    </w:p>
    <w:p>
      <w:pPr>
        <w:jc w:val="center"/>
        <w:spacing w:lineRule="auto" w:line="240" w:after="80"/>
        <w:rPr>
          <w:rFonts w:ascii="Arial" w:hAnsi="Arial" w:cs="Arial"/>
          <w:b/>
          <w:sz w:val="40"/>
          <w:szCs w:val="40"/>
          <w:lang w:val="uk-UA"/>
        </w:rPr>
      </w:pPr>
      <w:r>
        <w:rPr>
          <w:rFonts w:ascii="Arial" w:hAnsi="Arial" w:cs="Arial"/>
          <w:b/>
          <w:sz w:val="40"/>
          <w:szCs w:val="40"/>
          <w:lang w:val="uk-UA"/>
        </w:rPr>
        <w:t xml:space="preserve">ТА КЛІМАТУ</w:t>
      </w:r>
      <w:r/>
    </w:p>
    <w:p>
      <w:pPr>
        <w:jc w:val="center"/>
        <w:spacing w:lineRule="auto" w:line="240" w:after="80"/>
        <w:rPr>
          <w:rFonts w:ascii="Arial" w:hAnsi="Arial" w:cs="Arial"/>
          <w:b/>
          <w:sz w:val="40"/>
          <w:szCs w:val="40"/>
          <w:lang w:val="uk-UA"/>
        </w:rPr>
      </w:pPr>
      <w:r>
        <w:rPr>
          <w:rFonts w:ascii="Arial" w:hAnsi="Arial" w:cs="Arial"/>
          <w:b/>
          <w:sz w:val="40"/>
          <w:szCs w:val="40"/>
          <w:lang w:val="uk-UA"/>
        </w:rPr>
        <w:t xml:space="preserve">Менської міської </w:t>
      </w:r>
      <w:r/>
    </w:p>
    <w:p>
      <w:pPr>
        <w:jc w:val="center"/>
        <w:spacing w:lineRule="auto" w:line="240" w:after="80"/>
        <w:rPr>
          <w:rFonts w:ascii="Arial" w:hAnsi="Arial" w:cs="Arial"/>
          <w:b/>
          <w:sz w:val="40"/>
          <w:szCs w:val="40"/>
          <w:lang w:val="uk-UA"/>
        </w:rPr>
      </w:pPr>
      <w:r>
        <w:rPr>
          <w:rFonts w:ascii="Arial" w:hAnsi="Arial" w:cs="Arial"/>
          <w:b/>
          <w:sz w:val="40"/>
          <w:szCs w:val="40"/>
          <w:lang w:val="uk-UA"/>
        </w:rPr>
        <w:t xml:space="preserve">територіальної громади</w:t>
      </w:r>
      <w:r/>
    </w:p>
    <w:p>
      <w:pPr>
        <w:jc w:val="center"/>
        <w:spacing w:lineRule="auto" w:line="240" w:after="80"/>
        <w:rPr>
          <w:rFonts w:ascii="Arial" w:hAnsi="Arial" w:cs="Arial"/>
          <w:b/>
          <w:sz w:val="40"/>
          <w:szCs w:val="40"/>
          <w:lang w:val="uk-UA"/>
        </w:rPr>
      </w:pPr>
      <w:r>
        <w:rPr>
          <w:rFonts w:ascii="Arial" w:hAnsi="Arial" w:cs="Arial"/>
          <w:b/>
          <w:sz w:val="40"/>
          <w:szCs w:val="40"/>
          <w:lang w:val="uk-UA"/>
        </w:rPr>
        <w:t xml:space="preserve"> на період</w:t>
      </w:r>
      <w:r>
        <w:rPr>
          <w:rFonts w:ascii="Arial" w:hAnsi="Arial" w:cs="Arial"/>
          <w:b/>
          <w:sz w:val="40"/>
          <w:szCs w:val="40"/>
          <w:lang w:val="uk-UA"/>
        </w:rPr>
        <w:tab/>
      </w:r>
      <w:r/>
    </w:p>
    <w:p>
      <w:pPr>
        <w:jc w:val="center"/>
        <w:spacing w:lineRule="auto" w:line="240" w:after="80"/>
        <w:rPr>
          <w:rFonts w:ascii="Arial" w:hAnsi="Arial" w:cs="Arial"/>
          <w:b/>
          <w:sz w:val="40"/>
          <w:szCs w:val="40"/>
          <w:lang w:val="uk-UA"/>
        </w:rPr>
      </w:pPr>
      <w:r>
        <w:rPr>
          <w:rFonts w:ascii="Arial" w:hAnsi="Arial" w:cs="Arial"/>
          <w:b/>
          <w:sz w:val="40"/>
          <w:szCs w:val="40"/>
          <w:lang w:val="uk-UA"/>
        </w:rPr>
        <w:t xml:space="preserve">до 2030 року</w:t>
      </w:r>
      <w:r/>
    </w:p>
    <w:p>
      <w:pPr>
        <w:ind w:right="-1"/>
        <w:jc w:val="center"/>
        <w:spacing w:after="0"/>
        <w:rPr>
          <w:rFonts w:ascii="Arial" w:hAnsi="Arial" w:cs="Arial"/>
          <w:b/>
          <w:color w:val="0099FF"/>
          <w:sz w:val="20"/>
          <w:szCs w:val="20"/>
          <w:lang w:val="uk-UA" w:eastAsia="ru-RU"/>
        </w:rPr>
      </w:pPr>
      <w:r>
        <w:rPr>
          <w:rFonts w:ascii="Arial" w:hAnsi="Arial" w:cs="Arial"/>
          <w:b/>
          <w:color w:val="0099FF"/>
          <w:sz w:val="20"/>
          <w:szCs w:val="20"/>
          <w:lang w:val="uk-UA" w:eastAsia="ru-RU"/>
        </w:rPr>
      </w:r>
      <w:r/>
    </w:p>
    <w:p>
      <w:pPr>
        <w:ind w:right="-1"/>
        <w:jc w:val="center"/>
        <w:rPr>
          <w:rFonts w:ascii="Arial" w:hAnsi="Arial" w:cs="Arial"/>
          <w:b/>
          <w:color w:val="0099FF"/>
          <w:sz w:val="24"/>
          <w:szCs w:val="24"/>
          <w:lang w:val="uk-UA"/>
        </w:rPr>
      </w:pPr>
      <w:r>
        <w:rPr>
          <w:lang w:val="uk-UA" w:eastAsia="uk-UA"/>
        </w:rPr>
        <mc:AlternateContent>
          <mc:Choice Requires="wpg">
            <w:drawing>
              <wp:inline xmlns:wp="http://schemas.openxmlformats.org/drawingml/2006/wordprocessingDrawing" distT="0" distB="0" distL="0" distR="0">
                <wp:extent cx="1752600" cy="1143000"/>
                <wp:effectExtent l="0" t="0" r="0" b="0"/>
                <wp:docPr id="9" name="Рисунок 10" descr="Похожее изображение"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Picture 2" descr="Похожее изображение" hidden="0"/>
                        <pic:cNvPicPr>
                          <a:picLocks noChangeAspect="1"/>
                        </pic:cNvPicPr>
                      </pic:nvPicPr>
                      <pic:blipFill>
                        <a:blip r:embed="rId16"/>
                        <a:stretch/>
                      </pic:blipFill>
                      <pic:spPr bwMode="auto">
                        <a:xfrm>
                          <a:off x="0" y="0"/>
                          <a:ext cx="1775090" cy="115766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138.0pt;height:90.0pt;">
                <v:path textboxrect="0,0,0,0"/>
                <v:imagedata r:id="rId16" o:title=""/>
              </v:shape>
            </w:pict>
          </mc:Fallback>
        </mc:AlternateContent>
      </w:r>
      <w:r/>
    </w:p>
    <w:p>
      <w:pPr>
        <w:jc w:val="center"/>
        <w:spacing w:lineRule="auto" w:line="240" w:after="0"/>
        <w:rPr>
          <w:rFonts w:ascii="Arial" w:hAnsi="Arial" w:cs="Arial"/>
          <w:b/>
          <w:sz w:val="28"/>
          <w:szCs w:val="28"/>
          <w:lang w:val="uk-UA"/>
        </w:rPr>
      </w:pPr>
      <w:r>
        <w:rPr>
          <w:rFonts w:ascii="Arial" w:hAnsi="Arial" w:cs="Arial"/>
          <w:b/>
          <w:sz w:val="28"/>
          <w:szCs w:val="28"/>
          <w:lang w:val="uk-UA"/>
        </w:rPr>
        <w:t xml:space="preserve">Україна</w:t>
      </w:r>
      <w:r/>
    </w:p>
    <w:p>
      <w:pPr>
        <w:jc w:val="center"/>
        <w:spacing w:lineRule="auto" w:line="240" w:after="0"/>
        <w:rPr>
          <w:rFonts w:ascii="Arial" w:hAnsi="Arial" w:cs="Arial"/>
          <w:b/>
          <w:sz w:val="28"/>
          <w:szCs w:val="28"/>
          <w:lang w:val="uk-UA"/>
        </w:rPr>
      </w:pPr>
      <w:r>
        <w:rPr>
          <w:rFonts w:ascii="Arial" w:hAnsi="Arial" w:cs="Arial"/>
          <w:b/>
          <w:sz w:val="28"/>
          <w:szCs w:val="28"/>
          <w:lang w:val="uk-UA"/>
        </w:rPr>
        <w:t xml:space="preserve">2020</w:t>
      </w:r>
      <w:r/>
    </w:p>
    <w:p>
      <w:pPr>
        <w:ind w:right="-1"/>
        <w:jc w:val="center"/>
        <w:rPr>
          <w:rFonts w:ascii="Arial" w:hAnsi="Arial" w:cs="Arial"/>
          <w:b/>
          <w:sz w:val="24"/>
          <w:szCs w:val="24"/>
          <w:lang w:val="uk-UA"/>
        </w:rPr>
      </w:pPr>
      <w:r>
        <w:rPr>
          <w:rFonts w:ascii="Arial" w:hAnsi="Arial" w:cs="Arial"/>
          <w:b/>
          <w:sz w:val="24"/>
          <w:szCs w:val="24"/>
          <w:lang w:val="uk-UA"/>
        </w:rPr>
      </w:r>
      <w:r/>
    </w:p>
    <w:p>
      <w:pPr>
        <w:ind w:right="-1"/>
        <w:jc w:val="center"/>
        <w:rPr>
          <w:rFonts w:ascii="Arial" w:hAnsi="Arial" w:cs="Arial"/>
          <w:b/>
          <w:sz w:val="24"/>
          <w:szCs w:val="24"/>
          <w:lang w:val="uk-UA"/>
        </w:rPr>
      </w:pPr>
      <w:r>
        <w:rPr>
          <w:rFonts w:ascii="Arial" w:hAnsi="Arial" w:cs="Arial"/>
          <w:b/>
          <w:sz w:val="24"/>
          <w:szCs w:val="24"/>
          <w:lang w:val="uk-UA"/>
        </w:rPr>
      </w:r>
      <w:r/>
    </w:p>
    <w:p>
      <w:pPr>
        <w:ind w:right="-1"/>
        <w:jc w:val="center"/>
        <w:rPr>
          <w:rFonts w:ascii="Arial" w:hAnsi="Arial" w:cs="Arial"/>
          <w:b/>
          <w:sz w:val="40"/>
          <w:szCs w:val="40"/>
          <w:lang w:val="uk-UA"/>
        </w:rPr>
      </w:pPr>
      <w:r>
        <w:rPr>
          <w:rFonts w:ascii="Arial" w:hAnsi="Arial" w:cs="Arial"/>
          <w:b/>
          <w:sz w:val="40"/>
          <w:szCs w:val="40"/>
          <w:lang w:val="uk-UA"/>
        </w:rPr>
        <w:t xml:space="preserve">ЗМІСТ</w:t>
      </w:r>
      <w:r/>
    </w:p>
    <w:p>
      <w:pPr>
        <w:ind w:left="3960"/>
        <w:spacing w:lineRule="auto" w:line="240" w:after="0"/>
        <w:tabs>
          <w:tab w:val="left" w:pos="13500" w:leader="dot"/>
        </w:tabs>
        <w:rPr>
          <w:rFonts w:ascii="Arial" w:hAnsi="Arial" w:cs="Arial"/>
          <w:sz w:val="20"/>
          <w:szCs w:val="20"/>
          <w:lang w:val="uk-UA"/>
        </w:rPr>
      </w:pPr>
      <w:r>
        <w:rPr>
          <w:rFonts w:ascii="Arial" w:hAnsi="Arial" w:cs="Arial"/>
          <w:b/>
          <w:sz w:val="20"/>
          <w:szCs w:val="20"/>
          <w:lang w:val="uk-UA"/>
        </w:rPr>
        <w:t xml:space="preserve">ПЕРЕЛІК СКОРОЧЕНЬ</w:t>
      </w:r>
      <w:r>
        <w:rPr>
          <w:rFonts w:ascii="Arial" w:hAnsi="Arial" w:cs="Arial"/>
          <w:b/>
          <w:sz w:val="20"/>
          <w:szCs w:val="20"/>
          <w:lang w:val="uk-UA"/>
        </w:rPr>
        <w:tab/>
      </w:r>
      <w:r>
        <w:rPr>
          <w:rFonts w:ascii="Arial" w:hAnsi="Arial" w:cs="Arial"/>
          <w:sz w:val="20"/>
          <w:szCs w:val="20"/>
          <w:lang w:val="uk-UA"/>
        </w:rPr>
        <w:t xml:space="preserve">5</w:t>
      </w:r>
      <w:r/>
    </w:p>
    <w:p>
      <w:pPr>
        <w:ind w:left="3960"/>
        <w:spacing w:lineRule="auto" w:line="240" w:after="0"/>
        <w:tabs>
          <w:tab w:val="left" w:pos="13500" w:leader="dot"/>
        </w:tabs>
        <w:rPr>
          <w:rFonts w:ascii="Arial" w:hAnsi="Arial" w:cs="Arial"/>
          <w:b/>
          <w:sz w:val="20"/>
          <w:szCs w:val="20"/>
          <w:lang w:val="uk-UA"/>
        </w:rPr>
      </w:pPr>
      <w:r>
        <w:rPr>
          <w:rFonts w:ascii="Arial" w:hAnsi="Arial" w:cs="Arial"/>
          <w:b/>
          <w:sz w:val="20"/>
          <w:szCs w:val="20"/>
          <w:lang w:val="uk-UA"/>
        </w:rPr>
        <w:t xml:space="preserve">ВСТУПНА ЧАСТИНА</w:t>
      </w:r>
      <w:r>
        <w:rPr>
          <w:rFonts w:ascii="Arial" w:hAnsi="Arial" w:cs="Arial"/>
          <w:sz w:val="20"/>
          <w:szCs w:val="20"/>
          <w:lang w:val="uk-UA"/>
        </w:rPr>
        <w:tab/>
        <w:t xml:space="preserve">6</w:t>
      </w:r>
      <w:r/>
    </w:p>
    <w:p>
      <w:pPr>
        <w:ind w:left="3960"/>
        <w:spacing w:lineRule="auto" w:line="240" w:after="0"/>
        <w:tabs>
          <w:tab w:val="left" w:pos="13500" w:leader="dot"/>
        </w:tabs>
        <w:rPr>
          <w:rFonts w:ascii="Arial" w:hAnsi="Arial" w:cs="Arial"/>
          <w:b/>
          <w:sz w:val="20"/>
          <w:szCs w:val="20"/>
          <w:lang w:val="uk-UA"/>
        </w:rPr>
      </w:pPr>
      <w:r>
        <w:rPr>
          <w:rFonts w:ascii="Arial" w:hAnsi="Arial" w:cs="Arial"/>
          <w:b/>
          <w:sz w:val="20"/>
          <w:szCs w:val="20"/>
          <w:lang w:val="uk-UA"/>
        </w:rPr>
      </w:r>
      <w:r/>
    </w:p>
    <w:p>
      <w:pPr>
        <w:ind w:left="3960"/>
        <w:spacing w:lineRule="auto" w:line="240" w:after="0"/>
        <w:tabs>
          <w:tab w:val="left" w:pos="13500" w:leader="dot"/>
        </w:tabs>
        <w:rPr>
          <w:rFonts w:ascii="Arial" w:hAnsi="Arial" w:cs="Arial"/>
          <w:sz w:val="20"/>
          <w:szCs w:val="20"/>
          <w:lang w:val="uk-UA"/>
        </w:rPr>
      </w:pPr>
      <w:r>
        <w:rPr>
          <w:rFonts w:ascii="Arial" w:hAnsi="Arial" w:cs="Arial"/>
          <w:b/>
          <w:sz w:val="20"/>
          <w:szCs w:val="20"/>
          <w:lang w:val="uk-UA"/>
        </w:rPr>
        <w:t xml:space="preserve">РОЗДІЛ 1. ОПИСОВО-АНАЛ</w:t>
      </w:r>
      <w:r>
        <w:rPr>
          <w:rFonts w:ascii="Arial" w:hAnsi="Arial" w:cs="Arial"/>
          <w:b/>
          <w:sz w:val="20"/>
          <w:szCs w:val="20"/>
          <w:lang w:val="uk-UA"/>
        </w:rPr>
        <w:t xml:space="preserve">ІТИЧНА ЧАСТ</w:t>
      </w:r>
      <w:r>
        <w:rPr>
          <w:rFonts w:ascii="Arial" w:hAnsi="Arial" w:cs="Arial"/>
          <w:b/>
          <w:sz w:val="20"/>
          <w:szCs w:val="20"/>
          <w:lang w:val="uk-UA"/>
        </w:rPr>
        <w:t xml:space="preserve">ИНА</w:t>
      </w:r>
      <w:r>
        <w:rPr>
          <w:rFonts w:ascii="Arial" w:hAnsi="Arial" w:cs="Arial"/>
          <w:b/>
          <w:sz w:val="20"/>
          <w:szCs w:val="20"/>
          <w:lang w:val="uk-UA"/>
        </w:rPr>
        <w:tab/>
        <w:t xml:space="preserve">7</w:t>
      </w:r>
      <w:r>
        <w:rPr>
          <w:rFonts w:ascii="Arial" w:hAnsi="Arial" w:cs="Arial"/>
          <w:b/>
          <w:sz w:val="20"/>
          <w:szCs w:val="20"/>
          <w:lang w:val="uk-UA"/>
        </w:rPr>
        <w:t xml:space="preserve">                                              </w:t>
      </w:r>
      <w:r/>
    </w:p>
    <w:p>
      <w:pPr>
        <w:pStyle w:val="519"/>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1.1. Історична довідка</w:t>
      </w:r>
      <w:r>
        <w:rPr>
          <w:rFonts w:ascii="Arial" w:hAnsi="Arial" w:cs="Arial"/>
          <w:sz w:val="20"/>
          <w:szCs w:val="20"/>
          <w:lang w:val="uk-UA"/>
        </w:rPr>
        <w:tab/>
      </w:r>
      <w:r>
        <w:rPr>
          <w:rFonts w:ascii="Arial" w:hAnsi="Arial" w:cs="Arial"/>
          <w:sz w:val="20"/>
          <w:szCs w:val="20"/>
          <w:lang w:val="uk-UA"/>
        </w:rPr>
        <w:t xml:space="preserve">7</w:t>
      </w:r>
      <w:r/>
    </w:p>
    <w:p>
      <w:pPr>
        <w:pStyle w:val="519"/>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1.2. Г</w:t>
      </w:r>
      <w:r>
        <w:rPr>
          <w:rFonts w:ascii="Arial" w:hAnsi="Arial" w:cs="Arial"/>
          <w:sz w:val="20"/>
          <w:szCs w:val="20"/>
          <w:lang w:val="uk-UA"/>
        </w:rPr>
        <w:t xml:space="preserve">еографія і природний потенціал</w:t>
      </w:r>
      <w:r>
        <w:rPr>
          <w:rFonts w:ascii="Arial" w:hAnsi="Arial" w:cs="Arial"/>
          <w:sz w:val="20"/>
          <w:szCs w:val="20"/>
          <w:lang w:val="uk-UA"/>
        </w:rPr>
        <w:tab/>
        <w:t xml:space="preserve">8</w:t>
      </w:r>
      <w:r/>
    </w:p>
    <w:p>
      <w:pPr>
        <w:pStyle w:val="519"/>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1.3</w:t>
      </w:r>
      <w:r>
        <w:rPr>
          <w:rFonts w:ascii="Arial" w:hAnsi="Arial" w:cs="Arial"/>
          <w:sz w:val="20"/>
          <w:szCs w:val="20"/>
          <w:lang w:val="uk-UA"/>
        </w:rPr>
        <w:t xml:space="preserve">. </w:t>
      </w:r>
      <w:r>
        <w:rPr>
          <w:rFonts w:ascii="Arial" w:hAnsi="Arial" w:cs="Arial"/>
          <w:sz w:val="20"/>
          <w:szCs w:val="20"/>
          <w:lang w:val="uk-UA"/>
        </w:rPr>
        <w:t xml:space="preserve">Склад громади</w:t>
      </w:r>
      <w:r>
        <w:rPr>
          <w:rFonts w:ascii="Arial" w:hAnsi="Arial" w:cs="Arial"/>
          <w:sz w:val="20"/>
          <w:szCs w:val="20"/>
          <w:lang w:val="uk-UA"/>
        </w:rPr>
        <w:tab/>
        <w:t xml:space="preserve">8</w:t>
      </w:r>
      <w:r/>
    </w:p>
    <w:p>
      <w:pPr>
        <w:pStyle w:val="519"/>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1.4</w:t>
      </w:r>
      <w:r>
        <w:rPr>
          <w:rFonts w:ascii="Arial" w:hAnsi="Arial" w:cs="Arial"/>
          <w:sz w:val="20"/>
          <w:szCs w:val="20"/>
          <w:lang w:val="uk-UA"/>
        </w:rPr>
        <w:t xml:space="preserve">. Б</w:t>
      </w:r>
      <w:r>
        <w:rPr>
          <w:rFonts w:ascii="Arial" w:hAnsi="Arial" w:cs="Arial"/>
          <w:sz w:val="20"/>
          <w:szCs w:val="20"/>
          <w:lang w:val="uk-UA"/>
        </w:rPr>
        <w:t xml:space="preserve">юджет громади</w:t>
      </w:r>
      <w:r>
        <w:rPr>
          <w:rFonts w:ascii="Arial" w:hAnsi="Arial" w:cs="Arial"/>
          <w:sz w:val="20"/>
          <w:szCs w:val="20"/>
          <w:lang w:val="uk-UA"/>
        </w:rPr>
        <w:tab/>
        <w:t xml:space="preserve">9</w:t>
      </w:r>
      <w:r/>
    </w:p>
    <w:p>
      <w:pPr>
        <w:pStyle w:val="519"/>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1.5</w:t>
      </w:r>
      <w:r>
        <w:rPr>
          <w:rFonts w:ascii="Arial" w:hAnsi="Arial" w:cs="Arial"/>
          <w:sz w:val="20"/>
          <w:szCs w:val="20"/>
          <w:lang w:val="uk-UA"/>
        </w:rPr>
        <w:t xml:space="preserve">. Інвестиційна політика</w:t>
      </w:r>
      <w:r>
        <w:rPr>
          <w:rFonts w:ascii="Arial" w:hAnsi="Arial" w:cs="Arial"/>
          <w:sz w:val="20"/>
          <w:szCs w:val="20"/>
          <w:lang w:val="uk-UA"/>
        </w:rPr>
        <w:tab/>
        <w:t xml:space="preserve">9 </w:t>
      </w:r>
      <w:r/>
    </w:p>
    <w:p>
      <w:pPr>
        <w:pStyle w:val="519"/>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1.6</w:t>
      </w:r>
      <w:r>
        <w:rPr>
          <w:rFonts w:ascii="Arial" w:hAnsi="Arial" w:cs="Arial"/>
          <w:sz w:val="20"/>
          <w:szCs w:val="20"/>
          <w:lang w:val="uk-UA"/>
        </w:rPr>
        <w:t xml:space="preserve">. </w:t>
      </w:r>
      <w:r>
        <w:rPr>
          <w:rFonts w:ascii="Arial" w:hAnsi="Arial" w:cs="Arial"/>
          <w:sz w:val="20"/>
          <w:szCs w:val="20"/>
          <w:lang w:val="uk-UA"/>
        </w:rPr>
        <w:t xml:space="preserve">Земельний фонд</w:t>
      </w:r>
      <w:r>
        <w:rPr>
          <w:rFonts w:ascii="Arial" w:hAnsi="Arial" w:cs="Arial"/>
          <w:sz w:val="20"/>
          <w:szCs w:val="20"/>
          <w:lang w:val="uk-UA"/>
        </w:rPr>
        <w:tab/>
      </w:r>
      <w:r>
        <w:rPr>
          <w:rFonts w:ascii="Arial" w:hAnsi="Arial" w:cs="Arial"/>
          <w:sz w:val="20"/>
          <w:szCs w:val="20"/>
          <w:lang w:val="uk-UA"/>
        </w:rPr>
        <w:t xml:space="preserve">9</w:t>
      </w:r>
      <w:r/>
    </w:p>
    <w:p>
      <w:pPr>
        <w:pStyle w:val="519"/>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w:t>
      </w:r>
      <w:r>
        <w:rPr>
          <w:rFonts w:ascii="Arial" w:hAnsi="Arial" w:cs="Arial"/>
          <w:sz w:val="20"/>
          <w:szCs w:val="20"/>
          <w:lang w:val="uk-UA"/>
        </w:rPr>
        <w:t xml:space="preserve">7</w:t>
      </w:r>
      <w:r>
        <w:rPr>
          <w:rFonts w:ascii="Arial" w:hAnsi="Arial" w:cs="Arial"/>
          <w:sz w:val="20"/>
          <w:szCs w:val="20"/>
          <w:lang w:val="uk-UA"/>
        </w:rPr>
        <w:t xml:space="preserve">. </w:t>
      </w:r>
      <w:r>
        <w:rPr>
          <w:rFonts w:ascii="Arial" w:hAnsi="Arial" w:cs="Arial"/>
          <w:sz w:val="20"/>
          <w:szCs w:val="20"/>
          <w:lang w:val="uk-UA"/>
        </w:rPr>
        <w:t xml:space="preserve">Чисельність населення</w:t>
      </w:r>
      <w:r>
        <w:rPr>
          <w:rFonts w:ascii="Arial" w:hAnsi="Arial" w:cs="Arial"/>
          <w:sz w:val="20"/>
          <w:szCs w:val="20"/>
          <w:lang w:val="uk-UA"/>
        </w:rPr>
        <w:tab/>
        <w:t xml:space="preserve">10</w:t>
      </w:r>
      <w:r/>
    </w:p>
    <w:p>
      <w:pPr>
        <w:pStyle w:val="519"/>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1.8</w:t>
      </w:r>
      <w:r>
        <w:rPr>
          <w:rFonts w:ascii="Arial" w:hAnsi="Arial" w:cs="Arial"/>
          <w:sz w:val="20"/>
          <w:szCs w:val="20"/>
          <w:lang w:val="uk-UA"/>
        </w:rPr>
        <w:t xml:space="preserve">. Нормативна база</w:t>
      </w:r>
      <w:r>
        <w:rPr>
          <w:rFonts w:ascii="Arial" w:hAnsi="Arial" w:cs="Arial"/>
          <w:sz w:val="20"/>
          <w:szCs w:val="20"/>
          <w:lang w:val="uk-UA"/>
        </w:rPr>
        <w:tab/>
        <w:t xml:space="preserve">10</w:t>
      </w:r>
      <w:r/>
    </w:p>
    <w:p>
      <w:pPr>
        <w:pStyle w:val="519"/>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1.8</w:t>
      </w:r>
      <w:r>
        <w:rPr>
          <w:rFonts w:ascii="Arial" w:hAnsi="Arial" w:cs="Arial"/>
          <w:sz w:val="20"/>
          <w:szCs w:val="20"/>
          <w:lang w:val="uk-UA"/>
        </w:rPr>
        <w:t xml:space="preserve">.1</w:t>
      </w:r>
      <w:r>
        <w:rPr>
          <w:rFonts w:ascii="Arial" w:hAnsi="Arial" w:cs="Arial"/>
          <w:sz w:val="20"/>
          <w:szCs w:val="20"/>
          <w:lang w:val="uk-UA"/>
        </w:rPr>
        <w:t xml:space="preserve">. </w:t>
      </w:r>
      <w:r>
        <w:rPr>
          <w:rFonts w:ascii="Arial" w:hAnsi="Arial" w:cs="Arial"/>
          <w:sz w:val="20"/>
          <w:szCs w:val="20"/>
          <w:lang w:val="uk-UA"/>
        </w:rPr>
        <w:t xml:space="preserve">План пріоритетних дій уряду</w:t>
      </w:r>
      <w:r>
        <w:rPr>
          <w:rFonts w:ascii="Arial" w:hAnsi="Arial" w:cs="Arial"/>
          <w:sz w:val="20"/>
          <w:szCs w:val="20"/>
          <w:lang w:val="uk-UA"/>
        </w:rPr>
        <w:tab/>
        <w:t xml:space="preserve">11</w:t>
      </w:r>
      <w:r>
        <w:rPr>
          <w:rFonts w:ascii="Arial" w:hAnsi="Arial" w:cs="Arial"/>
          <w:sz w:val="20"/>
          <w:szCs w:val="20"/>
          <w:lang w:val="uk-UA"/>
        </w:rPr>
        <w:t xml:space="preserve">  </w:t>
      </w:r>
      <w:r>
        <w:rPr>
          <w:rFonts w:ascii="Arial" w:hAnsi="Arial" w:cs="Arial"/>
          <w:b/>
          <w:sz w:val="20"/>
          <w:szCs w:val="20"/>
          <w:lang w:val="uk-UA"/>
        </w:rPr>
        <w:t xml:space="preserve">                              </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1.8</w:t>
      </w:r>
      <w:r>
        <w:rPr>
          <w:rFonts w:ascii="Arial" w:hAnsi="Arial" w:cs="Arial"/>
          <w:sz w:val="20"/>
          <w:szCs w:val="20"/>
          <w:lang w:val="uk-UA"/>
        </w:rPr>
        <w:t xml:space="preserve">.</w:t>
      </w:r>
      <w:r>
        <w:rPr>
          <w:rFonts w:ascii="Arial" w:hAnsi="Arial" w:cs="Arial"/>
          <w:sz w:val="20"/>
          <w:szCs w:val="20"/>
          <w:lang w:val="uk-UA"/>
        </w:rPr>
        <w:t xml:space="preserve">2.</w:t>
      </w:r>
      <w:r>
        <w:rPr>
          <w:rFonts w:ascii="Arial" w:hAnsi="Arial" w:cs="Arial"/>
          <w:sz w:val="20"/>
          <w:szCs w:val="20"/>
          <w:lang w:val="uk-UA"/>
        </w:rPr>
        <w:t xml:space="preserve"> </w:t>
      </w:r>
      <w:r>
        <w:rPr>
          <w:rFonts w:ascii="Arial" w:hAnsi="Arial" w:cs="Arial"/>
          <w:sz w:val="20"/>
          <w:szCs w:val="20"/>
          <w:lang w:val="uk-UA"/>
        </w:rPr>
        <w:t xml:space="preserve">Місцеві ініціативи</w:t>
      </w:r>
      <w:r>
        <w:rPr>
          <w:rFonts w:ascii="Arial" w:hAnsi="Arial" w:cs="Arial"/>
          <w:sz w:val="20"/>
          <w:szCs w:val="20"/>
          <w:lang w:val="uk-UA"/>
        </w:rPr>
        <w:tab/>
        <w:t xml:space="preserve">1</w:t>
      </w:r>
      <w:r>
        <w:rPr>
          <w:rFonts w:ascii="Arial" w:hAnsi="Arial" w:cs="Arial"/>
          <w:sz w:val="20"/>
          <w:szCs w:val="20"/>
          <w:lang w:val="uk-UA"/>
        </w:rPr>
        <w:t xml:space="preserve">1</w:t>
      </w:r>
      <w:r/>
    </w:p>
    <w:p>
      <w:pPr>
        <w:ind w:left="3960"/>
        <w:spacing w:lineRule="auto" w:line="240" w:after="0"/>
        <w:tabs>
          <w:tab w:val="left" w:pos="8789" w:leader="dot"/>
          <w:tab w:val="left" w:pos="13500" w:leader="dot"/>
        </w:tabs>
        <w:rPr>
          <w:rFonts w:ascii="Arial" w:hAnsi="Arial" w:cs="Arial"/>
          <w:sz w:val="20"/>
          <w:szCs w:val="20"/>
          <w:lang w:val="uk-UA"/>
        </w:rPr>
      </w:pPr>
      <w:r>
        <w:rPr>
          <w:rFonts w:ascii="Arial" w:hAnsi="Arial" w:cs="Arial"/>
          <w:sz w:val="20"/>
          <w:szCs w:val="20"/>
          <w:lang w:val="uk-UA"/>
        </w:rPr>
      </w:r>
      <w:r/>
    </w:p>
    <w:p>
      <w:pPr>
        <w:ind w:left="3960"/>
        <w:spacing w:lineRule="auto" w:line="240" w:after="0"/>
        <w:tabs>
          <w:tab w:val="left" w:pos="13500" w:leader="dot"/>
        </w:tabs>
        <w:rPr>
          <w:rFonts w:ascii="Arial" w:hAnsi="Arial" w:cs="Arial"/>
          <w:b/>
          <w:sz w:val="20"/>
          <w:szCs w:val="20"/>
          <w:lang w:val="uk-UA"/>
        </w:rPr>
      </w:pPr>
      <w:r>
        <w:rPr>
          <w:rFonts w:ascii="Arial" w:hAnsi="Arial" w:cs="Arial"/>
          <w:b/>
          <w:sz w:val="20"/>
          <w:szCs w:val="20"/>
          <w:lang w:val="uk-UA"/>
        </w:rPr>
        <w:t xml:space="preserve">РОЗДІЛ 2. </w:t>
      </w:r>
      <w:r>
        <w:rPr>
          <w:rFonts w:ascii="Arial" w:hAnsi="Arial" w:cs="Arial"/>
          <w:b/>
          <w:sz w:val="20"/>
          <w:szCs w:val="20"/>
          <w:lang w:val="uk-UA"/>
        </w:rPr>
        <w:t xml:space="preserve">АНАЛІЗ ВИРОБНИЦТВА ТА </w:t>
      </w:r>
      <w:r>
        <w:rPr>
          <w:rFonts w:ascii="Arial" w:hAnsi="Arial" w:cs="Arial"/>
          <w:b/>
          <w:sz w:val="20"/>
          <w:szCs w:val="20"/>
          <w:lang w:val="uk-UA"/>
        </w:rPr>
        <w:t xml:space="preserve">СПОЖИВАННЯ ЕНЕРГЕТИЧНИХ РЕСУРСІВ</w:t>
      </w:r>
      <w:r>
        <w:rPr>
          <w:rFonts w:ascii="Arial" w:hAnsi="Arial" w:cs="Arial"/>
          <w:b/>
          <w:sz w:val="20"/>
          <w:szCs w:val="20"/>
          <w:lang w:val="uk-UA"/>
        </w:rPr>
        <w:tab/>
        <w:t xml:space="preserve">1</w:t>
      </w:r>
      <w:r>
        <w:rPr>
          <w:rFonts w:ascii="Arial" w:hAnsi="Arial" w:cs="Arial"/>
          <w:b/>
          <w:sz w:val="20"/>
          <w:szCs w:val="20"/>
          <w:lang w:val="uk-UA"/>
        </w:rPr>
        <w:t xml:space="preserve">3</w:t>
      </w:r>
      <w:r>
        <w:rPr>
          <w:rFonts w:ascii="Arial" w:hAnsi="Arial" w:cs="Arial"/>
          <w:b/>
          <w:sz w:val="20"/>
          <w:szCs w:val="20"/>
          <w:lang w:val="uk-UA"/>
        </w:rPr>
        <w:t xml:space="preserve">  </w:t>
      </w:r>
      <w:r/>
    </w:p>
    <w:p>
      <w:pPr>
        <w:ind w:left="3960"/>
        <w:spacing w:lineRule="auto" w:line="240" w:after="0"/>
        <w:tabs>
          <w:tab w:val="left" w:pos="13500" w:leader="dot"/>
        </w:tabs>
        <w:rPr>
          <w:rFonts w:ascii="Arial" w:hAnsi="Arial" w:cs="Arial"/>
          <w:b/>
          <w:sz w:val="20"/>
          <w:szCs w:val="20"/>
          <w:lang w:val="uk-UA"/>
        </w:rPr>
      </w:pPr>
      <w:r>
        <w:rPr>
          <w:rFonts w:ascii="Arial" w:hAnsi="Arial" w:cs="Arial"/>
          <w:b/>
          <w:sz w:val="20"/>
          <w:szCs w:val="20"/>
          <w:lang w:val="uk-UA"/>
        </w:rPr>
        <w:t xml:space="preserve">2.1. </w:t>
      </w:r>
      <w:r>
        <w:rPr>
          <w:rFonts w:ascii="Arial" w:hAnsi="Arial" w:cs="Arial"/>
          <w:b/>
          <w:sz w:val="20"/>
          <w:szCs w:val="20"/>
          <w:lang w:val="uk-UA"/>
        </w:rPr>
        <w:t xml:space="preserve">Основні </w:t>
      </w:r>
      <w:r>
        <w:rPr>
          <w:rFonts w:ascii="Arial" w:hAnsi="Arial" w:cs="Arial"/>
          <w:b/>
          <w:sz w:val="20"/>
          <w:szCs w:val="20"/>
          <w:lang w:val="uk-UA"/>
        </w:rPr>
        <w:t xml:space="preserve">споживачі енергоресурсів у громаді</w:t>
      </w:r>
      <w:r>
        <w:rPr>
          <w:rFonts w:ascii="Arial" w:hAnsi="Arial" w:cs="Arial"/>
          <w:b/>
          <w:sz w:val="20"/>
          <w:szCs w:val="20"/>
          <w:lang w:val="uk-UA"/>
        </w:rPr>
        <w:tab/>
        <w:t xml:space="preserve">13</w:t>
      </w:r>
      <w:r>
        <w:rPr>
          <w:rFonts w:ascii="Arial" w:hAnsi="Arial" w:cs="Arial"/>
          <w:b/>
          <w:sz w:val="20"/>
          <w:szCs w:val="20"/>
          <w:lang w:val="uk-UA"/>
        </w:rPr>
        <w:t xml:space="preserve">                                                                </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w:t>
      </w:r>
      <w:r>
        <w:rPr>
          <w:rFonts w:ascii="Arial" w:hAnsi="Arial" w:cs="Arial"/>
          <w:sz w:val="20"/>
          <w:szCs w:val="20"/>
          <w:lang w:val="uk-UA"/>
        </w:rPr>
        <w:t xml:space="preserve">.1.1. </w:t>
      </w:r>
      <w:r>
        <w:rPr>
          <w:rFonts w:ascii="Arial" w:hAnsi="Arial" w:cs="Arial"/>
          <w:sz w:val="20"/>
          <w:szCs w:val="20"/>
          <w:lang w:val="uk-UA"/>
        </w:rPr>
        <w:t xml:space="preserve">Житловий фонд</w:t>
      </w:r>
      <w:r>
        <w:rPr>
          <w:rFonts w:ascii="Arial" w:hAnsi="Arial" w:cs="Arial"/>
          <w:sz w:val="20"/>
          <w:szCs w:val="20"/>
          <w:lang w:val="uk-UA"/>
        </w:rPr>
        <w:tab/>
        <w:t xml:space="preserve">13</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2.1</w:t>
      </w:r>
      <w:r>
        <w:rPr>
          <w:rFonts w:ascii="Arial" w:hAnsi="Arial" w:cs="Arial"/>
          <w:sz w:val="20"/>
          <w:szCs w:val="20"/>
          <w:lang w:val="uk-UA"/>
        </w:rPr>
        <w:t xml:space="preserve">.</w:t>
      </w:r>
      <w:r>
        <w:rPr>
          <w:rFonts w:ascii="Arial" w:hAnsi="Arial" w:cs="Arial"/>
          <w:sz w:val="20"/>
          <w:szCs w:val="20"/>
          <w:lang w:val="uk-UA"/>
        </w:rPr>
        <w:t xml:space="preserve">2. </w:t>
      </w:r>
      <w:r>
        <w:rPr>
          <w:rFonts w:ascii="Arial" w:hAnsi="Arial" w:cs="Arial"/>
          <w:sz w:val="20"/>
          <w:szCs w:val="20"/>
          <w:lang w:val="uk-UA"/>
        </w:rPr>
        <w:t xml:space="preserve">Муніципальні об’єкти </w:t>
      </w:r>
      <w:r>
        <w:rPr>
          <w:rFonts w:ascii="Arial" w:hAnsi="Arial" w:cs="Arial"/>
          <w:sz w:val="20"/>
          <w:szCs w:val="20"/>
          <w:lang w:val="uk-UA"/>
        </w:rPr>
        <w:tab/>
        <w:t xml:space="preserve">13</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2.1.3. Промисл</w:t>
      </w:r>
      <w:r>
        <w:rPr>
          <w:rFonts w:ascii="Arial" w:hAnsi="Arial" w:cs="Arial"/>
          <w:sz w:val="20"/>
          <w:szCs w:val="20"/>
          <w:lang w:val="uk-UA"/>
        </w:rPr>
        <w:t xml:space="preserve">овість та мале підприємництво</w:t>
      </w:r>
      <w:r>
        <w:rPr>
          <w:rFonts w:ascii="Arial" w:hAnsi="Arial" w:cs="Arial"/>
          <w:sz w:val="20"/>
          <w:szCs w:val="20"/>
          <w:lang w:val="uk-UA"/>
        </w:rPr>
        <w:tab/>
        <w:t xml:space="preserve">13</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2.1.4. Транспорт</w:t>
      </w:r>
      <w:r>
        <w:rPr>
          <w:rFonts w:ascii="Arial" w:hAnsi="Arial" w:cs="Arial"/>
          <w:sz w:val="20"/>
          <w:szCs w:val="20"/>
          <w:lang w:val="uk-UA"/>
        </w:rPr>
        <w:tab/>
        <w:t xml:space="preserve">14</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r>
      <w:r/>
    </w:p>
    <w:p>
      <w:pPr>
        <w:ind w:left="3960"/>
        <w:spacing w:lineRule="auto" w:line="240" w:after="0"/>
        <w:tabs>
          <w:tab w:val="left" w:pos="13500" w:leader="dot"/>
        </w:tabs>
        <w:rPr>
          <w:rFonts w:ascii="Arial" w:hAnsi="Arial" w:cs="Arial"/>
          <w:b/>
          <w:sz w:val="20"/>
          <w:szCs w:val="20"/>
          <w:lang w:val="uk-UA"/>
        </w:rPr>
      </w:pPr>
      <w:r>
        <w:rPr>
          <w:rFonts w:ascii="Arial" w:hAnsi="Arial" w:cs="Arial"/>
          <w:b/>
          <w:sz w:val="20"/>
          <w:szCs w:val="20"/>
          <w:lang w:val="uk-UA"/>
        </w:rPr>
        <w:t xml:space="preserve">2.2. Аналіз споживання паливно – енергетичних ресурсі</w:t>
      </w:r>
      <w:r>
        <w:rPr>
          <w:rFonts w:ascii="Arial" w:hAnsi="Arial" w:cs="Arial"/>
          <w:b/>
          <w:sz w:val="20"/>
          <w:szCs w:val="20"/>
          <w:lang w:val="uk-UA"/>
        </w:rPr>
        <w:t xml:space="preserve">в</w:t>
      </w:r>
      <w:r>
        <w:rPr>
          <w:rFonts w:ascii="Arial" w:hAnsi="Arial" w:cs="Arial"/>
          <w:b/>
          <w:sz w:val="20"/>
          <w:szCs w:val="20"/>
          <w:lang w:val="uk-UA"/>
        </w:rPr>
        <w:tab/>
        <w:t xml:space="preserve">16</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2.2.1. </w:t>
      </w:r>
      <w:r>
        <w:rPr>
          <w:rFonts w:ascii="Arial" w:hAnsi="Arial" w:cs="Arial"/>
          <w:sz w:val="20"/>
          <w:szCs w:val="20"/>
          <w:lang w:val="uk-UA"/>
        </w:rPr>
        <w:t xml:space="preserve">Газопостачання</w:t>
      </w:r>
      <w:r>
        <w:rPr>
          <w:rFonts w:ascii="Arial" w:hAnsi="Arial" w:cs="Arial"/>
          <w:sz w:val="20"/>
          <w:szCs w:val="20"/>
          <w:lang w:val="uk-UA"/>
        </w:rPr>
        <w:tab/>
      </w:r>
      <w:r>
        <w:rPr>
          <w:rFonts w:ascii="Arial" w:hAnsi="Arial" w:cs="Arial"/>
          <w:sz w:val="20"/>
          <w:szCs w:val="20"/>
          <w:lang w:val="uk-UA"/>
        </w:rPr>
        <w:t xml:space="preserve">16</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2.2.2</w:t>
      </w:r>
      <w:r>
        <w:rPr>
          <w:rFonts w:ascii="Arial" w:hAnsi="Arial" w:cs="Arial"/>
          <w:sz w:val="20"/>
          <w:szCs w:val="20"/>
          <w:lang w:val="uk-UA"/>
        </w:rPr>
        <w:t xml:space="preserve">. </w:t>
      </w:r>
      <w:r>
        <w:rPr>
          <w:rFonts w:ascii="Arial" w:hAnsi="Arial" w:cs="Arial"/>
          <w:sz w:val="20"/>
          <w:szCs w:val="20"/>
          <w:lang w:val="uk-UA"/>
        </w:rPr>
        <w:t xml:space="preserve">Теплопостачання</w:t>
      </w:r>
      <w:r>
        <w:rPr>
          <w:rFonts w:ascii="Arial" w:hAnsi="Arial" w:cs="Arial"/>
          <w:sz w:val="20"/>
          <w:szCs w:val="20"/>
          <w:lang w:val="uk-UA"/>
        </w:rPr>
        <w:tab/>
        <w:t xml:space="preserve">17</w:t>
      </w:r>
      <w:r>
        <w:rPr>
          <w:rFonts w:ascii="Arial" w:hAnsi="Arial" w:cs="Arial"/>
          <w:sz w:val="20"/>
          <w:szCs w:val="20"/>
          <w:lang w:val="uk-UA"/>
        </w:rPr>
        <w:t xml:space="preserve">                      </w:t>
      </w:r>
      <w:r>
        <w:rPr>
          <w:rFonts w:ascii="Arial" w:hAnsi="Arial" w:cs="Arial"/>
          <w:sz w:val="20"/>
          <w:szCs w:val="20"/>
          <w:lang w:val="uk-UA"/>
        </w:rPr>
        <w:t xml:space="preserve">                             </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w:t>
      </w:r>
      <w:r>
        <w:rPr>
          <w:rFonts w:ascii="Arial" w:hAnsi="Arial" w:cs="Arial"/>
          <w:sz w:val="20"/>
          <w:szCs w:val="20"/>
          <w:lang w:val="uk-UA"/>
        </w:rPr>
        <w:t xml:space="preserve">2.3. Електропостачання</w:t>
      </w:r>
      <w:r>
        <w:rPr>
          <w:rFonts w:ascii="Arial" w:hAnsi="Arial" w:cs="Arial"/>
          <w:sz w:val="20"/>
          <w:szCs w:val="20"/>
          <w:lang w:val="uk-UA"/>
        </w:rPr>
        <w:tab/>
      </w:r>
      <w:r>
        <w:rPr>
          <w:rFonts w:ascii="Arial" w:hAnsi="Arial" w:cs="Arial"/>
          <w:sz w:val="20"/>
          <w:szCs w:val="20"/>
          <w:lang w:val="uk-UA"/>
        </w:rPr>
        <w:t xml:space="preserve">18</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2.2.4</w:t>
      </w:r>
      <w:r>
        <w:rPr>
          <w:rFonts w:ascii="Arial" w:hAnsi="Arial" w:cs="Arial"/>
          <w:sz w:val="20"/>
          <w:szCs w:val="20"/>
          <w:lang w:val="uk-UA"/>
        </w:rPr>
        <w:t xml:space="preserve">. Водопостачання і водовідведення </w:t>
      </w:r>
      <w:r>
        <w:rPr>
          <w:rFonts w:ascii="Arial" w:hAnsi="Arial" w:cs="Arial"/>
          <w:sz w:val="20"/>
          <w:szCs w:val="20"/>
          <w:lang w:val="uk-UA"/>
        </w:rPr>
        <w:tab/>
        <w:t xml:space="preserve">19</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2.2.5</w:t>
      </w:r>
      <w:r>
        <w:rPr>
          <w:rFonts w:ascii="Arial" w:hAnsi="Arial" w:cs="Arial"/>
          <w:sz w:val="20"/>
          <w:szCs w:val="20"/>
          <w:lang w:val="uk-UA"/>
        </w:rPr>
        <w:t xml:space="preserve">. Муніципальне ос</w:t>
      </w:r>
      <w:r>
        <w:rPr>
          <w:rFonts w:ascii="Arial" w:hAnsi="Arial" w:cs="Arial"/>
          <w:sz w:val="20"/>
          <w:szCs w:val="20"/>
          <w:lang w:val="uk-UA"/>
        </w:rPr>
        <w:t xml:space="preserve">вітлення</w:t>
      </w:r>
      <w:r>
        <w:rPr>
          <w:rFonts w:ascii="Arial" w:hAnsi="Arial" w:cs="Arial"/>
          <w:sz w:val="20"/>
          <w:szCs w:val="20"/>
          <w:lang w:val="uk-UA"/>
        </w:rPr>
        <w:tab/>
        <w:t xml:space="preserve">20</w:t>
      </w:r>
      <w:r>
        <w:rPr>
          <w:rFonts w:ascii="Arial" w:hAnsi="Arial" w:cs="Arial"/>
          <w:sz w:val="20"/>
          <w:szCs w:val="20"/>
          <w:lang w:val="uk-UA"/>
        </w:rPr>
        <w:t xml:space="preserve">                                    </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2.2.6</w:t>
      </w:r>
      <w:r>
        <w:rPr>
          <w:rFonts w:ascii="Arial" w:hAnsi="Arial" w:cs="Arial"/>
          <w:sz w:val="20"/>
          <w:szCs w:val="20"/>
          <w:lang w:val="uk-UA"/>
        </w:rPr>
        <w:t xml:space="preserve">. </w:t>
      </w:r>
      <w:r>
        <w:rPr>
          <w:rFonts w:ascii="Arial" w:hAnsi="Arial" w:cs="Arial"/>
          <w:sz w:val="20"/>
          <w:szCs w:val="20"/>
          <w:lang w:val="uk-UA"/>
        </w:rPr>
        <w:t xml:space="preserve">Вугілля і біопаливо</w:t>
      </w:r>
      <w:r>
        <w:rPr>
          <w:rFonts w:ascii="Arial" w:hAnsi="Arial" w:cs="Arial"/>
          <w:sz w:val="20"/>
          <w:szCs w:val="20"/>
          <w:lang w:val="uk-UA"/>
        </w:rPr>
        <w:tab/>
      </w:r>
      <w:r>
        <w:rPr>
          <w:rFonts w:ascii="Arial" w:hAnsi="Arial" w:cs="Arial"/>
          <w:sz w:val="20"/>
          <w:szCs w:val="20"/>
          <w:lang w:val="uk-UA"/>
        </w:rPr>
        <w:t xml:space="preserve">21</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2.2.7</w:t>
      </w:r>
      <w:r>
        <w:rPr>
          <w:rFonts w:ascii="Arial" w:hAnsi="Arial" w:cs="Arial"/>
          <w:sz w:val="20"/>
          <w:szCs w:val="20"/>
          <w:lang w:val="uk-UA"/>
        </w:rPr>
        <w:t xml:space="preserve">. </w:t>
      </w:r>
      <w:r>
        <w:rPr>
          <w:rFonts w:ascii="Arial" w:hAnsi="Arial" w:cs="Arial"/>
          <w:sz w:val="20"/>
          <w:szCs w:val="20"/>
          <w:lang w:val="uk-UA"/>
        </w:rPr>
        <w:t xml:space="preserve">Полігон твердих побутових відходів</w:t>
      </w:r>
      <w:r>
        <w:rPr>
          <w:rFonts w:ascii="Arial" w:hAnsi="Arial" w:cs="Arial"/>
          <w:sz w:val="20"/>
          <w:szCs w:val="20"/>
          <w:lang w:val="uk-UA"/>
        </w:rPr>
        <w:tab/>
      </w:r>
      <w:r>
        <w:rPr>
          <w:rFonts w:ascii="Arial" w:hAnsi="Arial" w:cs="Arial"/>
          <w:sz w:val="20"/>
          <w:szCs w:val="20"/>
          <w:lang w:val="uk-UA"/>
        </w:rPr>
        <w:t xml:space="preserve">21</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 </w:t>
      </w:r>
      <w:r/>
    </w:p>
    <w:p>
      <w:pPr>
        <w:ind w:left="3960"/>
        <w:spacing w:lineRule="auto" w:line="240" w:after="0"/>
        <w:tabs>
          <w:tab w:val="left" w:pos="13500" w:leader="dot"/>
        </w:tabs>
        <w:rPr>
          <w:rFonts w:ascii="Arial" w:hAnsi="Arial" w:cs="Arial"/>
          <w:b/>
          <w:sz w:val="20"/>
          <w:szCs w:val="20"/>
          <w:lang w:val="uk-UA"/>
        </w:rPr>
      </w:pPr>
      <w:r>
        <w:rPr>
          <w:rFonts w:ascii="Arial" w:hAnsi="Arial" w:cs="Arial"/>
          <w:b/>
          <w:sz w:val="20"/>
          <w:szCs w:val="20"/>
          <w:lang w:val="uk-UA"/>
        </w:rPr>
        <w:t xml:space="preserve">РОЗДІЛ 3. БАЗОВИЙ КАДАСТР ВИКИДІВ</w:t>
      </w:r>
      <w:r>
        <w:rPr>
          <w:rFonts w:ascii="Arial" w:hAnsi="Arial" w:cs="Arial"/>
          <w:b/>
          <w:sz w:val="20"/>
          <w:szCs w:val="20"/>
          <w:lang w:val="uk-UA"/>
        </w:rPr>
        <w:tab/>
      </w:r>
      <w:r>
        <w:rPr>
          <w:rFonts w:ascii="Arial" w:hAnsi="Arial" w:cs="Arial"/>
          <w:b/>
          <w:sz w:val="20"/>
          <w:szCs w:val="20"/>
          <w:lang w:val="uk-UA"/>
        </w:rPr>
        <w:t xml:space="preserve">22</w:t>
      </w:r>
      <w:r>
        <w:rPr>
          <w:rFonts w:ascii="Arial" w:hAnsi="Arial" w:cs="Arial"/>
          <w:b/>
          <w:sz w:val="20"/>
          <w:szCs w:val="20"/>
          <w:lang w:val="uk-UA"/>
        </w:rPr>
        <w:t xml:space="preserve">                   </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3.1. Вступ</w:t>
      </w:r>
      <w:r>
        <w:rPr>
          <w:rFonts w:ascii="Arial" w:hAnsi="Arial" w:cs="Arial"/>
          <w:sz w:val="20"/>
          <w:szCs w:val="20"/>
          <w:lang w:val="uk-UA"/>
        </w:rPr>
        <w:tab/>
        <w:t xml:space="preserve">22</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3.2. Інвентаризація та коефіцієнти</w:t>
      </w:r>
      <w:r>
        <w:rPr>
          <w:rFonts w:ascii="Arial" w:hAnsi="Arial" w:cs="Arial"/>
          <w:sz w:val="20"/>
          <w:szCs w:val="20"/>
          <w:lang w:val="uk-UA"/>
        </w:rPr>
        <w:t xml:space="preserve"> викидів</w:t>
      </w:r>
      <w:r>
        <w:rPr>
          <w:rFonts w:ascii="Arial" w:hAnsi="Arial" w:cs="Arial"/>
          <w:sz w:val="20"/>
          <w:szCs w:val="20"/>
          <w:lang w:val="uk-UA"/>
        </w:rPr>
        <w:tab/>
      </w:r>
      <w:r>
        <w:rPr>
          <w:rFonts w:ascii="Arial" w:hAnsi="Arial" w:cs="Arial"/>
          <w:sz w:val="20"/>
          <w:szCs w:val="20"/>
          <w:lang w:val="uk-UA"/>
        </w:rPr>
        <w:t xml:space="preserve">22</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3.3</w:t>
      </w:r>
      <w:r>
        <w:rPr>
          <w:rFonts w:ascii="Arial" w:hAnsi="Arial" w:cs="Arial"/>
          <w:sz w:val="20"/>
          <w:szCs w:val="20"/>
          <w:lang w:val="uk-UA"/>
        </w:rPr>
        <w:t xml:space="preserve">. </w:t>
      </w:r>
      <w:r>
        <w:rPr>
          <w:rFonts w:ascii="Arial" w:hAnsi="Arial" w:cs="Arial"/>
          <w:sz w:val="20"/>
          <w:szCs w:val="20"/>
          <w:lang w:val="uk-UA"/>
        </w:rPr>
        <w:t xml:space="preserve">Сектори діяльності, що підлягають включенню до БКВ</w:t>
      </w:r>
      <w:r>
        <w:rPr>
          <w:rFonts w:ascii="Arial" w:hAnsi="Arial" w:cs="Arial"/>
          <w:sz w:val="20"/>
          <w:szCs w:val="20"/>
          <w:lang w:val="uk-UA"/>
        </w:rPr>
        <w:tab/>
      </w:r>
      <w:r>
        <w:rPr>
          <w:rFonts w:ascii="Arial" w:hAnsi="Arial" w:cs="Arial"/>
          <w:sz w:val="20"/>
          <w:szCs w:val="20"/>
          <w:lang w:val="uk-UA"/>
        </w:rPr>
        <w:t xml:space="preserve">24</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3.4</w:t>
      </w:r>
      <w:r>
        <w:rPr>
          <w:rFonts w:ascii="Arial" w:hAnsi="Arial" w:cs="Arial"/>
          <w:sz w:val="20"/>
          <w:szCs w:val="20"/>
          <w:lang w:val="uk-UA"/>
        </w:rPr>
        <w:t xml:space="preserve">. Споживання енергетичних ре</w:t>
      </w:r>
      <w:r>
        <w:rPr>
          <w:rFonts w:ascii="Arial" w:hAnsi="Arial" w:cs="Arial"/>
          <w:sz w:val="20"/>
          <w:szCs w:val="20"/>
          <w:lang w:val="uk-UA"/>
        </w:rPr>
        <w:t xml:space="preserve">сурсів у ключових секторах громади</w:t>
      </w:r>
      <w:r>
        <w:rPr>
          <w:rFonts w:ascii="Arial" w:hAnsi="Arial" w:cs="Arial"/>
          <w:sz w:val="20"/>
          <w:szCs w:val="20"/>
          <w:lang w:val="uk-UA"/>
        </w:rPr>
        <w:tab/>
      </w:r>
      <w:r>
        <w:rPr>
          <w:rFonts w:ascii="Arial" w:hAnsi="Arial" w:cs="Arial"/>
          <w:sz w:val="20"/>
          <w:szCs w:val="20"/>
          <w:lang w:val="uk-UA"/>
        </w:rPr>
        <w:t xml:space="preserve">25</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3.5</w:t>
      </w:r>
      <w:r>
        <w:rPr>
          <w:rFonts w:ascii="Arial" w:hAnsi="Arial" w:cs="Arial"/>
          <w:sz w:val="20"/>
          <w:szCs w:val="20"/>
          <w:lang w:val="uk-UA"/>
        </w:rPr>
        <w:t xml:space="preserve">. Обґрунтування розрахунків</w:t>
      </w:r>
      <w:r>
        <w:rPr>
          <w:rFonts w:ascii="Arial" w:hAnsi="Arial" w:cs="Arial"/>
          <w:sz w:val="20"/>
          <w:szCs w:val="20"/>
          <w:lang w:val="uk-UA"/>
        </w:rPr>
        <w:tab/>
      </w:r>
      <w:r>
        <w:rPr>
          <w:rFonts w:ascii="Arial" w:hAnsi="Arial" w:cs="Arial"/>
          <w:sz w:val="20"/>
          <w:szCs w:val="20"/>
          <w:lang w:val="uk-UA"/>
        </w:rPr>
        <w:t xml:space="preserve">29</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3.6</w:t>
      </w:r>
      <w:r>
        <w:rPr>
          <w:rFonts w:ascii="Arial" w:hAnsi="Arial" w:cs="Arial"/>
          <w:sz w:val="20"/>
          <w:szCs w:val="20"/>
          <w:lang w:val="uk-UA"/>
        </w:rPr>
        <w:t xml:space="preserve">. Обґрунтування вибору базового року</w:t>
      </w:r>
      <w:r>
        <w:rPr>
          <w:rFonts w:ascii="Arial" w:hAnsi="Arial" w:cs="Arial"/>
          <w:sz w:val="20"/>
          <w:szCs w:val="20"/>
          <w:lang w:val="uk-UA"/>
        </w:rPr>
        <w:tab/>
      </w:r>
      <w:r>
        <w:rPr>
          <w:rFonts w:ascii="Arial" w:hAnsi="Arial" w:cs="Arial"/>
          <w:sz w:val="20"/>
          <w:szCs w:val="20"/>
          <w:lang w:val="uk-UA"/>
        </w:rPr>
        <w:t xml:space="preserve">29</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3.7</w:t>
      </w:r>
      <w:r>
        <w:rPr>
          <w:rFonts w:ascii="Arial" w:hAnsi="Arial" w:cs="Arial"/>
          <w:sz w:val="20"/>
          <w:szCs w:val="20"/>
          <w:lang w:val="uk-UA"/>
        </w:rPr>
        <w:t xml:space="preserve">. Розпод</w:t>
      </w:r>
      <w:r>
        <w:rPr>
          <w:rFonts w:ascii="Arial" w:hAnsi="Arial" w:cs="Arial"/>
          <w:sz w:val="20"/>
          <w:szCs w:val="20"/>
          <w:lang w:val="uk-UA"/>
        </w:rPr>
        <w:t xml:space="preserve">іл викидів СО</w:t>
      </w:r>
      <w:r>
        <w:rPr>
          <w:rFonts w:ascii="Arial" w:hAnsi="Arial" w:cs="Arial"/>
          <w:sz w:val="20"/>
          <w:szCs w:val="20"/>
          <w:vertAlign w:val="subscript"/>
          <w:lang w:val="uk-UA"/>
        </w:rPr>
        <w:t xml:space="preserve">2</w:t>
      </w:r>
      <w:r>
        <w:rPr>
          <w:rFonts w:ascii="Arial" w:hAnsi="Arial" w:cs="Arial"/>
          <w:sz w:val="20"/>
          <w:szCs w:val="20"/>
          <w:lang w:val="uk-UA"/>
        </w:rPr>
        <w:t xml:space="preserve"> у базовому 2019</w:t>
      </w:r>
      <w:r>
        <w:rPr>
          <w:rFonts w:ascii="Arial" w:hAnsi="Arial" w:cs="Arial"/>
          <w:sz w:val="20"/>
          <w:szCs w:val="20"/>
          <w:lang w:val="uk-UA"/>
        </w:rPr>
        <w:t xml:space="preserve"> році</w:t>
      </w:r>
      <w:r>
        <w:rPr>
          <w:rFonts w:ascii="Arial" w:hAnsi="Arial" w:cs="Arial"/>
          <w:sz w:val="20"/>
          <w:szCs w:val="20"/>
          <w:lang w:val="uk-UA"/>
        </w:rPr>
        <w:tab/>
      </w:r>
      <w:r>
        <w:rPr>
          <w:rFonts w:ascii="Arial" w:hAnsi="Arial" w:cs="Arial"/>
          <w:sz w:val="20"/>
          <w:szCs w:val="20"/>
          <w:lang w:val="uk-UA"/>
        </w:rPr>
        <w:t xml:space="preserve">29</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3.8</w:t>
      </w:r>
      <w:r>
        <w:rPr>
          <w:rFonts w:ascii="Arial" w:hAnsi="Arial" w:cs="Arial"/>
          <w:sz w:val="20"/>
          <w:szCs w:val="20"/>
          <w:lang w:val="uk-UA"/>
        </w:rPr>
        <w:t xml:space="preserve">. Формування базового кадастру викидів</w:t>
      </w:r>
      <w:r>
        <w:rPr>
          <w:rFonts w:ascii="Arial" w:hAnsi="Arial" w:cs="Arial"/>
          <w:sz w:val="20"/>
          <w:szCs w:val="20"/>
          <w:lang w:val="uk-UA"/>
        </w:rPr>
        <w:tab/>
      </w:r>
      <w:r>
        <w:rPr>
          <w:rFonts w:ascii="Arial" w:hAnsi="Arial" w:cs="Arial"/>
          <w:sz w:val="20"/>
          <w:szCs w:val="20"/>
          <w:lang w:val="uk-UA"/>
        </w:rPr>
        <w:t xml:space="preserve">30</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r>
      <w:r/>
    </w:p>
    <w:p>
      <w:pPr>
        <w:ind w:left="3960"/>
        <w:spacing w:lineRule="auto" w:line="240" w:after="0"/>
        <w:tabs>
          <w:tab w:val="left" w:pos="13500" w:leader="dot"/>
        </w:tabs>
        <w:rPr>
          <w:rFonts w:ascii="Arial" w:hAnsi="Arial" w:cs="Arial"/>
          <w:b/>
          <w:sz w:val="20"/>
          <w:szCs w:val="20"/>
          <w:lang w:val="uk-UA"/>
        </w:rPr>
      </w:pPr>
      <w:r>
        <w:rPr>
          <w:rFonts w:ascii="Arial" w:hAnsi="Arial" w:cs="Arial"/>
          <w:b/>
          <w:sz w:val="20"/>
          <w:szCs w:val="20"/>
          <w:lang w:val="uk-UA"/>
        </w:rPr>
        <w:t xml:space="preserve">РОЗДІЛ 4. ПЛАН ДІЙ СТАЛОГО ЕНЕРГЕТИЧНОГО РОЗВИТКУ (ПДСЕРК/SEСAP)</w:t>
      </w:r>
      <w:r>
        <w:rPr>
          <w:rFonts w:ascii="Arial" w:hAnsi="Arial" w:cs="Arial"/>
          <w:b/>
          <w:sz w:val="20"/>
          <w:szCs w:val="20"/>
          <w:lang w:val="uk-UA"/>
        </w:rPr>
        <w:tab/>
      </w:r>
      <w:r>
        <w:rPr>
          <w:rFonts w:ascii="Arial" w:hAnsi="Arial" w:cs="Arial"/>
          <w:b/>
          <w:sz w:val="20"/>
          <w:szCs w:val="20"/>
          <w:lang w:val="uk-UA"/>
        </w:rPr>
        <w:t xml:space="preserve">31</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4.1. С</w:t>
      </w:r>
      <w:r>
        <w:rPr>
          <w:rFonts w:ascii="Arial" w:hAnsi="Arial" w:cs="Arial"/>
          <w:sz w:val="20"/>
          <w:szCs w:val="20"/>
          <w:lang w:val="uk-UA"/>
        </w:rPr>
        <w:t xml:space="preserve">тратегія, цілі та зобов’язання</w:t>
      </w:r>
      <w:r>
        <w:rPr>
          <w:rFonts w:ascii="Arial" w:hAnsi="Arial" w:cs="Arial"/>
          <w:sz w:val="20"/>
          <w:szCs w:val="20"/>
          <w:lang w:val="uk-UA"/>
        </w:rPr>
        <w:t xml:space="preserve"> до 2030 року</w:t>
      </w:r>
      <w:r>
        <w:rPr>
          <w:rFonts w:ascii="Arial" w:hAnsi="Arial" w:cs="Arial"/>
          <w:sz w:val="20"/>
          <w:szCs w:val="20"/>
          <w:lang w:val="uk-UA"/>
        </w:rPr>
        <w:tab/>
      </w:r>
      <w:r>
        <w:rPr>
          <w:rFonts w:ascii="Arial" w:hAnsi="Arial" w:cs="Arial"/>
          <w:sz w:val="20"/>
          <w:szCs w:val="20"/>
          <w:lang w:val="uk-UA"/>
        </w:rPr>
        <w:t xml:space="preserve">3</w:t>
      </w:r>
      <w:r>
        <w:rPr>
          <w:rFonts w:ascii="Arial" w:hAnsi="Arial" w:cs="Arial"/>
          <w:sz w:val="20"/>
          <w:szCs w:val="20"/>
          <w:lang w:val="uk-UA"/>
        </w:rPr>
        <w:t xml:space="preserve">1</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t xml:space="preserve">4.2. Обмеження і пріоритети ПДСЕРК </w:t>
      </w:r>
      <w:r>
        <w:rPr>
          <w:rFonts w:ascii="Arial" w:hAnsi="Arial" w:cs="Arial"/>
          <w:sz w:val="20"/>
          <w:szCs w:val="20"/>
          <w:lang w:val="uk-UA"/>
        </w:rPr>
        <w:tab/>
      </w:r>
      <w:r>
        <w:rPr>
          <w:rFonts w:ascii="Arial" w:hAnsi="Arial" w:cs="Arial"/>
          <w:sz w:val="20"/>
          <w:szCs w:val="20"/>
          <w:lang w:val="uk-UA"/>
        </w:rPr>
        <w:t xml:space="preserve">31</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4.3. Створення дієвої структури енергетичного менеджменту</w:t>
      </w:r>
      <w:r>
        <w:rPr>
          <w:rFonts w:ascii="Arial" w:hAnsi="Arial" w:cs="Arial"/>
          <w:sz w:val="20"/>
          <w:szCs w:val="20"/>
          <w:lang w:val="uk-UA"/>
        </w:rPr>
        <w:tab/>
      </w:r>
      <w:r>
        <w:rPr>
          <w:rFonts w:ascii="Arial" w:hAnsi="Arial" w:cs="Arial"/>
          <w:sz w:val="20"/>
          <w:szCs w:val="20"/>
          <w:lang w:val="uk-UA"/>
        </w:rPr>
        <w:t xml:space="preserve">35</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4.4. Інформаційно-просвітницькі (м’які заходи)</w:t>
      </w:r>
      <w:r>
        <w:rPr>
          <w:rFonts w:ascii="Arial" w:hAnsi="Arial" w:cs="Arial"/>
          <w:sz w:val="20"/>
          <w:szCs w:val="20"/>
          <w:lang w:val="uk-UA"/>
        </w:rPr>
        <w:tab/>
      </w:r>
      <w:r>
        <w:rPr>
          <w:rFonts w:ascii="Arial" w:hAnsi="Arial" w:cs="Arial"/>
          <w:sz w:val="20"/>
          <w:szCs w:val="20"/>
          <w:lang w:val="uk-UA"/>
        </w:rPr>
        <w:t xml:space="preserve">36</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4.4.1. Упровадження освітніх практичної спрямованості семінарів                               </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у загальноосвітніх навчальних закладах</w:t>
      </w:r>
      <w:r>
        <w:rPr>
          <w:rFonts w:ascii="Arial" w:hAnsi="Arial" w:cs="Arial"/>
          <w:sz w:val="20"/>
          <w:szCs w:val="20"/>
          <w:lang w:val="uk-UA"/>
        </w:rPr>
        <w:tab/>
      </w:r>
      <w:r>
        <w:rPr>
          <w:rFonts w:ascii="Arial" w:hAnsi="Arial" w:cs="Arial"/>
          <w:sz w:val="20"/>
          <w:szCs w:val="20"/>
          <w:lang w:val="uk-UA"/>
        </w:rPr>
        <w:t xml:space="preserve">37</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4.4.2. Проведення інформаційно-роз'яснювальної роботи з населенням </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міста, спрямованої на ощадливе споживання енергоресурсів</w:t>
      </w:r>
      <w:r>
        <w:rPr>
          <w:rFonts w:ascii="Arial" w:hAnsi="Arial" w:cs="Arial"/>
          <w:sz w:val="20"/>
          <w:szCs w:val="20"/>
          <w:lang w:val="uk-UA"/>
        </w:rPr>
        <w:tab/>
      </w:r>
      <w:r>
        <w:rPr>
          <w:rFonts w:ascii="Arial" w:hAnsi="Arial" w:cs="Arial"/>
          <w:sz w:val="20"/>
          <w:szCs w:val="20"/>
          <w:lang w:val="uk-UA"/>
        </w:rPr>
        <w:t xml:space="preserve">37</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4.4.3. Комплекс адміністративно-організаційних заходів, які стимулюють</w:t>
      </w:r>
      <w:r>
        <w:rPr>
          <w:rFonts w:ascii="Arial" w:hAnsi="Arial" w:cs="Arial"/>
          <w:sz w:val="20"/>
          <w:szCs w:val="20"/>
          <w:lang w:val="uk-UA"/>
        </w:rPr>
        <w:t xml:space="preserve"> </w:t>
      </w:r>
      <w:r>
        <w:rPr>
          <w:rFonts w:ascii="Arial" w:hAnsi="Arial" w:cs="Arial"/>
          <w:sz w:val="20"/>
          <w:szCs w:val="20"/>
          <w:lang w:val="uk-UA"/>
        </w:rPr>
        <w:t xml:space="preserve">зменшення викидів СО</w:t>
      </w:r>
      <w:r>
        <w:rPr>
          <w:rFonts w:ascii="Arial" w:hAnsi="Arial" w:cs="Arial"/>
          <w:sz w:val="20"/>
          <w:szCs w:val="20"/>
          <w:vertAlign w:val="subscript"/>
          <w:lang w:val="uk-UA"/>
        </w:rPr>
        <w:t xml:space="preserve">2</w:t>
      </w:r>
      <w:r>
        <w:rPr>
          <w:rFonts w:ascii="Arial" w:hAnsi="Arial" w:cs="Arial"/>
          <w:sz w:val="20"/>
          <w:szCs w:val="20"/>
          <w:lang w:val="uk-UA"/>
        </w:rPr>
        <w:tab/>
      </w:r>
      <w:r>
        <w:rPr>
          <w:rFonts w:ascii="Arial" w:hAnsi="Arial" w:cs="Arial"/>
          <w:sz w:val="20"/>
          <w:szCs w:val="20"/>
          <w:lang w:val="uk-UA"/>
        </w:rPr>
        <w:t xml:space="preserve">38</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4.4.4. Проведення заходів щодо підвищення обізнаності та залучення</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громадськості до вирішення екологічних проблем</w:t>
      </w:r>
      <w:r>
        <w:rPr>
          <w:rFonts w:ascii="Arial" w:hAnsi="Arial" w:cs="Arial"/>
          <w:sz w:val="20"/>
          <w:szCs w:val="20"/>
          <w:lang w:val="uk-UA"/>
        </w:rPr>
        <w:tab/>
      </w:r>
      <w:r>
        <w:rPr>
          <w:rFonts w:ascii="Arial" w:hAnsi="Arial" w:cs="Arial"/>
          <w:sz w:val="20"/>
          <w:szCs w:val="20"/>
          <w:lang w:val="uk-UA"/>
        </w:rPr>
        <w:t xml:space="preserve">38</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4.5. Очікувані результати і рекомендації експертів з реалізації ПДСЕРК</w:t>
      </w:r>
      <w:r>
        <w:rPr>
          <w:rFonts w:ascii="Arial" w:hAnsi="Arial" w:cs="Arial"/>
          <w:sz w:val="20"/>
          <w:szCs w:val="20"/>
          <w:lang w:val="uk-UA"/>
        </w:rPr>
        <w:t xml:space="preserve"> </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зменше</w:t>
      </w:r>
      <w:r>
        <w:rPr>
          <w:rFonts w:ascii="Arial" w:hAnsi="Arial" w:cs="Arial"/>
          <w:sz w:val="20"/>
          <w:szCs w:val="20"/>
          <w:lang w:val="uk-UA"/>
        </w:rPr>
        <w:t xml:space="preserve">ння викидів СО</w:t>
      </w:r>
      <w:r>
        <w:rPr>
          <w:rFonts w:ascii="Arial" w:hAnsi="Arial" w:cs="Arial"/>
          <w:sz w:val="20"/>
          <w:szCs w:val="20"/>
          <w:vertAlign w:val="subscript"/>
          <w:lang w:val="uk-UA"/>
        </w:rPr>
        <w:t xml:space="preserve">2</w:t>
      </w:r>
      <w:r>
        <w:rPr>
          <w:rFonts w:ascii="Arial" w:hAnsi="Arial" w:cs="Arial"/>
          <w:sz w:val="20"/>
          <w:szCs w:val="20"/>
          <w:lang w:val="uk-UA"/>
        </w:rPr>
        <w:t xml:space="preserve"> порівняно з 209</w:t>
      </w:r>
      <w:r>
        <w:rPr>
          <w:rFonts w:ascii="Arial" w:hAnsi="Arial" w:cs="Arial"/>
          <w:sz w:val="20"/>
          <w:szCs w:val="20"/>
          <w:lang w:val="uk-UA"/>
        </w:rPr>
        <w:t xml:space="preserve">6</w:t>
      </w:r>
      <w:r>
        <w:rPr>
          <w:rFonts w:ascii="Arial" w:hAnsi="Arial" w:cs="Arial"/>
          <w:sz w:val="20"/>
          <w:szCs w:val="20"/>
          <w:lang w:val="uk-UA"/>
        </w:rPr>
        <w:t xml:space="preserve"> базовим роком</w:t>
      </w:r>
      <w:r>
        <w:rPr>
          <w:rFonts w:ascii="Arial" w:hAnsi="Arial" w:cs="Arial"/>
          <w:sz w:val="20"/>
          <w:szCs w:val="20"/>
          <w:lang w:val="uk-UA"/>
        </w:rPr>
        <w:tab/>
      </w:r>
      <w:r>
        <w:rPr>
          <w:rFonts w:ascii="Arial" w:hAnsi="Arial" w:cs="Arial"/>
          <w:sz w:val="20"/>
          <w:szCs w:val="20"/>
          <w:lang w:val="uk-UA"/>
        </w:rPr>
        <w:t xml:space="preserve">39</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4.6. Джерела фінансування ПДСЕРК</w:t>
      </w:r>
      <w:r>
        <w:rPr>
          <w:rFonts w:ascii="Arial" w:hAnsi="Arial" w:cs="Arial"/>
          <w:sz w:val="20"/>
          <w:szCs w:val="20"/>
          <w:lang w:val="uk-UA"/>
        </w:rPr>
        <w:tab/>
      </w:r>
      <w:r>
        <w:rPr>
          <w:rFonts w:ascii="Arial" w:hAnsi="Arial" w:cs="Arial"/>
          <w:sz w:val="20"/>
          <w:szCs w:val="20"/>
          <w:lang w:val="uk-UA"/>
        </w:rPr>
        <w:t xml:space="preserve">40</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r>
      <w:r/>
    </w:p>
    <w:p>
      <w:pPr>
        <w:ind w:left="3960"/>
        <w:spacing w:lineRule="auto" w:line="240" w:after="0"/>
        <w:tabs>
          <w:tab w:val="left" w:pos="13500" w:leader="dot"/>
        </w:tabs>
        <w:rPr>
          <w:rFonts w:ascii="Arial" w:hAnsi="Arial" w:cs="Arial"/>
          <w:b/>
          <w:sz w:val="20"/>
          <w:szCs w:val="20"/>
          <w:lang w:val="uk-UA"/>
        </w:rPr>
      </w:pPr>
      <w:r>
        <w:rPr>
          <w:rFonts w:ascii="Arial" w:hAnsi="Arial" w:cs="Arial"/>
          <w:b/>
          <w:sz w:val="20"/>
          <w:szCs w:val="20"/>
          <w:lang w:val="uk-UA"/>
        </w:rPr>
        <w:t xml:space="preserve">РОЗДІЛ 5. КЛІМАТИЧНА СКЛАДОВА</w:t>
      </w:r>
      <w:r>
        <w:rPr>
          <w:rFonts w:ascii="Arial" w:hAnsi="Arial" w:cs="Arial"/>
          <w:b/>
          <w:sz w:val="20"/>
          <w:szCs w:val="20"/>
          <w:lang w:val="uk-UA"/>
        </w:rPr>
        <w:tab/>
      </w:r>
      <w:r>
        <w:rPr>
          <w:rFonts w:ascii="Arial" w:hAnsi="Arial" w:cs="Arial"/>
          <w:b/>
          <w:sz w:val="20"/>
          <w:szCs w:val="20"/>
          <w:lang w:val="uk-UA"/>
        </w:rPr>
        <w:t xml:space="preserve">43</w:t>
      </w:r>
      <w:r/>
    </w:p>
    <w:p>
      <w:pPr>
        <w:ind w:left="3960"/>
        <w:spacing w:lineRule="auto" w:line="240" w:after="0"/>
        <w:tabs>
          <w:tab w:val="left" w:pos="1418" w:leader="none"/>
          <w:tab w:val="left" w:pos="13500" w:leader="dot"/>
        </w:tabs>
        <w:rPr>
          <w:rFonts w:ascii="Arial" w:hAnsi="Arial" w:cs="Arial"/>
          <w:b/>
          <w:sz w:val="20"/>
          <w:szCs w:val="20"/>
          <w:lang w:val="uk-UA"/>
        </w:rPr>
      </w:pPr>
      <w:r>
        <w:rPr>
          <w:rFonts w:ascii="Arial" w:hAnsi="Arial" w:cs="Arial"/>
          <w:b/>
          <w:sz w:val="20"/>
          <w:szCs w:val="20"/>
          <w:lang w:val="uk-UA"/>
        </w:rPr>
      </w:r>
      <w:r/>
    </w:p>
    <w:p>
      <w:pPr>
        <w:ind w:left="3960"/>
        <w:spacing w:lineRule="auto" w:line="240" w:after="0"/>
        <w:tabs>
          <w:tab w:val="left" w:pos="1418" w:leader="none"/>
          <w:tab w:val="left" w:pos="13500" w:leader="dot"/>
        </w:tabs>
        <w:rPr>
          <w:rFonts w:ascii="Arial" w:hAnsi="Arial" w:cs="Arial"/>
          <w:b/>
          <w:sz w:val="20"/>
          <w:szCs w:val="20"/>
          <w:lang w:val="uk-UA"/>
        </w:rPr>
      </w:pPr>
      <w:r>
        <w:rPr>
          <w:rFonts w:ascii="Arial" w:hAnsi="Arial" w:cs="Arial"/>
          <w:b/>
          <w:sz w:val="20"/>
          <w:szCs w:val="20"/>
          <w:lang w:val="uk-UA"/>
        </w:rPr>
        <w:t xml:space="preserve">РОЗ</w:t>
      </w:r>
      <w:r>
        <w:rPr>
          <w:rFonts w:ascii="Arial" w:hAnsi="Arial" w:cs="Arial"/>
          <w:b/>
          <w:sz w:val="20"/>
          <w:szCs w:val="20"/>
          <w:lang w:val="uk-UA"/>
        </w:rPr>
        <w:t xml:space="preserve">Д</w:t>
      </w:r>
      <w:r>
        <w:rPr>
          <w:rFonts w:ascii="Arial" w:hAnsi="Arial" w:cs="Arial"/>
          <w:b/>
          <w:sz w:val="20"/>
          <w:szCs w:val="20"/>
          <w:lang w:val="uk-UA"/>
        </w:rPr>
        <w:t xml:space="preserve">ІЛ 6. МОНІТОРИНГ ТА ЗВІТНІСТЬ</w:t>
      </w:r>
      <w:r>
        <w:rPr>
          <w:rFonts w:ascii="Arial" w:hAnsi="Arial" w:cs="Arial"/>
          <w:b/>
          <w:sz w:val="20"/>
          <w:szCs w:val="20"/>
          <w:lang w:val="uk-UA"/>
        </w:rPr>
        <w:tab/>
      </w:r>
      <w:r>
        <w:rPr>
          <w:rFonts w:ascii="Arial" w:hAnsi="Arial" w:cs="Arial"/>
          <w:b/>
          <w:sz w:val="20"/>
          <w:szCs w:val="20"/>
          <w:lang w:val="uk-UA"/>
        </w:rPr>
        <w:t xml:space="preserve">74</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6.1. Моніторинг ПДСЕРК</w:t>
      </w:r>
      <w:r>
        <w:rPr>
          <w:rFonts w:ascii="Arial" w:hAnsi="Arial" w:cs="Arial"/>
          <w:sz w:val="20"/>
          <w:szCs w:val="20"/>
          <w:lang w:val="uk-UA"/>
        </w:rPr>
        <w:tab/>
      </w:r>
      <w:r>
        <w:rPr>
          <w:rFonts w:ascii="Arial" w:hAnsi="Arial" w:cs="Arial"/>
          <w:sz w:val="20"/>
          <w:szCs w:val="20"/>
          <w:lang w:val="uk-UA"/>
        </w:rPr>
        <w:t xml:space="preserve">74</w:t>
      </w:r>
      <w:r/>
    </w:p>
    <w:p>
      <w:pPr>
        <w:ind w:left="3960"/>
        <w:spacing w:lineRule="auto" w:line="240" w:after="0"/>
        <w:tabs>
          <w:tab w:val="left" w:pos="1418" w:leader="none"/>
          <w:tab w:val="left" w:pos="13500" w:leader="dot"/>
        </w:tabs>
        <w:rPr>
          <w:rFonts w:ascii="Arial" w:hAnsi="Arial" w:cs="Arial"/>
          <w:sz w:val="20"/>
          <w:szCs w:val="20"/>
          <w:lang w:val="uk-UA"/>
        </w:rPr>
      </w:pPr>
      <w:r>
        <w:rPr>
          <w:rFonts w:ascii="Arial" w:hAnsi="Arial" w:cs="Arial"/>
          <w:sz w:val="20"/>
          <w:szCs w:val="20"/>
          <w:lang w:val="uk-UA"/>
        </w:rPr>
        <w:t xml:space="preserve">6.2. Звіт про впровадження ПДСЕРК до Об'єднаного дослідницького</w:t>
      </w:r>
      <w:r>
        <w:rPr>
          <w:rFonts w:ascii="Arial" w:hAnsi="Arial" w:cs="Arial"/>
          <w:sz w:val="20"/>
          <w:szCs w:val="20"/>
          <w:lang w:val="uk-UA"/>
        </w:rPr>
        <w:t xml:space="preserve"> </w:t>
      </w:r>
      <w:r>
        <w:rPr>
          <w:rFonts w:ascii="Arial" w:hAnsi="Arial" w:cs="Arial"/>
          <w:sz w:val="20"/>
          <w:szCs w:val="20"/>
          <w:lang w:val="uk-UA"/>
        </w:rPr>
        <w:t xml:space="preserve">центру Єврокомісії</w:t>
      </w:r>
      <w:r>
        <w:rPr>
          <w:rFonts w:ascii="Arial" w:hAnsi="Arial" w:cs="Arial"/>
          <w:sz w:val="20"/>
          <w:szCs w:val="20"/>
          <w:lang w:val="uk-UA"/>
        </w:rPr>
        <w:tab/>
      </w:r>
      <w:r>
        <w:rPr>
          <w:rFonts w:ascii="Arial" w:hAnsi="Arial" w:cs="Arial"/>
          <w:sz w:val="20"/>
          <w:szCs w:val="20"/>
          <w:lang w:val="uk-UA"/>
        </w:rPr>
        <w:t xml:space="preserve">75</w:t>
      </w:r>
      <w:r/>
    </w:p>
    <w:p>
      <w:pPr>
        <w:ind w:left="3960"/>
        <w:spacing w:lineRule="auto" w:line="240" w:after="0"/>
        <w:tabs>
          <w:tab w:val="left" w:pos="13500" w:leader="dot"/>
        </w:tabs>
        <w:rPr>
          <w:rFonts w:ascii="Arial" w:hAnsi="Arial" w:cs="Arial"/>
          <w:sz w:val="20"/>
          <w:szCs w:val="20"/>
          <w:lang w:val="uk-UA"/>
        </w:rPr>
      </w:pPr>
      <w:r>
        <w:rPr>
          <w:rFonts w:ascii="Arial" w:hAnsi="Arial" w:cs="Arial"/>
          <w:sz w:val="20"/>
          <w:szCs w:val="20"/>
          <w:lang w:val="uk-UA"/>
        </w:rPr>
      </w:r>
      <w:r/>
    </w:p>
    <w:p>
      <w:pPr>
        <w:ind w:left="3960"/>
        <w:spacing w:lineRule="auto" w:line="240" w:after="0"/>
        <w:tabs>
          <w:tab w:val="left" w:pos="13500" w:leader="dot"/>
        </w:tabs>
        <w:rPr>
          <w:rFonts w:ascii="Arial" w:hAnsi="Arial" w:cs="Arial"/>
          <w:sz w:val="20"/>
          <w:szCs w:val="20"/>
          <w:lang w:val="uk-UA"/>
        </w:rPr>
      </w:pPr>
      <w:r>
        <w:rPr>
          <w:rFonts w:ascii="Arial" w:hAnsi="Arial" w:cs="Arial"/>
          <w:b/>
          <w:sz w:val="20"/>
          <w:szCs w:val="20"/>
          <w:lang w:val="uk-UA"/>
        </w:rPr>
        <w:t xml:space="preserve">ВИСНОВОК</w:t>
      </w:r>
      <w:r>
        <w:rPr>
          <w:rFonts w:ascii="Arial" w:hAnsi="Arial" w:cs="Arial"/>
          <w:sz w:val="20"/>
          <w:szCs w:val="20"/>
          <w:lang w:val="uk-UA"/>
        </w:rPr>
        <w:tab/>
      </w:r>
      <w:r>
        <w:rPr>
          <w:rFonts w:ascii="Arial" w:hAnsi="Arial" w:cs="Arial"/>
          <w:sz w:val="20"/>
          <w:szCs w:val="20"/>
          <w:lang w:val="uk-UA"/>
        </w:rPr>
        <w:t xml:space="preserve">76</w:t>
      </w:r>
      <w:r/>
    </w:p>
    <w:p>
      <w:pPr>
        <w:ind w:left="3960"/>
        <w:spacing w:lineRule="exact" w:line="360" w:after="0"/>
        <w:tabs>
          <w:tab w:val="left" w:pos="13500" w:leader="dot"/>
        </w:tabs>
        <w:rPr>
          <w:rFonts w:ascii="Arial" w:hAnsi="Arial" w:cs="Arial"/>
          <w:sz w:val="20"/>
          <w:szCs w:val="20"/>
          <w:lang w:val="uk-UA"/>
        </w:rPr>
      </w:pPr>
      <w:r>
        <w:rPr>
          <w:rFonts w:ascii="Arial" w:hAnsi="Arial" w:cs="Arial"/>
          <w:b/>
          <w:sz w:val="20"/>
          <w:szCs w:val="20"/>
          <w:lang w:val="uk-UA"/>
        </w:rPr>
        <w:t xml:space="preserve">Додатки</w:t>
      </w:r>
      <w:r>
        <w:rPr>
          <w:rFonts w:ascii="Arial" w:hAnsi="Arial" w:cs="Arial"/>
          <w:sz w:val="20"/>
          <w:szCs w:val="20"/>
          <w:lang w:val="uk-UA"/>
        </w:rPr>
        <w:tab/>
      </w:r>
      <w:r>
        <w:rPr>
          <w:rFonts w:ascii="Arial" w:hAnsi="Arial" w:cs="Arial"/>
          <w:sz w:val="20"/>
          <w:szCs w:val="20"/>
          <w:lang w:val="uk-UA"/>
        </w:rPr>
        <w:t xml:space="preserve">77</w:t>
      </w:r>
      <w:r/>
    </w:p>
    <w:p>
      <w:pPr>
        <w:ind w:left="2880"/>
        <w:jc w:val="cente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ind w:left="2880"/>
        <w:jc w:val="cente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ind w:left="2880"/>
        <w:jc w:val="cente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ind w:left="2880"/>
        <w:jc w:val="cente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ind w:left="2880"/>
        <w:jc w:val="cente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ind w:left="2880"/>
        <w:jc w:val="cente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ind w:left="2880"/>
        <w:jc w:val="cente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ind w:left="2880"/>
        <w:jc w:val="cente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ind w:left="2880"/>
        <w:jc w:val="cente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spacing w:lineRule="exact" w:line="360" w:after="0"/>
        <w:tabs>
          <w:tab w:val="left" w:pos="13500" w:leader="dot"/>
        </w:tabs>
        <w:rPr>
          <w:rFonts w:ascii="Arial" w:hAnsi="Arial" w:cs="Arial"/>
          <w:sz w:val="24"/>
          <w:szCs w:val="24"/>
          <w:lang w:val="uk-UA"/>
        </w:rPr>
      </w:pPr>
      <w:r>
        <w:rPr>
          <w:rFonts w:ascii="Arial" w:hAnsi="Arial" w:cs="Arial"/>
          <w:sz w:val="24"/>
          <w:szCs w:val="24"/>
          <w:lang w:val="uk-UA"/>
        </w:rPr>
      </w:r>
      <w:r/>
    </w:p>
    <w:p>
      <w:pPr>
        <w:ind w:left="6299"/>
        <w:spacing w:after="80"/>
        <w:rPr>
          <w:rFonts w:ascii="Arial" w:hAnsi="Arial" w:cs="Arial"/>
          <w:b/>
          <w:sz w:val="24"/>
          <w:szCs w:val="24"/>
          <w:lang w:val="uk-UA"/>
        </w:rPr>
      </w:pPr>
      <w:r>
        <w:rPr>
          <w:rFonts w:ascii="Arial" w:hAnsi="Arial" w:cs="Arial"/>
          <w:b/>
          <w:sz w:val="24"/>
          <w:szCs w:val="24"/>
          <w:lang w:val="uk-UA"/>
        </w:rPr>
        <w:t xml:space="preserve">ПЕРЕЛІК СКОРОЧЕНЬ</w:t>
      </w:r>
      <w:r/>
    </w:p>
    <w:p>
      <w:pPr>
        <w:ind w:left="6299"/>
        <w:jc w:val="center"/>
        <w:spacing w:after="80"/>
        <w:rPr>
          <w:rFonts w:ascii="Arial" w:hAnsi="Arial" w:cs="Arial"/>
          <w:sz w:val="24"/>
          <w:szCs w:val="24"/>
          <w:lang w:val="uk-UA"/>
        </w:rPr>
      </w:pPr>
      <w:r>
        <w:rPr>
          <w:rFonts w:ascii="Arial" w:hAnsi="Arial" w:cs="Arial"/>
          <w:sz w:val="24"/>
          <w:szCs w:val="24"/>
          <w:lang w:val="uk-UA"/>
        </w:rPr>
      </w:r>
      <w:r/>
    </w:p>
    <w:p>
      <w:pPr>
        <w:ind w:left="6299"/>
        <w:spacing w:after="80"/>
        <w:rPr>
          <w:rFonts w:ascii="Arial" w:hAnsi="Arial" w:cs="Arial"/>
          <w:sz w:val="24"/>
          <w:szCs w:val="24"/>
          <w:lang w:val="uk-UA"/>
        </w:rPr>
      </w:pPr>
      <w:r>
        <w:rPr>
          <w:rFonts w:ascii="Arial" w:hAnsi="Arial" w:cs="Arial"/>
          <w:sz w:val="24"/>
          <w:szCs w:val="24"/>
          <w:lang w:val="uk-UA"/>
        </w:rPr>
        <w:t xml:space="preserve">ПДСЕРК -</w:t>
      </w:r>
      <w:r>
        <w:rPr>
          <w:rFonts w:ascii="Arial" w:hAnsi="Arial" w:cs="Arial"/>
          <w:sz w:val="24"/>
          <w:szCs w:val="24"/>
          <w:lang w:val="uk-UA"/>
        </w:rPr>
        <w:tab/>
        <w:t xml:space="preserve">План дій зі сталого енергетичного розвитку</w:t>
      </w:r>
      <w:r>
        <w:rPr>
          <w:rFonts w:ascii="Arial" w:hAnsi="Arial" w:cs="Arial"/>
          <w:sz w:val="24"/>
          <w:szCs w:val="24"/>
          <w:lang w:val="uk-UA"/>
        </w:rPr>
        <w:t xml:space="preserve"> та клімату</w:t>
      </w:r>
      <w:r/>
    </w:p>
    <w:p>
      <w:pPr>
        <w:ind w:left="6299"/>
        <w:spacing w:after="80"/>
        <w:rPr>
          <w:rFonts w:ascii="Arial" w:hAnsi="Arial" w:cs="Arial"/>
          <w:sz w:val="24"/>
          <w:szCs w:val="24"/>
          <w:lang w:val="uk-UA"/>
        </w:rPr>
      </w:pPr>
      <w:r>
        <w:rPr>
          <w:rFonts w:ascii="Arial" w:hAnsi="Arial" w:cs="Arial"/>
          <w:sz w:val="24"/>
          <w:szCs w:val="24"/>
          <w:lang w:val="uk-UA"/>
        </w:rPr>
        <w:t xml:space="preserve">АДЕ -</w:t>
      </w:r>
      <w:r>
        <w:rPr>
          <w:rFonts w:ascii="Arial" w:hAnsi="Arial" w:cs="Arial"/>
          <w:sz w:val="24"/>
          <w:szCs w:val="24"/>
          <w:lang w:val="uk-UA"/>
        </w:rPr>
        <w:tab/>
      </w:r>
      <w:r>
        <w:rPr>
          <w:rFonts w:ascii="Arial" w:hAnsi="Arial" w:cs="Arial"/>
          <w:sz w:val="24"/>
          <w:szCs w:val="24"/>
          <w:lang w:val="uk-UA"/>
        </w:rPr>
        <w:tab/>
        <w:t xml:space="preserve">альтернативні джерела енергії</w:t>
      </w:r>
      <w:r/>
    </w:p>
    <w:p>
      <w:pPr>
        <w:ind w:left="6299"/>
        <w:spacing w:after="80"/>
        <w:rPr>
          <w:rFonts w:ascii="Arial" w:hAnsi="Arial" w:cs="Arial"/>
          <w:sz w:val="24"/>
          <w:szCs w:val="24"/>
          <w:lang w:val="uk-UA"/>
        </w:rPr>
      </w:pPr>
      <w:r>
        <w:rPr>
          <w:rFonts w:ascii="Arial" w:hAnsi="Arial" w:cs="Arial"/>
          <w:sz w:val="24"/>
          <w:szCs w:val="24"/>
          <w:lang w:val="uk-UA"/>
        </w:rPr>
        <w:t xml:space="preserve">ДПП -</w:t>
      </w:r>
      <w:r>
        <w:rPr>
          <w:rFonts w:ascii="Arial" w:hAnsi="Arial" w:cs="Arial"/>
          <w:sz w:val="24"/>
          <w:szCs w:val="24"/>
          <w:lang w:val="uk-UA"/>
        </w:rPr>
        <w:tab/>
      </w:r>
      <w:r>
        <w:rPr>
          <w:rFonts w:ascii="Arial" w:hAnsi="Arial" w:cs="Arial"/>
          <w:sz w:val="24"/>
          <w:szCs w:val="24"/>
          <w:lang w:val="uk-UA"/>
        </w:rPr>
        <w:tab/>
        <w:t xml:space="preserve">державно-приватне партнерство</w:t>
      </w:r>
      <w:r/>
    </w:p>
    <w:p>
      <w:pPr>
        <w:ind w:left="6299"/>
        <w:spacing w:after="80"/>
        <w:rPr>
          <w:rFonts w:ascii="Arial" w:hAnsi="Arial" w:cs="Arial"/>
          <w:sz w:val="24"/>
          <w:szCs w:val="24"/>
          <w:lang w:val="uk-UA"/>
        </w:rPr>
      </w:pPr>
      <w:r>
        <w:rPr>
          <w:rFonts w:ascii="Arial" w:hAnsi="Arial" w:cs="Arial"/>
          <w:sz w:val="24"/>
          <w:szCs w:val="24"/>
          <w:lang w:val="uk-UA"/>
        </w:rPr>
        <w:t xml:space="preserve">ККД -</w:t>
      </w:r>
      <w:r>
        <w:rPr>
          <w:rFonts w:ascii="Arial" w:hAnsi="Arial" w:cs="Arial"/>
          <w:sz w:val="24"/>
          <w:szCs w:val="24"/>
          <w:lang w:val="uk-UA"/>
        </w:rPr>
        <w:tab/>
      </w:r>
      <w:r>
        <w:rPr>
          <w:rFonts w:ascii="Arial" w:hAnsi="Arial" w:cs="Arial"/>
          <w:sz w:val="24"/>
          <w:szCs w:val="24"/>
          <w:lang w:val="uk-UA"/>
        </w:rPr>
        <w:tab/>
        <w:t xml:space="preserve">коефіцієнт корисної дії</w:t>
      </w:r>
      <w:r/>
    </w:p>
    <w:p>
      <w:pPr>
        <w:ind w:left="6299"/>
        <w:spacing w:after="80"/>
        <w:rPr>
          <w:rFonts w:ascii="Arial" w:hAnsi="Arial" w:cs="Arial"/>
          <w:sz w:val="24"/>
          <w:szCs w:val="24"/>
          <w:lang w:val="uk-UA"/>
        </w:rPr>
      </w:pPr>
      <w:r>
        <w:rPr>
          <w:rFonts w:ascii="Arial" w:hAnsi="Arial" w:cs="Arial"/>
          <w:sz w:val="24"/>
          <w:szCs w:val="24"/>
          <w:lang w:val="uk-UA"/>
        </w:rPr>
        <w:t xml:space="preserve">ГВП -</w:t>
      </w:r>
      <w:r>
        <w:rPr>
          <w:rFonts w:ascii="Arial" w:hAnsi="Arial" w:cs="Arial"/>
          <w:sz w:val="24"/>
          <w:szCs w:val="24"/>
          <w:lang w:val="uk-UA"/>
        </w:rPr>
        <w:tab/>
      </w:r>
      <w:r>
        <w:rPr>
          <w:rFonts w:ascii="Arial" w:hAnsi="Arial" w:cs="Arial"/>
          <w:sz w:val="24"/>
          <w:szCs w:val="24"/>
          <w:lang w:val="uk-UA"/>
        </w:rPr>
        <w:tab/>
        <w:t xml:space="preserve">гаряче водопостачання</w:t>
      </w:r>
      <w:r/>
    </w:p>
    <w:p>
      <w:pPr>
        <w:ind w:left="6299"/>
        <w:spacing w:after="80"/>
        <w:rPr>
          <w:rFonts w:ascii="Arial" w:hAnsi="Arial" w:cs="Arial"/>
          <w:sz w:val="24"/>
          <w:szCs w:val="24"/>
          <w:lang w:val="uk-UA"/>
        </w:rPr>
      </w:pPr>
      <w:r>
        <w:rPr>
          <w:rFonts w:ascii="Arial" w:hAnsi="Arial" w:cs="Arial"/>
          <w:sz w:val="24"/>
          <w:szCs w:val="24"/>
          <w:lang w:val="uk-UA"/>
        </w:rPr>
        <w:t xml:space="preserve">ІТП -</w:t>
      </w:r>
      <w:r>
        <w:rPr>
          <w:rFonts w:ascii="Arial" w:hAnsi="Arial" w:cs="Arial"/>
          <w:sz w:val="24"/>
          <w:szCs w:val="24"/>
          <w:lang w:val="uk-UA"/>
        </w:rPr>
        <w:tab/>
      </w:r>
      <w:r>
        <w:rPr>
          <w:rFonts w:ascii="Arial" w:hAnsi="Arial" w:cs="Arial"/>
          <w:sz w:val="24"/>
          <w:szCs w:val="24"/>
          <w:lang w:val="uk-UA"/>
        </w:rPr>
        <w:tab/>
        <w:t xml:space="preserve">індивідуальний  тепловий пункт</w:t>
      </w:r>
      <w:r/>
    </w:p>
    <w:p>
      <w:pPr>
        <w:ind w:left="6299"/>
        <w:spacing w:after="80"/>
        <w:rPr>
          <w:rFonts w:ascii="Arial" w:hAnsi="Arial" w:cs="Arial"/>
          <w:sz w:val="24"/>
          <w:szCs w:val="24"/>
          <w:lang w:val="uk-UA"/>
        </w:rPr>
      </w:pPr>
      <w:r>
        <w:rPr>
          <w:rFonts w:ascii="Arial" w:hAnsi="Arial" w:cs="Arial"/>
          <w:sz w:val="24"/>
          <w:szCs w:val="24"/>
          <w:lang w:val="uk-UA"/>
        </w:rPr>
        <w:t xml:space="preserve">ТОВ -</w:t>
      </w:r>
      <w:r>
        <w:rPr>
          <w:rFonts w:ascii="Arial" w:hAnsi="Arial" w:cs="Arial"/>
          <w:sz w:val="24"/>
          <w:szCs w:val="24"/>
          <w:lang w:val="uk-UA"/>
        </w:rPr>
        <w:tab/>
      </w:r>
      <w:r>
        <w:rPr>
          <w:rFonts w:ascii="Arial" w:hAnsi="Arial" w:cs="Arial"/>
          <w:sz w:val="24"/>
          <w:szCs w:val="24"/>
          <w:lang w:val="uk-UA"/>
        </w:rPr>
        <w:tab/>
        <w:t xml:space="preserve">товариство з обмеженою відповідальністю</w:t>
      </w:r>
      <w:r/>
    </w:p>
    <w:p>
      <w:pPr>
        <w:ind w:left="6299"/>
        <w:spacing w:after="80"/>
        <w:rPr>
          <w:rFonts w:ascii="Arial" w:hAnsi="Arial" w:cs="Arial"/>
          <w:sz w:val="24"/>
          <w:szCs w:val="24"/>
          <w:lang w:val="uk-UA"/>
        </w:rPr>
      </w:pPr>
      <w:r>
        <w:rPr>
          <w:rFonts w:ascii="Arial" w:hAnsi="Arial" w:cs="Arial"/>
          <w:sz w:val="24"/>
          <w:szCs w:val="24"/>
          <w:lang w:val="uk-UA"/>
        </w:rPr>
        <w:t xml:space="preserve">ГРП -</w:t>
      </w:r>
      <w:r>
        <w:rPr>
          <w:rFonts w:ascii="Arial" w:hAnsi="Arial" w:cs="Arial"/>
          <w:sz w:val="24"/>
          <w:szCs w:val="24"/>
          <w:lang w:val="uk-UA"/>
        </w:rPr>
        <w:tab/>
      </w:r>
      <w:r>
        <w:rPr>
          <w:rFonts w:ascii="Arial" w:hAnsi="Arial" w:cs="Arial"/>
          <w:sz w:val="24"/>
          <w:szCs w:val="24"/>
          <w:lang w:val="uk-UA"/>
        </w:rPr>
        <w:tab/>
      </w:r>
      <w:r>
        <w:rPr>
          <w:rFonts w:ascii="Arial" w:hAnsi="Arial" w:cs="Arial"/>
          <w:sz w:val="24"/>
          <w:szCs w:val="24"/>
          <w:lang w:val="uk-UA"/>
        </w:rPr>
        <w:t xml:space="preserve">газорегуляторний</w:t>
      </w:r>
      <w:r>
        <w:rPr>
          <w:rFonts w:ascii="Arial" w:hAnsi="Arial" w:cs="Arial"/>
          <w:sz w:val="24"/>
          <w:szCs w:val="24"/>
          <w:lang w:val="uk-UA"/>
        </w:rPr>
        <w:t xml:space="preserve"> пункт</w:t>
      </w:r>
      <w:r/>
    </w:p>
    <w:p>
      <w:pPr>
        <w:ind w:left="6299"/>
        <w:spacing w:after="80"/>
        <w:rPr>
          <w:rFonts w:ascii="Arial" w:hAnsi="Arial" w:cs="Arial"/>
          <w:sz w:val="24"/>
          <w:szCs w:val="24"/>
          <w:lang w:val="uk-UA"/>
        </w:rPr>
      </w:pPr>
      <w:r>
        <w:rPr>
          <w:rFonts w:ascii="Arial" w:hAnsi="Arial" w:cs="Arial"/>
          <w:sz w:val="24"/>
          <w:szCs w:val="24"/>
          <w:lang w:val="uk-UA"/>
        </w:rPr>
        <w:t xml:space="preserve">ГРУ -</w:t>
      </w:r>
      <w:r>
        <w:rPr>
          <w:rFonts w:ascii="Arial" w:hAnsi="Arial" w:cs="Arial"/>
          <w:sz w:val="24"/>
          <w:szCs w:val="24"/>
          <w:lang w:val="uk-UA"/>
        </w:rPr>
        <w:tab/>
      </w:r>
      <w:r>
        <w:rPr>
          <w:rFonts w:ascii="Arial" w:hAnsi="Arial" w:cs="Arial"/>
          <w:sz w:val="24"/>
          <w:szCs w:val="24"/>
          <w:lang w:val="uk-UA"/>
        </w:rPr>
        <w:tab/>
      </w:r>
      <w:r>
        <w:rPr>
          <w:rFonts w:ascii="Arial" w:hAnsi="Arial" w:cs="Arial"/>
          <w:sz w:val="24"/>
          <w:szCs w:val="24"/>
          <w:lang w:val="uk-UA"/>
        </w:rPr>
        <w:t xml:space="preserve">газорегулювальна</w:t>
      </w:r>
      <w:r>
        <w:rPr>
          <w:rFonts w:ascii="Arial" w:hAnsi="Arial" w:cs="Arial"/>
          <w:sz w:val="24"/>
          <w:szCs w:val="24"/>
          <w:lang w:val="uk-UA"/>
        </w:rPr>
        <w:t xml:space="preserve"> установка</w:t>
      </w:r>
      <w:r/>
    </w:p>
    <w:p>
      <w:pPr>
        <w:ind w:left="6299"/>
        <w:spacing w:after="80"/>
        <w:rPr>
          <w:rFonts w:ascii="Arial" w:hAnsi="Arial" w:cs="Arial"/>
          <w:sz w:val="24"/>
          <w:szCs w:val="24"/>
          <w:lang w:val="uk-UA"/>
        </w:rPr>
      </w:pPr>
      <w:r>
        <w:rPr>
          <w:rFonts w:ascii="Arial" w:hAnsi="Arial" w:cs="Arial"/>
          <w:sz w:val="24"/>
          <w:szCs w:val="24"/>
          <w:lang w:val="uk-UA"/>
        </w:rPr>
        <w:t xml:space="preserve">ШРП -</w:t>
      </w:r>
      <w:r>
        <w:rPr>
          <w:rFonts w:ascii="Arial" w:hAnsi="Arial" w:cs="Arial"/>
          <w:sz w:val="24"/>
          <w:szCs w:val="24"/>
          <w:lang w:val="uk-UA"/>
        </w:rPr>
        <w:tab/>
      </w:r>
      <w:r>
        <w:rPr>
          <w:rFonts w:ascii="Arial" w:hAnsi="Arial" w:cs="Arial"/>
          <w:sz w:val="24"/>
          <w:szCs w:val="24"/>
          <w:lang w:val="uk-UA"/>
        </w:rPr>
        <w:tab/>
        <w:t xml:space="preserve">шафовий регуляторний пункт</w:t>
      </w:r>
      <w:r/>
    </w:p>
    <w:p>
      <w:pPr>
        <w:ind w:left="6299"/>
        <w:spacing w:after="80"/>
        <w:rPr>
          <w:rFonts w:ascii="Arial" w:hAnsi="Arial" w:cs="Arial"/>
          <w:sz w:val="24"/>
          <w:szCs w:val="24"/>
          <w:lang w:val="uk-UA"/>
        </w:rPr>
      </w:pPr>
      <w:r>
        <w:rPr>
          <w:rFonts w:ascii="Arial" w:hAnsi="Arial" w:cs="Arial"/>
          <w:sz w:val="24"/>
          <w:szCs w:val="24"/>
          <w:lang w:val="uk-UA"/>
        </w:rPr>
        <w:t xml:space="preserve">РП -</w:t>
      </w:r>
      <w:r>
        <w:rPr>
          <w:rFonts w:ascii="Arial" w:hAnsi="Arial" w:cs="Arial"/>
          <w:sz w:val="24"/>
          <w:szCs w:val="24"/>
          <w:lang w:val="uk-UA"/>
        </w:rPr>
        <w:tab/>
      </w:r>
      <w:r>
        <w:rPr>
          <w:rFonts w:ascii="Arial" w:hAnsi="Arial" w:cs="Arial"/>
          <w:sz w:val="24"/>
          <w:szCs w:val="24"/>
          <w:lang w:val="uk-UA"/>
        </w:rPr>
        <w:tab/>
        <w:t xml:space="preserve">розподільна підстанція</w:t>
      </w:r>
      <w:r/>
    </w:p>
    <w:p>
      <w:pPr>
        <w:ind w:left="6299"/>
        <w:spacing w:after="80"/>
        <w:rPr>
          <w:rFonts w:ascii="Arial" w:hAnsi="Arial" w:cs="Arial"/>
          <w:sz w:val="24"/>
          <w:szCs w:val="24"/>
          <w:lang w:val="uk-UA"/>
        </w:rPr>
      </w:pPr>
      <w:r>
        <w:rPr>
          <w:rFonts w:ascii="Arial" w:hAnsi="Arial" w:cs="Arial"/>
          <w:sz w:val="24"/>
          <w:szCs w:val="24"/>
          <w:lang w:val="uk-UA"/>
        </w:rPr>
        <w:t xml:space="preserve">АРС -</w:t>
      </w:r>
      <w:r>
        <w:rPr>
          <w:rFonts w:ascii="Arial" w:hAnsi="Arial" w:cs="Arial"/>
          <w:sz w:val="24"/>
          <w:szCs w:val="24"/>
          <w:lang w:val="uk-UA"/>
        </w:rPr>
        <w:tab/>
      </w:r>
      <w:r>
        <w:rPr>
          <w:rFonts w:ascii="Arial" w:hAnsi="Arial" w:cs="Arial"/>
          <w:sz w:val="24"/>
          <w:szCs w:val="24"/>
          <w:lang w:val="uk-UA"/>
        </w:rPr>
        <w:tab/>
        <w:t xml:space="preserve">артезіанська свердловина</w:t>
      </w:r>
      <w:r/>
    </w:p>
    <w:p>
      <w:pPr>
        <w:ind w:left="6299"/>
        <w:spacing w:after="80"/>
        <w:rPr>
          <w:rFonts w:ascii="Arial" w:hAnsi="Arial" w:cs="Arial"/>
          <w:sz w:val="24"/>
          <w:szCs w:val="24"/>
          <w:lang w:val="uk-UA"/>
        </w:rPr>
      </w:pPr>
      <w:r>
        <w:rPr>
          <w:rFonts w:ascii="Arial" w:hAnsi="Arial" w:cs="Arial"/>
          <w:sz w:val="24"/>
          <w:szCs w:val="24"/>
          <w:lang w:val="uk-UA"/>
        </w:rPr>
        <w:t xml:space="preserve">КНС -</w:t>
      </w:r>
      <w:r>
        <w:rPr>
          <w:rFonts w:ascii="Arial" w:hAnsi="Arial" w:cs="Arial"/>
          <w:sz w:val="24"/>
          <w:szCs w:val="24"/>
          <w:lang w:val="uk-UA"/>
        </w:rPr>
        <w:tab/>
      </w:r>
      <w:r>
        <w:rPr>
          <w:rFonts w:ascii="Arial" w:hAnsi="Arial" w:cs="Arial"/>
          <w:sz w:val="24"/>
          <w:szCs w:val="24"/>
          <w:lang w:val="uk-UA"/>
        </w:rPr>
        <w:tab/>
        <w:t xml:space="preserve">каналізаційна насосна станція</w:t>
      </w:r>
      <w:r/>
    </w:p>
    <w:p>
      <w:pPr>
        <w:ind w:left="6299"/>
        <w:spacing w:after="80"/>
        <w:rPr>
          <w:rFonts w:ascii="Arial" w:hAnsi="Arial" w:cs="Arial"/>
          <w:sz w:val="24"/>
          <w:szCs w:val="24"/>
          <w:lang w:val="uk-UA"/>
        </w:rPr>
      </w:pPr>
      <w:r>
        <w:rPr>
          <w:rFonts w:ascii="Arial" w:hAnsi="Arial" w:cs="Arial"/>
          <w:sz w:val="24"/>
          <w:szCs w:val="24"/>
          <w:lang w:val="uk-UA"/>
        </w:rPr>
        <w:t xml:space="preserve">КОС -</w:t>
      </w:r>
      <w:r>
        <w:rPr>
          <w:rFonts w:ascii="Arial" w:hAnsi="Arial" w:cs="Arial"/>
          <w:sz w:val="24"/>
          <w:szCs w:val="24"/>
          <w:lang w:val="uk-UA"/>
        </w:rPr>
        <w:tab/>
      </w:r>
      <w:r>
        <w:rPr>
          <w:rFonts w:ascii="Arial" w:hAnsi="Arial" w:cs="Arial"/>
          <w:sz w:val="24"/>
          <w:szCs w:val="24"/>
          <w:lang w:val="uk-UA"/>
        </w:rPr>
        <w:tab/>
        <w:t xml:space="preserve">каналізаційні очисні споруди</w:t>
      </w:r>
      <w:r/>
    </w:p>
    <w:p>
      <w:pPr>
        <w:ind w:left="6299"/>
        <w:spacing w:after="80"/>
        <w:rPr>
          <w:rFonts w:ascii="Arial" w:hAnsi="Arial" w:cs="Arial"/>
          <w:sz w:val="24"/>
          <w:szCs w:val="24"/>
          <w:lang w:val="uk-UA"/>
        </w:rPr>
      </w:pPr>
      <w:r>
        <w:rPr>
          <w:rFonts w:ascii="Arial" w:hAnsi="Arial" w:cs="Arial"/>
          <w:sz w:val="24"/>
          <w:szCs w:val="24"/>
          <w:lang w:val="uk-UA"/>
        </w:rPr>
        <w:t xml:space="preserve">ВЗМ -</w:t>
      </w:r>
      <w:r>
        <w:rPr>
          <w:rFonts w:ascii="Arial" w:hAnsi="Arial" w:cs="Arial"/>
          <w:sz w:val="24"/>
          <w:szCs w:val="24"/>
          <w:lang w:val="uk-UA"/>
        </w:rPr>
        <w:tab/>
      </w:r>
      <w:r>
        <w:rPr>
          <w:rFonts w:ascii="Arial" w:hAnsi="Arial" w:cs="Arial"/>
          <w:sz w:val="24"/>
          <w:szCs w:val="24"/>
          <w:lang w:val="uk-UA"/>
        </w:rPr>
        <w:tab/>
        <w:t xml:space="preserve">водозабори</w:t>
      </w:r>
      <w:r/>
    </w:p>
    <w:p>
      <w:pPr>
        <w:ind w:left="6299"/>
        <w:spacing w:after="80"/>
        <w:rPr>
          <w:rFonts w:ascii="Arial" w:hAnsi="Arial" w:cs="Arial"/>
          <w:sz w:val="24"/>
          <w:szCs w:val="24"/>
          <w:lang w:val="uk-UA"/>
        </w:rPr>
      </w:pPr>
      <w:r>
        <w:rPr>
          <w:rFonts w:ascii="Arial" w:hAnsi="Arial" w:cs="Arial"/>
          <w:sz w:val="24"/>
          <w:szCs w:val="24"/>
          <w:lang w:val="uk-UA"/>
        </w:rPr>
        <w:t xml:space="preserve">ПРА -</w:t>
      </w:r>
      <w:r>
        <w:rPr>
          <w:rFonts w:ascii="Arial" w:hAnsi="Arial" w:cs="Arial"/>
          <w:sz w:val="24"/>
          <w:szCs w:val="24"/>
          <w:lang w:val="uk-UA"/>
        </w:rPr>
        <w:tab/>
      </w:r>
      <w:r>
        <w:rPr>
          <w:rFonts w:ascii="Arial" w:hAnsi="Arial" w:cs="Arial"/>
          <w:sz w:val="24"/>
          <w:szCs w:val="24"/>
          <w:lang w:val="uk-UA"/>
        </w:rPr>
        <w:tab/>
        <w:t xml:space="preserve">пускорегулювальна апаратура</w:t>
      </w:r>
      <w:r/>
    </w:p>
    <w:p>
      <w:pPr>
        <w:ind w:left="6299"/>
        <w:spacing w:after="80"/>
        <w:rPr>
          <w:rFonts w:ascii="Arial" w:hAnsi="Arial" w:cs="Arial"/>
          <w:sz w:val="24"/>
          <w:szCs w:val="24"/>
          <w:lang w:val="uk-UA"/>
        </w:rPr>
      </w:pPr>
      <w:r>
        <w:rPr>
          <w:rFonts w:ascii="Arial" w:hAnsi="Arial" w:cs="Arial"/>
          <w:sz w:val="24"/>
          <w:szCs w:val="24"/>
          <w:lang w:val="uk-UA"/>
        </w:rPr>
        <w:t xml:space="preserve">Е/Е -</w:t>
      </w:r>
      <w:r>
        <w:rPr>
          <w:rFonts w:ascii="Arial" w:hAnsi="Arial" w:cs="Arial"/>
          <w:sz w:val="24"/>
          <w:szCs w:val="24"/>
          <w:lang w:val="uk-UA"/>
        </w:rPr>
        <w:tab/>
      </w:r>
      <w:r>
        <w:rPr>
          <w:rFonts w:ascii="Arial" w:hAnsi="Arial" w:cs="Arial"/>
          <w:sz w:val="24"/>
          <w:szCs w:val="24"/>
          <w:lang w:val="uk-UA"/>
        </w:rPr>
        <w:tab/>
        <w:t xml:space="preserve">електрична енергія</w:t>
      </w:r>
      <w:r/>
    </w:p>
    <w:p>
      <w:pPr>
        <w:ind w:left="6299"/>
        <w:spacing w:after="80"/>
        <w:rPr>
          <w:rFonts w:ascii="Arial" w:hAnsi="Arial" w:cs="Arial"/>
          <w:sz w:val="24"/>
          <w:szCs w:val="24"/>
          <w:lang w:val="uk-UA"/>
        </w:rPr>
      </w:pPr>
      <w:r>
        <w:rPr>
          <w:rFonts w:ascii="Arial" w:hAnsi="Arial" w:cs="Arial"/>
          <w:sz w:val="24"/>
          <w:szCs w:val="24"/>
          <w:lang w:val="uk-UA"/>
        </w:rPr>
        <w:t xml:space="preserve">ПНС -</w:t>
      </w:r>
      <w:r>
        <w:rPr>
          <w:rFonts w:ascii="Arial" w:hAnsi="Arial" w:cs="Arial"/>
          <w:sz w:val="24"/>
          <w:szCs w:val="24"/>
          <w:lang w:val="uk-UA"/>
        </w:rPr>
        <w:tab/>
      </w:r>
      <w:r>
        <w:rPr>
          <w:rFonts w:ascii="Arial" w:hAnsi="Arial" w:cs="Arial"/>
          <w:sz w:val="24"/>
          <w:szCs w:val="24"/>
          <w:lang w:val="uk-UA"/>
        </w:rPr>
        <w:tab/>
        <w:t xml:space="preserve">підвищувальні насосні станції</w:t>
      </w:r>
      <w:r/>
    </w:p>
    <w:p>
      <w:pPr>
        <w:ind w:left="6299"/>
        <w:spacing w:after="80"/>
        <w:rPr>
          <w:rFonts w:ascii="Arial" w:hAnsi="Arial" w:cs="Arial"/>
          <w:sz w:val="24"/>
          <w:szCs w:val="24"/>
          <w:lang w:val="uk-UA"/>
        </w:rPr>
      </w:pPr>
      <w:r>
        <w:rPr>
          <w:rFonts w:ascii="Arial" w:hAnsi="Arial" w:cs="Arial"/>
          <w:sz w:val="24"/>
          <w:szCs w:val="24"/>
          <w:lang w:val="uk-UA"/>
        </w:rPr>
        <w:t xml:space="preserve">ЦТП -</w:t>
      </w:r>
      <w:r>
        <w:rPr>
          <w:rFonts w:ascii="Arial" w:hAnsi="Arial" w:cs="Arial"/>
          <w:sz w:val="24"/>
          <w:szCs w:val="24"/>
          <w:lang w:val="uk-UA"/>
        </w:rPr>
        <w:tab/>
      </w:r>
      <w:r>
        <w:rPr>
          <w:rFonts w:ascii="Arial" w:hAnsi="Arial" w:cs="Arial"/>
          <w:sz w:val="24"/>
          <w:szCs w:val="24"/>
          <w:lang w:val="uk-UA"/>
        </w:rPr>
        <w:tab/>
        <w:t xml:space="preserve">центральний тепловий пункт</w:t>
      </w:r>
      <w:r/>
    </w:p>
    <w:p>
      <w:pPr>
        <w:ind w:left="6299"/>
        <w:spacing w:after="80"/>
        <w:rPr>
          <w:rFonts w:ascii="Arial" w:hAnsi="Arial" w:cs="Arial"/>
          <w:sz w:val="24"/>
          <w:szCs w:val="24"/>
          <w:lang w:val="uk-UA"/>
        </w:rPr>
      </w:pPr>
      <w:r>
        <w:rPr>
          <w:rFonts w:ascii="Arial" w:hAnsi="Arial" w:cs="Arial"/>
          <w:sz w:val="24"/>
          <w:szCs w:val="24"/>
          <w:lang w:val="uk-UA"/>
        </w:rPr>
        <w:t xml:space="preserve">БКВ -</w:t>
      </w:r>
      <w:r>
        <w:rPr>
          <w:rFonts w:ascii="Arial" w:hAnsi="Arial" w:cs="Arial"/>
          <w:sz w:val="24"/>
          <w:szCs w:val="24"/>
          <w:lang w:val="uk-UA"/>
        </w:rPr>
        <w:tab/>
      </w:r>
      <w:r>
        <w:rPr>
          <w:rFonts w:ascii="Arial" w:hAnsi="Arial" w:cs="Arial"/>
          <w:sz w:val="24"/>
          <w:szCs w:val="24"/>
          <w:lang w:val="uk-UA"/>
        </w:rPr>
        <w:tab/>
        <w:t xml:space="preserve">базовий кадастр викидів</w:t>
      </w:r>
      <w:r/>
    </w:p>
    <w:p>
      <w:pPr>
        <w:ind w:left="6299"/>
        <w:spacing w:after="80"/>
        <w:rPr>
          <w:rFonts w:ascii="Arial" w:hAnsi="Arial" w:cs="Arial"/>
          <w:sz w:val="24"/>
          <w:szCs w:val="24"/>
          <w:lang w:val="uk-UA"/>
        </w:rPr>
      </w:pPr>
      <w:r>
        <w:rPr>
          <w:rFonts w:ascii="Arial" w:hAnsi="Arial" w:cs="Arial"/>
          <w:sz w:val="24"/>
          <w:szCs w:val="24"/>
          <w:lang w:val="uk-UA"/>
        </w:rPr>
        <w:t xml:space="preserve">МФУ -</w:t>
      </w:r>
      <w:r>
        <w:rPr>
          <w:rFonts w:ascii="Arial" w:hAnsi="Arial" w:cs="Arial"/>
          <w:sz w:val="24"/>
          <w:szCs w:val="24"/>
          <w:lang w:val="uk-UA"/>
        </w:rPr>
        <w:tab/>
      </w:r>
      <w:r>
        <w:rPr>
          <w:rFonts w:ascii="Arial" w:hAnsi="Arial" w:cs="Arial"/>
          <w:sz w:val="24"/>
          <w:szCs w:val="24"/>
          <w:lang w:val="uk-UA"/>
        </w:rPr>
        <w:tab/>
        <w:t xml:space="preserve">міжнародні фінансові установи</w:t>
      </w:r>
      <w:r/>
    </w:p>
    <w:p>
      <w:pPr>
        <w:ind w:left="6299"/>
        <w:spacing w:after="80"/>
        <w:rPr>
          <w:rFonts w:ascii="Arial" w:hAnsi="Arial" w:cs="Arial"/>
          <w:sz w:val="24"/>
          <w:szCs w:val="24"/>
          <w:lang w:val="uk-UA"/>
        </w:rPr>
      </w:pPr>
      <w:r>
        <w:rPr>
          <w:rFonts w:ascii="Arial" w:hAnsi="Arial" w:cs="Arial"/>
          <w:sz w:val="24"/>
          <w:szCs w:val="24"/>
          <w:lang w:val="uk-UA"/>
        </w:rPr>
        <w:t xml:space="preserve">ПЕР -</w:t>
      </w:r>
      <w:r>
        <w:rPr>
          <w:rFonts w:ascii="Arial" w:hAnsi="Arial" w:cs="Arial"/>
          <w:sz w:val="24"/>
          <w:szCs w:val="24"/>
          <w:lang w:val="uk-UA"/>
        </w:rPr>
        <w:tab/>
      </w:r>
      <w:r>
        <w:rPr>
          <w:rFonts w:ascii="Arial" w:hAnsi="Arial" w:cs="Arial"/>
          <w:sz w:val="24"/>
          <w:szCs w:val="24"/>
          <w:lang w:val="uk-UA"/>
        </w:rPr>
        <w:tab/>
        <w:t xml:space="preserve">паливно-енергетичні ресурси</w:t>
      </w:r>
      <w:r/>
    </w:p>
    <w:p>
      <w:pPr>
        <w:ind w:right="-1"/>
        <w:jc w:val="center"/>
        <w:rPr>
          <w:rFonts w:ascii="Arial" w:hAnsi="Arial" w:cs="Arial"/>
          <w:sz w:val="24"/>
          <w:szCs w:val="24"/>
          <w:lang w:val="uk-UA"/>
        </w:rPr>
      </w:pPr>
      <w:r>
        <w:rPr>
          <w:rFonts w:ascii="Arial" w:hAnsi="Arial" w:cs="Arial"/>
          <w:sz w:val="24"/>
          <w:szCs w:val="24"/>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t xml:space="preserve">ВСТУПНА ЧАСТИНА</w:t>
      </w:r>
      <w:r/>
    </w:p>
    <w:p>
      <w:pPr>
        <w:ind w:right="-1"/>
        <w:jc w:val="center"/>
        <w:spacing w:lineRule="auto" w:line="240" w:after="0"/>
        <w:rPr>
          <w:rFonts w:ascii="Arial" w:hAnsi="Arial" w:cs="Arial"/>
          <w:b/>
          <w:color w:val="7030A0"/>
          <w:sz w:val="28"/>
          <w:szCs w:val="28"/>
          <w:lang w:val="uk-UA"/>
        </w:rPr>
      </w:pPr>
      <w:r>
        <w:rPr>
          <w:rFonts w:ascii="Arial" w:hAnsi="Arial" w:cs="Arial"/>
          <w:b/>
          <w:color w:val="7030A0"/>
          <w:sz w:val="28"/>
          <w:szCs w:val="28"/>
          <w:lang w:val="uk-UA"/>
        </w:rPr>
      </w:r>
      <w:r/>
    </w:p>
    <w:p>
      <w:pPr>
        <w:ind w:right="-1" w:firstLine="708"/>
        <w:jc w:val="both"/>
        <w:spacing w:lineRule="auto" w:line="240" w:after="0"/>
        <w:rPr>
          <w:rFonts w:ascii="Arial" w:hAnsi="Arial" w:cs="Arial"/>
          <w:sz w:val="24"/>
          <w:szCs w:val="24"/>
          <w:lang w:val="uk-UA"/>
        </w:rPr>
        <w:sectPr>
          <w:headerReference w:type="default" r:id="rId8"/>
          <w:headerReference w:type="even" r:id="rId9"/>
          <w:footerReference w:type="default" r:id="rId10"/>
          <w:footerReference w:type="even" r:id="rId11"/>
          <w:footnotePr/>
          <w:type w:val="nextPage"/>
          <w:pgSz w:w="16838" w:h="11906" w:orient="landscape"/>
          <w:pgMar w:top="66" w:right="1134" w:bottom="567" w:left="1418" w:header="142" w:footer="38"/>
          <w:pgNumType w:start="1"/>
          <w:cols w:num="1" w:sep="0" w:space="708" w:equalWidth="1"/>
          <w:docGrid w:linePitch="360"/>
          <w:titlePg/>
        </w:sectPr>
      </w:pPr>
      <w:r>
        <w:rPr>
          <w:rFonts w:ascii="Arial" w:hAnsi="Arial" w:cs="Arial"/>
          <w:sz w:val="24"/>
          <w:szCs w:val="24"/>
          <w:lang w:val="uk-UA"/>
        </w:rPr>
      </w:r>
      <w:r/>
    </w:p>
    <w:p>
      <w:pPr>
        <w:ind w:right="-1" w:firstLine="709"/>
        <w:jc w:val="both"/>
        <w:rPr>
          <w:rFonts w:ascii="Arial" w:hAnsi="Arial" w:cs="Arial"/>
          <w:sz w:val="24"/>
          <w:szCs w:val="24"/>
          <w:lang w:val="uk-UA" w:eastAsia="uk-UA"/>
        </w:rPr>
      </w:pPr>
      <w:r>
        <w:rPr>
          <w:lang w:val="uk-UA" w:eastAsia="uk-UA"/>
        </w:rPr>
        <mc:AlternateContent>
          <mc:Choice Requires="wpg">
            <w:drawing>
              <wp:anchor xmlns:wp="http://schemas.openxmlformats.org/drawingml/2006/wordprocessingDrawing" distT="0" distB="0" distL="114300" distR="114300" simplePos="0" relativeHeight="251673600" behindDoc="0" locked="0" layoutInCell="1" allowOverlap="1">
                <wp:simplePos x="0" y="0"/>
                <wp:positionH relativeFrom="page">
                  <wp:align>center</wp:align>
                </wp:positionH>
                <wp:positionV relativeFrom="paragraph">
                  <wp:posOffset>8890</wp:posOffset>
                </wp:positionV>
                <wp:extent cx="4311015" cy="3238500"/>
                <wp:effectExtent l="0" t="0" r="0" b="0"/>
                <wp:wrapSquare wrapText="bothSides"/>
                <wp:docPr id="10" name="Рисунок 20" descr="Розробка Плану дій сталого енергетичного розвитку та клімату (ПДСЕРК) -  Центр ресурсоефективного та чистого виробництва"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Picture 3" descr="Розробка Плану дій сталого енергетичного розвитку та клімату (ПДСЕРК) -  Центр ресурсоефективного та чистого виробництва" hidden="0"/>
                        <pic:cNvPicPr>
                          <a:picLocks noChangeAspect="1"/>
                        </pic:cNvPicPr>
                      </pic:nvPicPr>
                      <pic:blipFill>
                        <a:blip r:embed="rId17"/>
                        <a:stretch/>
                      </pic:blipFill>
                      <pic:spPr bwMode="auto">
                        <a:xfrm>
                          <a:off x="0" y="0"/>
                          <a:ext cx="4311015" cy="32385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73600;o:allowoverlap:true;o:allowincell:true;mso-position-horizontal-relative:page;mso-position-horizontal:center;mso-position-vertical-relative:text;margin-top:0.7pt;mso-position-vertical:absolute;width:339.4pt;height:255.0pt;">
                <v:path textboxrect="0,0,0,0"/>
                <v:imagedata r:id="rId17" o:title=""/>
              </v:shape>
            </w:pict>
          </mc:Fallback>
        </mc:AlternateContent>
      </w:r>
      <w:r>
        <w:rPr>
          <w:rFonts w:ascii="Arial" w:hAnsi="Arial" w:cs="Arial"/>
          <w:b/>
          <w:bCs/>
          <w:sz w:val="24"/>
          <w:szCs w:val="24"/>
          <w:lang w:val="uk-UA" w:eastAsia="uk-UA"/>
        </w:rPr>
        <w:t xml:space="preserve">План дій сталого енергетичного розвитку та клімату (ПДСЕРК)</w:t>
      </w:r>
      <w:r>
        <w:rPr>
          <w:rFonts w:ascii="Arial" w:hAnsi="Arial" w:cs="Arial"/>
          <w:sz w:val="24"/>
          <w:szCs w:val="24"/>
          <w:lang w:val="uk-UA" w:eastAsia="uk-UA"/>
        </w:rPr>
        <w:t xml:space="preserve"> – це комплекс стратегічних проектів щодо вдосконалення всіх сфер і галузей </w:t>
      </w:r>
      <w:r>
        <w:rPr>
          <w:rFonts w:ascii="Arial" w:hAnsi="Arial" w:cs="Arial"/>
          <w:sz w:val="24"/>
          <w:szCs w:val="24"/>
          <w:lang w:val="uk-UA" w:eastAsia="uk-UA"/>
        </w:rPr>
        <w:t xml:space="preserve">територіальної громади</w:t>
      </w:r>
      <w:r/>
    </w:p>
    <w:p>
      <w:pPr>
        <w:ind w:right="-1" w:firstLine="709"/>
        <w:jc w:val="both"/>
        <w:rPr>
          <w:rFonts w:ascii="Arial" w:hAnsi="Arial" w:cs="Arial"/>
          <w:sz w:val="24"/>
          <w:szCs w:val="24"/>
          <w:lang w:val="uk-UA" w:eastAsia="uk-UA"/>
        </w:rPr>
      </w:pPr>
      <w:r>
        <w:rPr>
          <w:rFonts w:ascii="Arial" w:hAnsi="Arial" w:cs="Arial"/>
          <w:sz w:val="24"/>
          <w:szCs w:val="24"/>
          <w:lang w:val="uk-UA" w:eastAsia="uk-UA"/>
        </w:rPr>
        <w:t xml:space="preserve"> з урахуванням можливих джерел та механізмів їх фінансування, а також їх впливу на зменшення викидів СО</w:t>
      </w:r>
      <w:r>
        <w:rPr>
          <w:rFonts w:ascii="Arial" w:hAnsi="Arial" w:cs="Arial"/>
          <w:sz w:val="24"/>
          <w:szCs w:val="24"/>
          <w:vertAlign w:val="subscript"/>
          <w:lang w:val="uk-UA" w:eastAsia="uk-UA"/>
        </w:rPr>
        <w:t xml:space="preserve">2</w:t>
      </w:r>
      <w:r>
        <w:rPr>
          <w:rFonts w:ascii="Arial" w:hAnsi="Arial" w:cs="Arial"/>
          <w:sz w:val="24"/>
          <w:szCs w:val="24"/>
          <w:lang w:val="uk-UA" w:eastAsia="uk-UA"/>
        </w:rPr>
        <w:t xml:space="preserve">, пом’якшення наслідків зміни клімату та адаптації до 2030 року.</w:t>
      </w:r>
      <w:r>
        <w:rPr>
          <w:rFonts w:ascii="Arial" w:hAnsi="Arial" w:cs="Arial"/>
          <w:sz w:val="24"/>
          <w:szCs w:val="24"/>
          <w:lang w:val="uk-UA" w:eastAsia="uk-UA"/>
        </w:rPr>
        <w:tab/>
      </w:r>
      <w:r>
        <w:rPr>
          <w:rFonts w:ascii="Arial" w:hAnsi="Arial" w:cs="Arial"/>
          <w:sz w:val="24"/>
          <w:szCs w:val="24"/>
          <w:lang w:val="uk-UA" w:eastAsia="uk-UA"/>
        </w:rPr>
        <w:tab/>
        <w:t xml:space="preserve">Ціль розробки Плану дій сталого енергетичного розвитку та клімату – започаткування системного підходу до управління енергетичними ресурсами громади націленого на сталий енергетичний розвиток за рахунок:</w:t>
      </w:r>
      <w:r/>
    </w:p>
    <w:p>
      <w:pPr>
        <w:numPr>
          <w:ilvl w:val="0"/>
          <w:numId w:val="19"/>
        </w:numPr>
        <w:ind w:right="-1"/>
        <w:jc w:val="both"/>
        <w:rPr>
          <w:rFonts w:ascii="Arial" w:hAnsi="Arial" w:cs="Arial"/>
          <w:sz w:val="24"/>
          <w:szCs w:val="24"/>
          <w:lang w:val="uk-UA" w:eastAsia="uk-UA"/>
        </w:rPr>
      </w:pPr>
      <w:r>
        <w:rPr>
          <w:rFonts w:ascii="Arial" w:hAnsi="Arial" w:cs="Arial"/>
          <w:sz w:val="24"/>
          <w:szCs w:val="24"/>
          <w:lang w:val="uk-UA" w:eastAsia="uk-UA"/>
        </w:rPr>
        <w:t xml:space="preserve">розрахунку енергетичного потенціалу громади по споживанню та виробництву теплоносіїв через виконані енергетичні аудити та сформовану </w:t>
      </w:r>
      <w:r>
        <w:rPr>
          <w:rFonts w:ascii="Arial" w:hAnsi="Arial" w:cs="Arial"/>
          <w:sz w:val="24"/>
          <w:szCs w:val="24"/>
          <w:lang w:val="uk-UA" w:eastAsia="uk-UA"/>
        </w:rPr>
        <w:t xml:space="preserve">муніципальну енергетичну інформаційну систему, яка використовується в якості експертної моделі по запровадженню програмно-цільових показників;</w:t>
      </w:r>
      <w:r/>
    </w:p>
    <w:p>
      <w:pPr>
        <w:numPr>
          <w:ilvl w:val="0"/>
          <w:numId w:val="19"/>
        </w:numPr>
        <w:ind w:right="-1"/>
        <w:jc w:val="both"/>
        <w:rPr>
          <w:rFonts w:ascii="Arial" w:hAnsi="Arial" w:cs="Arial"/>
          <w:sz w:val="24"/>
          <w:szCs w:val="24"/>
          <w:lang w:val="uk-UA" w:eastAsia="uk-UA"/>
        </w:rPr>
      </w:pPr>
      <w:r>
        <w:rPr>
          <w:rFonts w:ascii="Arial" w:hAnsi="Arial" w:cs="Arial"/>
          <w:sz w:val="24"/>
          <w:szCs w:val="24"/>
          <w:lang w:val="uk-UA" w:eastAsia="uk-UA"/>
        </w:rPr>
        <w:t xml:space="preserve">відбору ефективних енергетичних проектів, з реальною можливістю залучення кредитних коштів та приватних інвесторів;</w:t>
      </w:r>
      <w:r/>
    </w:p>
    <w:p>
      <w:pPr>
        <w:numPr>
          <w:ilvl w:val="0"/>
          <w:numId w:val="19"/>
        </w:numPr>
        <w:ind w:right="-1"/>
        <w:jc w:val="both"/>
        <w:rPr>
          <w:rFonts w:ascii="Arial" w:hAnsi="Arial" w:cs="Arial"/>
          <w:sz w:val="24"/>
          <w:szCs w:val="24"/>
          <w:lang w:val="uk-UA" w:eastAsia="uk-UA"/>
        </w:rPr>
      </w:pPr>
      <w:r>
        <w:rPr>
          <w:rFonts w:ascii="Arial" w:hAnsi="Arial" w:cs="Arial"/>
          <w:sz w:val="24"/>
          <w:szCs w:val="24"/>
          <w:lang w:val="uk-UA" w:eastAsia="uk-UA"/>
        </w:rPr>
        <w:t xml:space="preserve">комбінування організаційних та регуляторних заходів по започаткуванню системи енергетичного менеджменту на рівні громади;</w:t>
      </w:r>
      <w:r/>
    </w:p>
    <w:p>
      <w:pPr>
        <w:numPr>
          <w:ilvl w:val="0"/>
          <w:numId w:val="19"/>
        </w:numPr>
        <w:ind w:right="-1"/>
        <w:jc w:val="both"/>
        <w:rPr>
          <w:rFonts w:ascii="Arial" w:hAnsi="Arial" w:cs="Arial"/>
          <w:sz w:val="24"/>
          <w:szCs w:val="24"/>
          <w:lang w:val="uk-UA" w:eastAsia="uk-UA"/>
        </w:rPr>
      </w:pPr>
      <w:r>
        <w:rPr>
          <w:rFonts w:ascii="Arial" w:hAnsi="Arial" w:cs="Arial"/>
          <w:sz w:val="24"/>
          <w:szCs w:val="24"/>
          <w:lang w:val="uk-UA" w:eastAsia="uk-UA"/>
        </w:rPr>
        <w:t xml:space="preserve">залучення механізмів державно-приватного партнерства для реалізації проектів ПДСЕРК.</w:t>
      </w:r>
      <w:r/>
    </w:p>
    <w:p>
      <w:pPr>
        <w:ind w:right="-1" w:firstLine="360"/>
        <w:jc w:val="both"/>
        <w:rPr>
          <w:rFonts w:ascii="Arial" w:hAnsi="Arial" w:cs="Arial"/>
          <w:sz w:val="24"/>
          <w:szCs w:val="24"/>
          <w:lang w:val="uk-UA" w:eastAsia="uk-UA"/>
        </w:rPr>
      </w:pPr>
      <w:r>
        <w:rPr>
          <w:rFonts w:ascii="Arial" w:hAnsi="Arial" w:cs="Arial"/>
          <w:sz w:val="24"/>
          <w:szCs w:val="24"/>
          <w:lang w:val="uk-UA" w:eastAsia="uk-UA"/>
        </w:rPr>
        <w:t xml:space="preserve">План дій не є жорстким документом. Зі зміною обставин, а також появою результатів і досвіду внаслідок реалізації енергоефективних заходів, до нього можуть вноситися зміни.</w:t>
      </w:r>
      <w:r/>
    </w:p>
    <w:p>
      <w:pPr>
        <w:ind w:right="-1"/>
        <w:jc w:val="both"/>
        <w:rPr>
          <w:rFonts w:ascii="Arial" w:hAnsi="Arial" w:cs="Arial"/>
          <w:b/>
          <w:sz w:val="24"/>
          <w:szCs w:val="24"/>
          <w:lang w:val="uk-UA"/>
        </w:rPr>
        <w:sectPr>
          <w:footnotePr/>
          <w:type w:val="continuous"/>
          <w:pgSz w:w="16838" w:h="11906" w:orient="landscape"/>
          <w:pgMar w:top="1134" w:right="1134" w:bottom="851" w:left="1418" w:header="709" w:footer="709"/>
          <w:cols w:num="2" w:sep="0" w:space="708" w:equalWidth="1"/>
          <w:docGrid w:linePitch="360"/>
          <w:titlePg/>
        </w:sectPr>
      </w:pPr>
      <w:r>
        <w:rPr>
          <w:rFonts w:ascii="Arial" w:hAnsi="Arial" w:cs="Arial"/>
          <w:b/>
          <w:sz w:val="24"/>
          <w:szCs w:val="24"/>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spacing w:lineRule="auto" w:line="240" w:after="0"/>
        <w:rPr>
          <w:rFonts w:ascii="Arial" w:hAnsi="Arial" w:cs="Arial"/>
          <w:b/>
          <w:sz w:val="40"/>
          <w:szCs w:val="40"/>
          <w:lang w:val="uk-UA"/>
        </w:rPr>
      </w:pPr>
      <w:r>
        <w:rPr>
          <w:rFonts w:ascii="Arial" w:hAnsi="Arial" w:cs="Arial"/>
          <w:b/>
          <w:sz w:val="40"/>
          <w:szCs w:val="40"/>
          <w:lang w:val="uk-UA"/>
        </w:rPr>
      </w:r>
      <w:r/>
    </w:p>
    <w:p>
      <w:pPr>
        <w:ind w:right="-1"/>
        <w:spacing w:lineRule="auto" w:line="240" w:after="0"/>
        <w:rPr>
          <w:rFonts w:ascii="Arial" w:hAnsi="Arial" w:cs="Arial"/>
          <w:b/>
          <w:sz w:val="40"/>
          <w:szCs w:val="40"/>
          <w:lang w:val="uk-UA"/>
        </w:rPr>
      </w:pPr>
      <w:r>
        <w:rPr>
          <w:rFonts w:ascii="Arial" w:hAnsi="Arial" w:cs="Arial"/>
          <w:b/>
          <w:sz w:val="40"/>
          <w:szCs w:val="40"/>
          <w:lang w:val="uk-UA"/>
        </w:rPr>
      </w:r>
      <w:r/>
    </w:p>
    <w:p>
      <w:pPr>
        <w:ind w:right="-1"/>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t xml:space="preserve">РОЗДІЛ 1. ОПИСОВО-АНАЛІТИЧНА ЧАСТИНА</w:t>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spacing w:lineRule="auto" w:line="240" w:after="0"/>
        <w:rPr>
          <w:rFonts w:ascii="Arial" w:hAnsi="Arial" w:cs="Arial"/>
          <w:b/>
          <w:sz w:val="24"/>
          <w:szCs w:val="24"/>
          <w:lang w:val="uk-UA"/>
        </w:rPr>
        <w:sectPr>
          <w:footnotePr/>
          <w:type w:val="continuous"/>
          <w:pgSz w:w="16838" w:h="11906" w:orient="landscape"/>
          <w:pgMar w:top="587" w:right="1134" w:bottom="851" w:left="1418" w:header="142" w:footer="709"/>
          <w:cols w:num="1" w:sep="0" w:space="708" w:equalWidth="1"/>
          <w:docGrid w:linePitch="360"/>
          <w:titlePg/>
        </w:sectPr>
      </w:pPr>
      <w:r>
        <w:rPr>
          <w:rFonts w:ascii="Arial" w:hAnsi="Arial" w:cs="Arial"/>
          <w:b/>
          <w:sz w:val="24"/>
          <w:szCs w:val="24"/>
          <w:lang w:val="uk-UA"/>
        </w:rPr>
      </w:r>
      <w:r/>
    </w:p>
    <w:p>
      <w:pPr>
        <w:pStyle w:val="557"/>
        <w:numPr>
          <w:ilvl w:val="1"/>
          <w:numId w:val="9"/>
        </w:numPr>
        <w:ind w:right="-1"/>
        <w:spacing w:lineRule="auto" w:line="240" w:after="0"/>
        <w:rPr>
          <w:rFonts w:ascii="Arial" w:hAnsi="Arial" w:cs="Arial"/>
          <w:b/>
          <w:sz w:val="24"/>
          <w:szCs w:val="24"/>
          <w:lang w:val="uk-UA"/>
        </w:rPr>
      </w:pPr>
      <w:r>
        <w:rPr>
          <w:rFonts w:ascii="Arial" w:hAnsi="Arial" w:cs="Arial"/>
          <w:b/>
          <w:sz w:val="24"/>
          <w:szCs w:val="24"/>
          <w:lang w:val="uk-UA"/>
        </w:rPr>
        <w:t xml:space="preserve">Історична довідка</w:t>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pStyle w:val="515"/>
        <w:ind w:right="-1" w:firstLine="709"/>
        <w:jc w:val="both"/>
        <w:rPr>
          <w:rFonts w:ascii="Arial" w:hAnsi="Arial" w:cs="Arial"/>
          <w:b w:val="false"/>
          <w:sz w:val="24"/>
        </w:rPr>
      </w:pPr>
      <w:r>
        <w:rPr>
          <w:lang w:eastAsia="uk-UA"/>
        </w:rPr>
        <mc:AlternateContent>
          <mc:Choice Requires="wpg">
            <w:drawing>
              <wp:anchor xmlns:wp="http://schemas.openxmlformats.org/drawingml/2006/wordprocessingDrawing" distT="0" distB="0" distL="114300" distR="114300" simplePos="0" relativeHeight="251674624" behindDoc="1" locked="0" layoutInCell="1" allowOverlap="1">
                <wp:simplePos x="0" y="0"/>
                <wp:positionH relativeFrom="column">
                  <wp:posOffset>2608580</wp:posOffset>
                </wp:positionH>
                <wp:positionV relativeFrom="paragraph">
                  <wp:posOffset>1007745</wp:posOffset>
                </wp:positionV>
                <wp:extent cx="3566160" cy="2125980"/>
                <wp:effectExtent l="0" t="0" r="0" b="7620"/>
                <wp:wrapSquare wrapText="bothSides"/>
                <wp:docPr id="11" name="Рисунок 21" descr="город Мена - все фото"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Picture 5" descr="город Мена - все фото" hidden="0"/>
                        <pic:cNvPicPr>
                          <a:picLocks noChangeAspect="1"/>
                        </pic:cNvPicPr>
                      </pic:nvPicPr>
                      <pic:blipFill>
                        <a:blip r:embed="rId18"/>
                        <a:stretch/>
                      </pic:blipFill>
                      <pic:spPr bwMode="auto">
                        <a:xfrm>
                          <a:off x="0" y="0"/>
                          <a:ext cx="3566160" cy="212598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74624;o:allowoverlap:true;o:allowincell:true;mso-position-horizontal-relative:text;margin-left:205.4pt;mso-position-horizontal:absolute;mso-position-vertical-relative:text;margin-top:79.3pt;mso-position-vertical:absolute;width:280.8pt;height:167.4pt;">
                <v:path textboxrect="0,0,0,0"/>
                <v:imagedata r:id="rId18" o:title=""/>
              </v:shape>
            </w:pict>
          </mc:Fallback>
        </mc:AlternateContent>
      </w:r>
      <w:r>
        <w:rPr>
          <w:rFonts w:ascii="Arial" w:hAnsi="Arial" w:cs="Arial"/>
          <w:b w:val="false"/>
          <w:sz w:val="24"/>
        </w:rPr>
        <w:t xml:space="preserve">За однією з версій, назва «Мена» пов'язана з правовим терміном «</w:t>
      </w:r>
      <w:r>
        <w:rPr>
          <w:rFonts w:ascii="Arial" w:hAnsi="Arial" w:cs="Arial"/>
          <w:b w:val="false"/>
          <w:sz w:val="24"/>
        </w:rPr>
        <w:t xml:space="preserve">мена</w:t>
      </w:r>
      <w:r>
        <w:rPr>
          <w:rFonts w:ascii="Arial" w:hAnsi="Arial" w:cs="Arial"/>
          <w:b w:val="false"/>
          <w:sz w:val="24"/>
        </w:rPr>
        <w:t xml:space="preserve">», з обміном полонених, товарів, торгівлею. Від цього походит</w:t>
      </w:r>
      <w:r>
        <w:rPr>
          <w:rFonts w:ascii="Arial" w:hAnsi="Arial" w:cs="Arial"/>
          <w:b w:val="false"/>
          <w:sz w:val="24"/>
        </w:rPr>
        <w:t xml:space="preserve">ь, мабуть, і назва колись повноводної річки Мена — судноплавного шляху до Десни і Дніпра. Через Мену йшов також давній торговельний сухопутний шлях на Чернігів, Курськ, Дон. Точна дата заснування міста і тепер серед істориків є спірною. У дореволюційному «</w:t>
      </w:r>
      <w:r>
        <w:rPr>
          <w:rFonts w:ascii="Arial" w:hAnsi="Arial" w:cs="Arial"/>
          <w:b w:val="false"/>
          <w:sz w:val="24"/>
        </w:rPr>
        <w:t xml:space="preserve">Энциклопедическом</w:t>
      </w:r>
      <w:r>
        <w:rPr>
          <w:rFonts w:ascii="Arial" w:hAnsi="Arial" w:cs="Arial"/>
          <w:b w:val="false"/>
          <w:sz w:val="24"/>
        </w:rPr>
        <w:t xml:space="preserve"> </w:t>
      </w:r>
      <w:r>
        <w:rPr>
          <w:rFonts w:ascii="Arial" w:hAnsi="Arial" w:cs="Arial"/>
          <w:b w:val="false"/>
          <w:sz w:val="24"/>
        </w:rPr>
        <w:t xml:space="preserve">словаре</w:t>
      </w:r>
      <w:r>
        <w:rPr>
          <w:rFonts w:ascii="Arial" w:hAnsi="Arial" w:cs="Arial"/>
          <w:b w:val="false"/>
          <w:sz w:val="24"/>
        </w:rPr>
        <w:t xml:space="preserve">» </w:t>
      </w:r>
      <w:r>
        <w:rPr>
          <w:rFonts w:ascii="Arial" w:hAnsi="Arial" w:cs="Arial"/>
          <w:b w:val="false"/>
          <w:sz w:val="24"/>
        </w:rPr>
        <w:t xml:space="preserve">Брокгауз</w:t>
      </w:r>
      <w:r>
        <w:rPr>
          <w:rFonts w:ascii="Arial" w:hAnsi="Arial" w:cs="Arial"/>
          <w:b w:val="false"/>
          <w:sz w:val="24"/>
        </w:rPr>
        <w:t xml:space="preserve"> – </w:t>
      </w:r>
      <w:r>
        <w:rPr>
          <w:rFonts w:ascii="Arial" w:hAnsi="Arial" w:cs="Arial"/>
          <w:b w:val="false"/>
          <w:sz w:val="24"/>
        </w:rPr>
        <w:t xml:space="preserve">Ефрона</w:t>
      </w:r>
      <w:r>
        <w:rPr>
          <w:rFonts w:ascii="Arial" w:hAnsi="Arial" w:cs="Arial"/>
          <w:b w:val="false"/>
          <w:sz w:val="24"/>
        </w:rPr>
        <w:t xml:space="preserve">, у першому виданні УРЕ, в «Тропічному словнику – довіднику Української РСР» М. Янка та інших називається 1066 рік за </w:t>
      </w:r>
      <w:r>
        <w:rPr>
          <w:rFonts w:ascii="Arial" w:hAnsi="Arial" w:cs="Arial"/>
          <w:b w:val="false"/>
          <w:sz w:val="24"/>
        </w:rPr>
        <w:t xml:space="preserve">Лаврентієвським</w:t>
      </w:r>
      <w:r>
        <w:rPr>
          <w:rFonts w:ascii="Arial" w:hAnsi="Arial" w:cs="Arial"/>
          <w:b w:val="false"/>
          <w:sz w:val="24"/>
        </w:rPr>
        <w:t xml:space="preserve"> літописом. Деякі беруть згадку про Мену за 1408 рік, коли вона входила до Литовського князівська. Очевидно, що це дуже пізня дата. Тому було прийнято ювілей відзначати з 1066 року. </w:t>
      </w:r>
      <w:r/>
    </w:p>
    <w:p>
      <w:pPr>
        <w:pStyle w:val="515"/>
        <w:ind w:right="-1" w:firstLine="709"/>
        <w:jc w:val="both"/>
        <w:rPr>
          <w:rFonts w:ascii="Arial" w:hAnsi="Arial" w:cs="Arial"/>
          <w:b w:val="false"/>
          <w:sz w:val="24"/>
        </w:rPr>
      </w:pPr>
      <w:r>
        <w:rPr>
          <w:rFonts w:ascii="Arial" w:hAnsi="Arial" w:cs="Arial"/>
          <w:b w:val="false"/>
          <w:sz w:val="24"/>
        </w:rPr>
        <w:t xml:space="preserve">За часів польської шляхти у XVII ст. в Мені була фортеця із земляним валом і стінами з дубових колод. У Менській фортеці був замок київського воєводи, православного сенатора Речі Посполитої, русина за походженням Адама </w:t>
      </w:r>
      <w:r>
        <w:rPr>
          <w:rFonts w:ascii="Arial" w:hAnsi="Arial" w:cs="Arial"/>
          <w:b w:val="false"/>
          <w:sz w:val="24"/>
        </w:rPr>
        <w:t xml:space="preserve">Киселя</w:t>
      </w:r>
      <w:r>
        <w:rPr>
          <w:rFonts w:ascii="Arial" w:hAnsi="Arial" w:cs="Arial"/>
          <w:b w:val="false"/>
          <w:sz w:val="24"/>
        </w:rPr>
        <w:t xml:space="preserve">. На початку ХХ століття ще досить помітними були рештки рову, який оточував менську фортецю. 1654 Мена стала сотенним містом Ніжинського, а перегодом Чернігівського полку. 1655 — Мена у володінні Василя Золотаренка — брата дружини </w:t>
      </w:r>
      <w:r>
        <w:rPr>
          <w:rFonts w:ascii="Arial" w:hAnsi="Arial" w:cs="Arial"/>
          <w:b w:val="false"/>
          <w:sz w:val="24"/>
        </w:rPr>
        <w:t xml:space="preserve">Б.Хмельницького</w:t>
      </w:r>
      <w:r>
        <w:rPr>
          <w:rFonts w:ascii="Arial" w:hAnsi="Arial" w:cs="Arial"/>
          <w:b w:val="false"/>
          <w:sz w:val="24"/>
        </w:rPr>
        <w:t xml:space="preserve"> </w:t>
      </w:r>
      <w:r>
        <w:rPr>
          <w:rFonts w:ascii="Arial" w:hAnsi="Arial" w:cs="Arial"/>
          <w:b w:val="false"/>
          <w:sz w:val="24"/>
        </w:rPr>
        <w:t xml:space="preserve">Ганни. Мена мала від польського короля Магдебурзьке право, вимушено підтверджене окремою грамотою московського уряду 1660, магістратуру й ратушу. </w:t>
      </w:r>
      <w:r/>
    </w:p>
    <w:p>
      <w:pPr>
        <w:pStyle w:val="515"/>
        <w:ind w:right="-1" w:firstLine="709"/>
        <w:jc w:val="both"/>
        <w:rPr>
          <w:rFonts w:ascii="Arial" w:hAnsi="Arial" w:cs="Arial"/>
          <w:b w:val="false"/>
          <w:sz w:val="24"/>
        </w:rPr>
      </w:pPr>
      <w:r>
        <w:rPr>
          <w:rFonts w:ascii="Arial" w:hAnsi="Arial" w:cs="Arial"/>
          <w:b w:val="false"/>
          <w:sz w:val="24"/>
        </w:rPr>
        <w:t xml:space="preserve">У жовтні 1708 року Мена опинилася в епіцентрі Північної війни. Передові частини шведських військ наближалися до Десни поблизу </w:t>
      </w:r>
      <w:r>
        <w:rPr>
          <w:rFonts w:ascii="Arial" w:hAnsi="Arial" w:cs="Arial"/>
          <w:b w:val="false"/>
          <w:sz w:val="24"/>
        </w:rPr>
        <w:t xml:space="preserve">Макошина</w:t>
      </w:r>
      <w:r>
        <w:rPr>
          <w:rFonts w:ascii="Arial" w:hAnsi="Arial" w:cs="Arial"/>
          <w:b w:val="false"/>
          <w:sz w:val="24"/>
        </w:rPr>
        <w:t xml:space="preserve">, коли менський сотник </w:t>
      </w:r>
      <w:r>
        <w:rPr>
          <w:rFonts w:ascii="Arial" w:hAnsi="Arial" w:cs="Arial"/>
          <w:b w:val="false"/>
          <w:sz w:val="24"/>
        </w:rPr>
        <w:t xml:space="preserve">Гнат</w:t>
      </w:r>
      <w:r>
        <w:rPr>
          <w:rFonts w:ascii="Arial" w:hAnsi="Arial" w:cs="Arial"/>
          <w:b w:val="false"/>
          <w:sz w:val="24"/>
        </w:rPr>
        <w:t xml:space="preserve"> </w:t>
      </w:r>
      <w:r>
        <w:rPr>
          <w:rFonts w:ascii="Arial" w:hAnsi="Arial" w:cs="Arial"/>
          <w:b w:val="false"/>
          <w:sz w:val="24"/>
        </w:rPr>
        <w:t xml:space="preserve">Сахновський</w:t>
      </w:r>
      <w:r>
        <w:rPr>
          <w:rFonts w:ascii="Arial" w:hAnsi="Arial" w:cs="Arial"/>
          <w:b w:val="false"/>
          <w:sz w:val="24"/>
        </w:rPr>
        <w:t xml:space="preserve"> перейшов на бік царя Петра І, що дозволило російській армії отримати перемогу. Напередодні Першої світової війни в Мені діяло кілька невеликих підприємств, два парові млини, </w:t>
      </w:r>
      <w:r>
        <w:rPr>
          <w:rFonts w:ascii="Arial" w:hAnsi="Arial" w:cs="Arial"/>
          <w:b w:val="false"/>
          <w:sz w:val="24"/>
        </w:rPr>
        <w:t xml:space="preserve">маслобойня</w:t>
      </w:r>
      <w:r>
        <w:rPr>
          <w:rFonts w:ascii="Arial" w:hAnsi="Arial" w:cs="Arial"/>
          <w:b w:val="false"/>
          <w:sz w:val="24"/>
        </w:rPr>
        <w:t xml:space="preserve">, майс</w:t>
      </w:r>
      <w:r>
        <w:rPr>
          <w:rFonts w:ascii="Arial" w:hAnsi="Arial" w:cs="Arial"/>
          <w:b w:val="false"/>
          <w:sz w:val="24"/>
        </w:rPr>
        <w:t xml:space="preserve">терня з виготовлення упаковки скляної тари і сушарня для тютюну. Виготовлялись килими, плахти і рушники. 1966 Мена стало містом. В ній діяли плодоконсервний, маслоробний, комбікормовий заводи, завод сигаретних фільтрів, хлібозавод, цех Чернігівської дослід</w:t>
      </w:r>
      <w:r>
        <w:rPr>
          <w:rFonts w:ascii="Arial" w:hAnsi="Arial" w:cs="Arial"/>
          <w:b w:val="false"/>
          <w:sz w:val="24"/>
        </w:rPr>
        <w:t xml:space="preserve">но-експериментальної фабрики лозових виробів, елеватор, комбінат побутового обслуговування, три загальноосвітні, музична і спортивна школи, лікарня, Будинок культури, два клуби, три бібліотеки, кінотеатр, краєзнавчий музей. В 1976 р. було створено зоопарк.</w:t>
      </w:r>
      <w:r/>
    </w:p>
    <w:p>
      <w:pPr>
        <w:pStyle w:val="515"/>
        <w:ind w:right="-1" w:firstLine="709"/>
        <w:jc w:val="both"/>
        <w:rPr>
          <w:rFonts w:ascii="Arial" w:hAnsi="Arial" w:cs="Arial"/>
          <w:sz w:val="24"/>
        </w:rPr>
      </w:pPr>
      <w:r>
        <w:rPr>
          <w:rFonts w:ascii="Arial" w:hAnsi="Arial" w:cs="Arial"/>
          <w:sz w:val="24"/>
        </w:rPr>
      </w:r>
      <w:r/>
    </w:p>
    <w:p>
      <w:pPr>
        <w:pStyle w:val="515"/>
        <w:ind w:right="-1" w:firstLine="709"/>
        <w:jc w:val="both"/>
        <w:rPr>
          <w:rFonts w:ascii="Arial" w:hAnsi="Arial" w:cs="Arial"/>
          <w:sz w:val="24"/>
        </w:rPr>
      </w:pPr>
      <w:r>
        <w:rPr>
          <w:rFonts w:ascii="Arial" w:hAnsi="Arial" w:cs="Arial"/>
          <w:sz w:val="24"/>
        </w:rPr>
        <w:t xml:space="preserve">1.2. Географія і природний потенціал</w:t>
      </w:r>
      <w:r/>
    </w:p>
    <w:p>
      <w:pPr>
        <w:ind w:firstLine="720"/>
        <w:jc w:val="both"/>
        <w:spacing w:lineRule="auto" w:line="240" w:after="0"/>
        <w:rPr>
          <w:rFonts w:ascii="Arial" w:hAnsi="Arial" w:cs="Arial"/>
          <w:b/>
          <w:bCs/>
          <w:sz w:val="24"/>
          <w:szCs w:val="24"/>
          <w:lang w:val="uk-UA" w:eastAsia="ru-RU"/>
        </w:rPr>
      </w:pPr>
      <w:r>
        <w:rPr>
          <w:rFonts w:ascii="Arial" w:hAnsi="Arial" w:cs="Arial"/>
          <w:b/>
          <w:bCs/>
          <w:sz w:val="24"/>
          <w:szCs w:val="24"/>
          <w:lang w:val="uk-UA" w:eastAsia="ru-RU"/>
        </w:rPr>
      </w:r>
      <w:r/>
    </w:p>
    <w:p>
      <w:pPr>
        <w:ind w:firstLine="709"/>
        <w:jc w:val="both"/>
        <w:spacing w:lineRule="auto" w:line="240" w:after="0"/>
        <w:rPr>
          <w:rFonts w:ascii="Arial" w:hAnsi="Arial" w:cs="Arial"/>
          <w:sz w:val="24"/>
          <w:szCs w:val="24"/>
          <w:lang w:val="uk-UA"/>
        </w:rPr>
      </w:pPr>
      <w:r>
        <w:rPr>
          <w:rFonts w:ascii="Arial" w:hAnsi="Arial" w:cs="Arial"/>
          <w:sz w:val="24"/>
          <w:szCs w:val="24"/>
          <w:lang w:val="uk-UA"/>
        </w:rPr>
        <w:t xml:space="preserve">Менська громада розташована на півночі най-північнішої області України – Чернігівської. Недалеко (70 – </w:t>
      </w:r>
      <w:r>
        <w:rPr>
          <w:rFonts w:ascii="Arial" w:hAnsi="Arial" w:cs="Arial"/>
          <w:sz w:val="24"/>
          <w:szCs w:val="24"/>
          <w:lang w:val="uk-UA"/>
        </w:rPr>
        <w:t xml:space="preserve">90 км</w:t>
      </w:r>
      <w:r>
        <w:rPr>
          <w:rFonts w:ascii="Arial" w:hAnsi="Arial" w:cs="Arial"/>
          <w:sz w:val="24"/>
          <w:szCs w:val="24"/>
          <w:lang w:val="uk-UA"/>
        </w:rPr>
        <w:t xml:space="preserve">) україно-білоруського та україно-російського кордону. </w:t>
      </w:r>
      <w:r/>
    </w:p>
    <w:p>
      <w:pPr>
        <w:ind w:firstLine="709"/>
        <w:jc w:val="both"/>
        <w:spacing w:lineRule="auto" w:line="240" w:after="0"/>
        <w:rPr>
          <w:rFonts w:ascii="Arial" w:hAnsi="Arial" w:cs="Arial"/>
          <w:sz w:val="24"/>
          <w:szCs w:val="24"/>
          <w:lang w:val="uk-UA"/>
        </w:rPr>
      </w:pPr>
      <w:r>
        <w:rPr>
          <w:rFonts w:ascii="Arial" w:hAnsi="Arial" w:cs="Arial"/>
          <w:sz w:val="24"/>
          <w:szCs w:val="24"/>
          <w:lang w:val="uk-UA"/>
        </w:rPr>
        <w:t xml:space="preserve">На заході й північному заході Менська громада межує з Чернігівським і Городнянсь</w:t>
      </w:r>
      <w:r>
        <w:rPr>
          <w:rFonts w:ascii="Arial" w:hAnsi="Arial" w:cs="Arial"/>
          <w:sz w:val="24"/>
          <w:szCs w:val="24"/>
          <w:lang w:val="uk-UA"/>
        </w:rPr>
        <w:t xml:space="preserve">ким районами (Городнянська </w:t>
      </w:r>
      <w:r>
        <w:rPr>
          <w:rFonts w:ascii="Arial" w:hAnsi="Arial" w:cs="Arial"/>
          <w:sz w:val="24"/>
          <w:szCs w:val="24"/>
          <w:lang w:val="uk-UA"/>
        </w:rPr>
        <w:t xml:space="preserve">громада</w:t>
      </w:r>
      <w:r>
        <w:rPr>
          <w:rFonts w:ascii="Arial" w:hAnsi="Arial" w:cs="Arial"/>
          <w:sz w:val="24"/>
          <w:szCs w:val="24"/>
          <w:lang w:val="uk-UA"/>
        </w:rPr>
        <w:t xml:space="preserve">), на півночі – із Сновським (Сновська </w:t>
      </w:r>
      <w:r>
        <w:rPr>
          <w:rFonts w:ascii="Arial" w:hAnsi="Arial" w:cs="Arial"/>
          <w:sz w:val="24"/>
          <w:szCs w:val="24"/>
          <w:lang w:val="uk-UA"/>
        </w:rPr>
        <w:t xml:space="preserve">громада</w:t>
      </w:r>
      <w:r>
        <w:rPr>
          <w:rFonts w:ascii="Arial" w:hAnsi="Arial" w:cs="Arial"/>
          <w:sz w:val="24"/>
          <w:szCs w:val="24"/>
          <w:lang w:val="uk-UA"/>
        </w:rPr>
        <w:t xml:space="preserve">) та Корюківським (Корюківська </w:t>
      </w:r>
      <w:r>
        <w:rPr>
          <w:rFonts w:ascii="Arial" w:hAnsi="Arial" w:cs="Arial"/>
          <w:sz w:val="24"/>
          <w:szCs w:val="24"/>
          <w:lang w:val="uk-UA"/>
        </w:rPr>
        <w:t xml:space="preserve">громада</w:t>
      </w:r>
      <w:r>
        <w:rPr>
          <w:rFonts w:ascii="Arial" w:hAnsi="Arial" w:cs="Arial"/>
          <w:sz w:val="24"/>
          <w:szCs w:val="24"/>
          <w:lang w:val="uk-UA"/>
        </w:rPr>
        <w:t xml:space="preserve">), на сході – з Сосницьким (Сосницька </w:t>
      </w:r>
      <w:r>
        <w:rPr>
          <w:rFonts w:ascii="Arial" w:hAnsi="Arial" w:cs="Arial"/>
          <w:sz w:val="24"/>
          <w:szCs w:val="24"/>
          <w:lang w:val="uk-UA"/>
        </w:rPr>
        <w:t xml:space="preserve">громада</w:t>
      </w:r>
      <w:r>
        <w:rPr>
          <w:rFonts w:ascii="Arial" w:hAnsi="Arial" w:cs="Arial"/>
          <w:sz w:val="24"/>
          <w:szCs w:val="24"/>
          <w:lang w:val="uk-UA"/>
        </w:rPr>
        <w:t xml:space="preserve">), Борзнянським та Куликівським (Куликівська </w:t>
      </w:r>
      <w:r>
        <w:rPr>
          <w:rFonts w:ascii="Arial" w:hAnsi="Arial" w:cs="Arial"/>
          <w:sz w:val="24"/>
          <w:szCs w:val="24"/>
          <w:lang w:val="uk-UA"/>
        </w:rPr>
        <w:t xml:space="preserve">громада</w:t>
      </w:r>
      <w:r>
        <w:rPr>
          <w:rFonts w:ascii="Arial" w:hAnsi="Arial" w:cs="Arial"/>
          <w:sz w:val="24"/>
          <w:szCs w:val="24"/>
          <w:lang w:val="uk-UA"/>
        </w:rPr>
        <w:t xml:space="preserve">) районами області. З південного заходу на південний схід (наскрізь) територією громади протікає річка Десна. </w:t>
      </w:r>
      <w:r/>
    </w:p>
    <w:p>
      <w:pPr>
        <w:ind w:firstLine="709"/>
        <w:jc w:val="both"/>
        <w:spacing w:lineRule="auto" w:line="240" w:after="0"/>
        <w:rPr>
          <w:rFonts w:ascii="Arial" w:hAnsi="Arial" w:cs="Arial"/>
          <w:sz w:val="24"/>
          <w:szCs w:val="24"/>
          <w:lang w:val="pl-PL"/>
        </w:rPr>
      </w:pPr>
      <w:r>
        <w:rPr>
          <w:rFonts w:ascii="Arial" w:hAnsi="Arial" w:cs="Arial"/>
          <w:sz w:val="24"/>
          <w:szCs w:val="24"/>
          <w:lang w:val="uk-UA"/>
        </w:rPr>
        <w:t xml:space="preserve">Менська територіальна громада розташована в межах Менського району, Чернігівської області. </w:t>
      </w:r>
      <w:r>
        <w:rPr>
          <w:rFonts w:ascii="Arial" w:hAnsi="Arial" w:cs="Arial"/>
          <w:sz w:val="24"/>
          <w:szCs w:val="24"/>
          <w:lang w:val="pl-PL"/>
        </w:rPr>
        <w:t xml:space="preserve">Районний центр – місто Мена, розташований за </w:t>
      </w:r>
      <w:r>
        <w:rPr>
          <w:rFonts w:ascii="Arial" w:hAnsi="Arial" w:cs="Arial"/>
          <w:sz w:val="24"/>
          <w:szCs w:val="24"/>
          <w:lang w:val="pl-PL"/>
        </w:rPr>
        <w:t xml:space="preserve">200 км</w:t>
      </w:r>
      <w:r>
        <w:rPr>
          <w:rFonts w:ascii="Arial" w:hAnsi="Arial" w:cs="Arial"/>
          <w:sz w:val="24"/>
          <w:szCs w:val="24"/>
          <w:lang w:val="pl-PL"/>
        </w:rPr>
        <w:t xml:space="preserve"> від Києва, </w:t>
      </w:r>
      <w:r>
        <w:rPr>
          <w:rFonts w:ascii="Arial" w:hAnsi="Arial" w:cs="Arial"/>
          <w:sz w:val="24"/>
          <w:szCs w:val="24"/>
          <w:lang w:val="pl-PL"/>
        </w:rPr>
        <w:t xml:space="preserve">69 км</w:t>
      </w:r>
      <w:r>
        <w:rPr>
          <w:rFonts w:ascii="Arial" w:hAnsi="Arial" w:cs="Arial"/>
          <w:sz w:val="24"/>
          <w:szCs w:val="24"/>
          <w:lang w:val="pl-PL"/>
        </w:rPr>
        <w:t xml:space="preserve"> – від кордону з Білоруссю на перетині автошляху державного значення</w:t>
      </w:r>
      <w:r>
        <w:rPr>
          <w:rFonts w:ascii="Arial" w:hAnsi="Arial" w:cs="Arial"/>
          <w:sz w:val="24"/>
          <w:szCs w:val="24"/>
          <w:lang w:val="uk-UA"/>
        </w:rPr>
        <w:t xml:space="preserve"> </w:t>
      </w:r>
      <w:r>
        <w:rPr>
          <w:rFonts w:ascii="Arial" w:hAnsi="Arial" w:cs="Arial"/>
          <w:sz w:val="24"/>
          <w:szCs w:val="24"/>
          <w:lang w:val="pl-PL"/>
        </w:rPr>
        <w:t xml:space="preserve">Р-12, обласного – Т 2534, є залізнична станція.</w:t>
      </w:r>
      <w:r/>
    </w:p>
    <w:p>
      <w:pPr>
        <w:ind w:firstLine="709"/>
        <w:jc w:val="both"/>
        <w:spacing w:lineRule="auto" w:line="240" w:after="0"/>
        <w:rPr>
          <w:rFonts w:ascii="Arial" w:hAnsi="Arial" w:cs="Arial"/>
          <w:sz w:val="24"/>
          <w:szCs w:val="24"/>
          <w:lang w:val="pl-PL"/>
        </w:rPr>
      </w:pPr>
      <w:r>
        <w:rPr>
          <w:rFonts w:ascii="Arial" w:hAnsi="Arial" w:cs="Arial"/>
          <w:sz w:val="24"/>
          <w:szCs w:val="24"/>
          <w:lang w:val="pl-PL"/>
        </w:rPr>
        <w:t xml:space="preserve">Клімат помірно континентальний з </w:t>
      </w:r>
      <w:r>
        <w:rPr>
          <w:rFonts w:ascii="Arial" w:hAnsi="Arial" w:cs="Arial"/>
          <w:sz w:val="24"/>
          <w:szCs w:val="24"/>
          <w:lang w:val="pl-PL"/>
        </w:rPr>
        <w:t xml:space="preserve">порівняно м'якою зимою (середня</w:t>
      </w:r>
      <w:r>
        <w:rPr>
          <w:rFonts w:ascii="Arial" w:hAnsi="Arial" w:cs="Arial"/>
          <w:sz w:val="24"/>
          <w:szCs w:val="24"/>
          <w:lang w:val="uk-UA"/>
        </w:rPr>
        <w:t xml:space="preserve"> </w:t>
      </w:r>
      <w:r>
        <w:rPr>
          <w:rFonts w:ascii="Arial" w:hAnsi="Arial" w:cs="Arial"/>
          <w:sz w:val="24"/>
          <w:szCs w:val="24"/>
          <w:lang w:val="pl-PL"/>
        </w:rPr>
        <w:t xml:space="preserve">температура січня -7°С) і теплим (середня температура липня +19°С)</w:t>
      </w:r>
      <w:r>
        <w:rPr>
          <w:rFonts w:ascii="Arial" w:hAnsi="Arial" w:cs="Arial"/>
          <w:sz w:val="24"/>
          <w:szCs w:val="24"/>
          <w:lang w:val="uk-UA"/>
        </w:rPr>
        <w:t xml:space="preserve"> </w:t>
      </w:r>
      <w:r>
        <w:rPr>
          <w:rFonts w:ascii="Arial" w:hAnsi="Arial" w:cs="Arial"/>
          <w:sz w:val="24"/>
          <w:szCs w:val="24"/>
          <w:lang w:val="pl-PL"/>
        </w:rPr>
        <w:t xml:space="preserve">вологим (550-580 мм опадів на рік) літом.</w:t>
      </w:r>
      <w:r/>
    </w:p>
    <w:p>
      <w:pPr>
        <w:jc w:val="both"/>
        <w:spacing w:lineRule="auto" w:line="240" w:after="0"/>
        <w:rPr>
          <w:rFonts w:ascii="Arial" w:hAnsi="Arial" w:cs="Arial"/>
          <w:sz w:val="24"/>
          <w:szCs w:val="24"/>
          <w:lang w:val="pl-PL"/>
        </w:rPr>
      </w:pPr>
      <w:r>
        <w:rPr>
          <w:rFonts w:ascii="Arial" w:hAnsi="Arial" w:cs="Arial"/>
          <w:sz w:val="24"/>
          <w:szCs w:val="24"/>
          <w:lang w:val="pl-PL"/>
        </w:rPr>
      </w:r>
      <w:r/>
    </w:p>
    <w:p>
      <w:pPr>
        <w:pStyle w:val="557"/>
        <w:numPr>
          <w:ilvl w:val="1"/>
          <w:numId w:val="10"/>
        </w:numPr>
        <w:ind w:right="-1"/>
        <w:jc w:val="both"/>
        <w:spacing w:lineRule="auto" w:line="240" w:after="0"/>
        <w:rPr>
          <w:rFonts w:ascii="Arial" w:hAnsi="Arial" w:cs="Arial"/>
          <w:b/>
          <w:sz w:val="24"/>
          <w:szCs w:val="24"/>
          <w:lang w:val="uk-UA"/>
        </w:rPr>
      </w:pPr>
      <w:r>
        <w:rPr>
          <w:rFonts w:ascii="Arial" w:hAnsi="Arial" w:cs="Arial"/>
          <w:b/>
          <w:sz w:val="24"/>
          <w:szCs w:val="24"/>
          <w:lang w:val="uk-UA"/>
        </w:rPr>
        <w:t xml:space="preserve">Склад громади</w:t>
      </w:r>
      <w:r/>
    </w:p>
    <w:p>
      <w:pPr>
        <w:ind w:right="-1"/>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t xml:space="preserve">Громада була створена в 2017 р., з 30 травня почав функціонувати єдиний орган місцевого самоврядування для її населених пунктів – Менська міська рада. Водночас на прямі міжбюджетні відносини громада перейшла 1 січня 2018 року. До складу Менської міської т</w:t>
      </w:r>
      <w:r>
        <w:rPr>
          <w:rFonts w:ascii="Arial" w:hAnsi="Arial" w:cs="Arial"/>
          <w:sz w:val="24"/>
          <w:szCs w:val="24"/>
          <w:lang w:val="uk-UA"/>
        </w:rPr>
        <w:t xml:space="preserve">ериторіальної громади входить 39</w:t>
      </w:r>
      <w:r>
        <w:rPr>
          <w:rFonts w:ascii="Arial" w:hAnsi="Arial" w:cs="Arial"/>
          <w:sz w:val="24"/>
          <w:szCs w:val="24"/>
          <w:lang w:val="uk-UA"/>
        </w:rPr>
        <w:t xml:space="preserve"> населені пункти</w:t>
      </w:r>
      <w:r>
        <w:rPr>
          <w:rFonts w:ascii="Arial" w:hAnsi="Arial" w:cs="Arial"/>
          <w:sz w:val="24"/>
          <w:szCs w:val="24"/>
          <w:lang w:val="uk-UA"/>
        </w:rPr>
        <w:t xml:space="preserve">, об`єднанні в 21 старостинський округ</w:t>
      </w:r>
      <w:r>
        <w:rPr>
          <w:rFonts w:ascii="Arial" w:hAnsi="Arial" w:cs="Arial"/>
          <w:sz w:val="24"/>
          <w:szCs w:val="24"/>
          <w:lang w:val="uk-UA"/>
        </w:rPr>
        <w:t xml:space="preserve">, з адміністративним центром в місті Мена, а саме: Макошинський. Бірківський, Блистівський, Величківський, Дягівський, Киселівський, Куковицький, Лісківський, Осьмаківський, Садовий, Семенівський, Синявський, Слобідський, Стольнен</w:t>
      </w:r>
      <w:r>
        <w:rPr>
          <w:rFonts w:ascii="Arial" w:hAnsi="Arial" w:cs="Arial"/>
          <w:sz w:val="24"/>
          <w:szCs w:val="24"/>
          <w:lang w:val="uk-UA"/>
        </w:rPr>
        <w:t xml:space="preserve">ський, Ушнянський, Феськівський,</w:t>
      </w:r>
      <w:r>
        <w:rPr>
          <w:lang w:val="uk-UA"/>
        </w:rPr>
        <w:t xml:space="preserve"> </w:t>
      </w:r>
      <w:r>
        <w:rPr>
          <w:rFonts w:ascii="Arial" w:hAnsi="Arial" w:cs="Arial"/>
          <w:sz w:val="24"/>
          <w:szCs w:val="24"/>
          <w:lang w:val="uk-UA"/>
        </w:rPr>
        <w:t xml:space="preserve">Покровський, Данилівський, Городищенський та Волосківський</w:t>
      </w:r>
      <w:r>
        <w:rPr>
          <w:rFonts w:ascii="Arial" w:hAnsi="Arial" w:cs="Arial"/>
          <w:sz w:val="24"/>
          <w:szCs w:val="24"/>
          <w:lang w:val="uk-UA"/>
        </w:rPr>
        <w:t xml:space="preserve">.</w:t>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pStyle w:val="557"/>
        <w:numPr>
          <w:ilvl w:val="1"/>
          <w:numId w:val="10"/>
        </w:numPr>
        <w:ind w:right="-1"/>
        <w:jc w:val="both"/>
        <w:spacing w:lineRule="auto" w:line="240" w:after="0"/>
        <w:rPr>
          <w:rFonts w:ascii="Arial" w:hAnsi="Arial" w:cs="Arial"/>
          <w:b/>
          <w:sz w:val="24"/>
          <w:szCs w:val="24"/>
          <w:lang w:val="uk-UA"/>
        </w:rPr>
      </w:pPr>
      <w:r>
        <w:rPr>
          <w:rFonts w:ascii="Arial" w:hAnsi="Arial" w:cs="Arial"/>
          <w:b/>
          <w:sz w:val="24"/>
          <w:szCs w:val="24"/>
          <w:lang w:val="uk-UA"/>
        </w:rPr>
        <w:t xml:space="preserve">Бюджет громади </w:t>
      </w:r>
      <w:r>
        <w:rPr>
          <w:rFonts w:ascii="Arial" w:hAnsi="Arial" w:cs="Arial"/>
          <w:b/>
          <w:sz w:val="24"/>
          <w:szCs w:val="24"/>
          <w:lang w:val="uk-UA"/>
        </w:rPr>
        <w:t xml:space="preserve">(в тис грн)</w:t>
      </w:r>
      <w:r/>
    </w:p>
    <w:p>
      <w:pPr>
        <w:ind w:right="-1"/>
        <w:spacing w:lineRule="auto" w:line="240" w:after="0"/>
        <w:rPr>
          <w:rFonts w:ascii="Arial" w:hAnsi="Arial" w:cs="Arial"/>
          <w:b/>
          <w:sz w:val="24"/>
          <w:szCs w:val="24"/>
          <w:lang w:val="uk-UA"/>
        </w:rPr>
      </w:pPr>
      <w:r>
        <w:rPr>
          <w:rFonts w:ascii="Arial" w:hAnsi="Arial" w:cs="Arial"/>
          <w:b/>
          <w:sz w:val="24"/>
          <w:szCs w:val="24"/>
          <w:lang w:val="uk-UA"/>
        </w:rPr>
      </w:r>
      <w:r/>
    </w:p>
    <w:tbl>
      <w:tblPr>
        <w:tblStyle w:val="521"/>
        <w:tblW w:w="6946" w:type="dxa"/>
        <w:tblInd w:w="137" w:type="dxa"/>
        <w:tblLayout w:type="fixed"/>
        <w:tblLook w:val="04A0" w:firstRow="1" w:lastRow="0" w:firstColumn="1" w:lastColumn="0" w:noHBand="0" w:noVBand="1"/>
      </w:tblPr>
      <w:tblGrid>
        <w:gridCol w:w="709"/>
        <w:gridCol w:w="1276"/>
        <w:gridCol w:w="1275"/>
        <w:gridCol w:w="1017"/>
        <w:gridCol w:w="1296"/>
        <w:gridCol w:w="1373"/>
      </w:tblGrid>
      <w:tr>
        <w:trPr>
          <w:trHeight w:val="411"/>
        </w:trPr>
        <w:tc>
          <w:tcPr>
            <w:shd w:val="clear" w:color="auto" w:fill="00B050" w:themeFill="accent1"/>
            <w:tcW w:w="709" w:type="dxa"/>
            <w:vAlign w:val="center"/>
            <w:vMerge w:val="restart"/>
            <w:textDirection w:val="lrTb"/>
            <w:noWrap w:val="false"/>
          </w:tcPr>
          <w:p>
            <w:pPr>
              <w:ind w:right="-1"/>
              <w:jc w:val="center"/>
              <w:rPr>
                <w:rFonts w:ascii="Arial" w:hAnsi="Arial" w:cs="Arial"/>
                <w:b/>
                <w:sz w:val="24"/>
                <w:szCs w:val="24"/>
                <w:lang w:val="uk-UA"/>
              </w:rPr>
            </w:pPr>
            <w:r>
              <w:rPr>
                <w:rFonts w:ascii="Arial" w:hAnsi="Arial" w:cs="Arial"/>
                <w:b/>
                <w:sz w:val="24"/>
                <w:szCs w:val="24"/>
                <w:lang w:val="uk-UA"/>
              </w:rPr>
            </w:r>
            <w:r/>
          </w:p>
        </w:tc>
        <w:tc>
          <w:tcPr>
            <w:gridSpan w:val="3"/>
            <w:shd w:val="clear" w:color="auto" w:fill="00B050" w:themeFill="accent1"/>
            <w:tcW w:w="3568" w:type="dxa"/>
            <w:vAlign w:val="center"/>
            <w:textDirection w:val="lrTb"/>
            <w:noWrap w:val="false"/>
          </w:tcPr>
          <w:p>
            <w:pPr>
              <w:ind w:right="-1"/>
              <w:jc w:val="center"/>
              <w:rPr>
                <w:rFonts w:ascii="Arial" w:hAnsi="Arial" w:cs="Arial"/>
                <w:b/>
                <w:sz w:val="24"/>
                <w:szCs w:val="24"/>
                <w:lang w:val="uk-UA"/>
              </w:rPr>
            </w:pPr>
            <w:r>
              <w:rPr>
                <w:rFonts w:ascii="Arial" w:hAnsi="Arial" w:cs="Arial"/>
                <w:b/>
                <w:sz w:val="24"/>
                <w:szCs w:val="24"/>
                <w:lang w:val="uk-UA"/>
              </w:rPr>
              <w:t xml:space="preserve">Доходи</w:t>
            </w:r>
            <w:r/>
          </w:p>
        </w:tc>
        <w:tc>
          <w:tcPr>
            <w:gridSpan w:val="2"/>
            <w:shd w:val="clear" w:color="auto" w:fill="00B050" w:themeFill="accent1"/>
            <w:tcW w:w="2669" w:type="dxa"/>
            <w:vAlign w:val="center"/>
            <w:textDirection w:val="lrTb"/>
            <w:noWrap w:val="false"/>
          </w:tcPr>
          <w:p>
            <w:pPr>
              <w:ind w:right="-1"/>
              <w:jc w:val="center"/>
              <w:rPr>
                <w:rFonts w:ascii="Arial" w:hAnsi="Arial" w:cs="Arial"/>
                <w:b/>
                <w:sz w:val="24"/>
                <w:szCs w:val="24"/>
                <w:lang w:val="uk-UA"/>
              </w:rPr>
            </w:pPr>
            <w:r>
              <w:rPr>
                <w:rFonts w:ascii="Arial" w:hAnsi="Arial" w:cs="Arial"/>
                <w:b/>
                <w:sz w:val="24"/>
                <w:szCs w:val="24"/>
                <w:lang w:val="uk-UA"/>
              </w:rPr>
              <w:t xml:space="preserve">Видатки</w:t>
            </w:r>
            <w:r/>
          </w:p>
        </w:tc>
      </w:tr>
      <w:tr>
        <w:trPr>
          <w:trHeight w:val="1103"/>
        </w:trPr>
        <w:tc>
          <w:tcPr>
            <w:shd w:val="clear" w:color="auto" w:fill="00B050" w:themeFill="accent1"/>
            <w:tcW w:w="709" w:type="dxa"/>
            <w:vAlign w:val="center"/>
            <w:vMerge w:val="continue"/>
            <w:textDirection w:val="lrTb"/>
            <w:noWrap w:val="false"/>
          </w:tcPr>
          <w:p>
            <w:pPr>
              <w:ind w:right="-1"/>
              <w:jc w:val="center"/>
              <w:rPr>
                <w:rFonts w:ascii="Arial" w:hAnsi="Arial" w:cs="Arial"/>
                <w:b/>
                <w:sz w:val="24"/>
                <w:szCs w:val="24"/>
                <w:lang w:val="uk-UA"/>
              </w:rPr>
            </w:pPr>
            <w:r>
              <w:rPr>
                <w:rFonts w:ascii="Arial" w:hAnsi="Arial" w:cs="Arial"/>
                <w:b/>
                <w:sz w:val="24"/>
                <w:szCs w:val="24"/>
                <w:lang w:val="uk-UA"/>
              </w:rPr>
            </w:r>
            <w:r/>
          </w:p>
        </w:tc>
        <w:tc>
          <w:tcPr>
            <w:shd w:val="clear" w:color="auto" w:fill="00B050" w:themeFill="accent1"/>
            <w:tcW w:w="1276" w:type="dxa"/>
            <w:vAlign w:val="center"/>
            <w:textDirection w:val="lrTb"/>
            <w:noWrap w:val="false"/>
          </w:tcPr>
          <w:p>
            <w:pPr>
              <w:ind w:right="-1"/>
              <w:jc w:val="center"/>
              <w:rPr>
                <w:rFonts w:ascii="Arial" w:hAnsi="Arial" w:cs="Arial"/>
                <w:sz w:val="24"/>
                <w:szCs w:val="24"/>
                <w:lang w:val="uk-UA"/>
              </w:rPr>
            </w:pPr>
            <w:r>
              <w:rPr>
                <w:rFonts w:ascii="Arial" w:hAnsi="Arial" w:cs="Arial"/>
                <w:sz w:val="24"/>
                <w:szCs w:val="24"/>
                <w:lang w:val="uk-UA"/>
              </w:rPr>
              <w:t xml:space="preserve">Всього</w:t>
            </w:r>
            <w:r/>
          </w:p>
        </w:tc>
        <w:tc>
          <w:tcPr>
            <w:shd w:val="clear" w:color="auto" w:fill="00B050" w:themeFill="accent1"/>
            <w:tcW w:w="1275" w:type="dxa"/>
            <w:vAlign w:val="center"/>
            <w:textDirection w:val="lrTb"/>
            <w:noWrap w:val="false"/>
          </w:tcPr>
          <w:p>
            <w:pPr>
              <w:ind w:right="-1"/>
              <w:jc w:val="center"/>
              <w:rPr>
                <w:rFonts w:ascii="Arial" w:hAnsi="Arial" w:cs="Arial"/>
                <w:sz w:val="24"/>
                <w:szCs w:val="24"/>
                <w:lang w:val="uk-UA"/>
              </w:rPr>
            </w:pPr>
            <w:r>
              <w:rPr>
                <w:rFonts w:ascii="Arial" w:hAnsi="Arial" w:cs="Arial"/>
                <w:sz w:val="24"/>
                <w:szCs w:val="24"/>
                <w:lang w:val="uk-UA"/>
              </w:rPr>
              <w:t xml:space="preserve">Загальний фонд</w:t>
            </w:r>
            <w:r/>
          </w:p>
        </w:tc>
        <w:tc>
          <w:tcPr>
            <w:shd w:val="clear" w:color="auto" w:fill="00B050" w:themeFill="accent1"/>
            <w:tcW w:w="1017" w:type="dxa"/>
            <w:vAlign w:val="center"/>
            <w:textDirection w:val="lrTb"/>
            <w:noWrap w:val="false"/>
          </w:tcPr>
          <w:p>
            <w:pPr>
              <w:ind w:right="-1"/>
              <w:jc w:val="center"/>
              <w:rPr>
                <w:rFonts w:ascii="Arial" w:hAnsi="Arial" w:cs="Arial"/>
                <w:sz w:val="24"/>
                <w:szCs w:val="24"/>
                <w:lang w:val="uk-UA"/>
              </w:rPr>
            </w:pPr>
            <w:r>
              <w:rPr>
                <w:rFonts w:ascii="Arial" w:hAnsi="Arial" w:cs="Arial"/>
                <w:sz w:val="24"/>
                <w:szCs w:val="24"/>
                <w:lang w:val="uk-UA"/>
              </w:rPr>
              <w:t xml:space="preserve">Спец фонд</w:t>
            </w:r>
            <w:r/>
          </w:p>
        </w:tc>
        <w:tc>
          <w:tcPr>
            <w:shd w:val="clear" w:color="auto" w:fill="00B050" w:themeFill="accent1"/>
            <w:tcW w:w="1296" w:type="dxa"/>
            <w:vAlign w:val="center"/>
            <w:textDirection w:val="lrTb"/>
            <w:noWrap w:val="false"/>
          </w:tcPr>
          <w:p>
            <w:pPr>
              <w:pStyle w:val="544"/>
              <w:jc w:val="center"/>
              <w:rPr>
                <w:rFonts w:ascii="Arial" w:hAnsi="Arial" w:cs="Arial"/>
                <w:lang w:val="uk-UA"/>
              </w:rPr>
            </w:pPr>
            <w:r>
              <w:rPr>
                <w:rFonts w:ascii="Arial" w:hAnsi="Arial" w:cs="Arial"/>
                <w:lang w:val="uk-UA"/>
              </w:rPr>
              <w:t xml:space="preserve">Загальний</w:t>
            </w:r>
            <w:r/>
          </w:p>
          <w:p>
            <w:pPr>
              <w:pStyle w:val="544"/>
              <w:jc w:val="center"/>
              <w:rPr>
                <w:rFonts w:ascii="Arial" w:hAnsi="Arial" w:cs="Arial"/>
                <w:lang w:val="uk-UA"/>
              </w:rPr>
            </w:pPr>
            <w:r>
              <w:rPr>
                <w:rFonts w:ascii="Arial" w:hAnsi="Arial" w:cs="Arial"/>
                <w:lang w:val="uk-UA"/>
              </w:rPr>
              <w:t xml:space="preserve">фонд</w:t>
            </w:r>
            <w:r/>
          </w:p>
        </w:tc>
        <w:tc>
          <w:tcPr>
            <w:shd w:val="clear" w:color="auto" w:fill="00B050" w:themeFill="accent1"/>
            <w:tcW w:w="1373" w:type="dxa"/>
            <w:vAlign w:val="center"/>
            <w:textDirection w:val="lrTb"/>
            <w:noWrap w:val="false"/>
          </w:tcPr>
          <w:p>
            <w:pPr>
              <w:ind w:right="-1"/>
              <w:jc w:val="center"/>
              <w:rPr>
                <w:rFonts w:ascii="Arial" w:hAnsi="Arial" w:cs="Arial"/>
                <w:sz w:val="24"/>
                <w:szCs w:val="24"/>
                <w:lang w:val="uk-UA"/>
              </w:rPr>
            </w:pPr>
            <w:r>
              <w:rPr>
                <w:rFonts w:ascii="Arial" w:hAnsi="Arial" w:cs="Arial"/>
                <w:sz w:val="24"/>
                <w:szCs w:val="24"/>
                <w:lang w:val="uk-UA"/>
              </w:rPr>
              <w:t xml:space="preserve">Спец</w:t>
            </w:r>
            <w:r>
              <w:rPr>
                <w:rFonts w:ascii="Arial" w:hAnsi="Arial" w:cs="Arial"/>
                <w:sz w:val="24"/>
                <w:szCs w:val="24"/>
                <w:lang w:val="uk-UA"/>
              </w:rPr>
              <w:t xml:space="preserve"> фонд</w:t>
            </w:r>
            <w:r/>
          </w:p>
        </w:tc>
      </w:tr>
      <w:tr>
        <w:trPr>
          <w:trHeight w:val="725"/>
        </w:trPr>
        <w:tc>
          <w:tcPr>
            <w:tcW w:w="709" w:type="dxa"/>
            <w:vAlign w:val="center"/>
            <w:textDirection w:val="lrTb"/>
            <w:noWrap w:val="false"/>
          </w:tcPr>
          <w:p>
            <w:pPr>
              <w:ind w:right="-1"/>
              <w:jc w:val="center"/>
              <w:rPr>
                <w:rFonts w:ascii="Arial" w:hAnsi="Arial" w:cs="Arial"/>
                <w:b/>
                <w:lang w:val="uk-UA"/>
              </w:rPr>
            </w:pPr>
            <w:r>
              <w:rPr>
                <w:rFonts w:ascii="Arial" w:hAnsi="Arial" w:cs="Arial"/>
                <w:b/>
                <w:lang w:val="uk-UA"/>
              </w:rPr>
              <w:t xml:space="preserve">2018</w:t>
            </w:r>
            <w:r/>
          </w:p>
        </w:tc>
        <w:tc>
          <w:tcPr>
            <w:tcW w:w="1276" w:type="dxa"/>
            <w:vAlign w:val="center"/>
            <w:textDirection w:val="lrTb"/>
            <w:noWrap w:val="false"/>
          </w:tcPr>
          <w:p>
            <w:pPr>
              <w:ind w:right="-1"/>
              <w:jc w:val="center"/>
              <w:rPr>
                <w:rFonts w:ascii="Arial" w:hAnsi="Arial" w:cs="Arial"/>
                <w:lang w:val="uk-UA"/>
              </w:rPr>
            </w:pPr>
            <w:r>
              <w:rPr>
                <w:rFonts w:ascii="Arial" w:hAnsi="Arial" w:cs="Arial"/>
                <w:lang w:val="uk-UA"/>
              </w:rPr>
              <w:t xml:space="preserve">181297,37</w:t>
            </w:r>
            <w:r/>
          </w:p>
        </w:tc>
        <w:tc>
          <w:tcPr>
            <w:tcW w:w="1275" w:type="dxa"/>
            <w:vAlign w:val="center"/>
            <w:textDirection w:val="lrTb"/>
            <w:noWrap w:val="false"/>
          </w:tcPr>
          <w:p>
            <w:pPr>
              <w:ind w:right="-1"/>
              <w:jc w:val="center"/>
              <w:rPr>
                <w:rFonts w:ascii="Arial" w:hAnsi="Arial" w:cs="Arial"/>
                <w:lang w:val="uk-UA"/>
              </w:rPr>
            </w:pPr>
            <w:r>
              <w:rPr>
                <w:rFonts w:ascii="Arial" w:hAnsi="Arial" w:cs="Arial"/>
                <w:lang w:val="uk-UA"/>
              </w:rPr>
              <w:t xml:space="preserve">176220,68</w:t>
            </w:r>
            <w:r/>
          </w:p>
        </w:tc>
        <w:tc>
          <w:tcPr>
            <w:tcW w:w="1017" w:type="dxa"/>
            <w:vAlign w:val="center"/>
            <w:textDirection w:val="lrTb"/>
            <w:noWrap w:val="false"/>
          </w:tcPr>
          <w:p>
            <w:pPr>
              <w:ind w:right="-1"/>
              <w:jc w:val="center"/>
              <w:rPr>
                <w:rFonts w:ascii="Arial" w:hAnsi="Arial" w:cs="Arial"/>
                <w:lang w:val="uk-UA"/>
              </w:rPr>
            </w:pPr>
            <w:r>
              <w:rPr>
                <w:rFonts w:ascii="Arial" w:hAnsi="Arial" w:cs="Arial"/>
                <w:lang w:val="uk-UA"/>
              </w:rPr>
              <w:t xml:space="preserve">5076,69</w:t>
            </w:r>
            <w:r/>
          </w:p>
        </w:tc>
        <w:tc>
          <w:tcPr>
            <w:tcW w:w="1296" w:type="dxa"/>
            <w:vAlign w:val="center"/>
            <w:textDirection w:val="lrTb"/>
            <w:noWrap w:val="false"/>
          </w:tcPr>
          <w:p>
            <w:pPr>
              <w:ind w:right="-1"/>
              <w:jc w:val="center"/>
              <w:rPr>
                <w:rFonts w:ascii="Arial" w:hAnsi="Arial" w:cs="Arial"/>
                <w:lang w:val="uk-UA"/>
              </w:rPr>
            </w:pPr>
            <w:r>
              <w:rPr>
                <w:rFonts w:ascii="Arial" w:hAnsi="Arial" w:cs="Arial"/>
                <w:lang w:val="uk-UA"/>
              </w:rPr>
              <w:t xml:space="preserve">157106,73</w:t>
            </w:r>
            <w:r/>
          </w:p>
        </w:tc>
        <w:tc>
          <w:tcPr>
            <w:tcW w:w="1373" w:type="dxa"/>
            <w:vAlign w:val="center"/>
            <w:textDirection w:val="lrTb"/>
            <w:noWrap w:val="false"/>
          </w:tcPr>
          <w:p>
            <w:pPr>
              <w:ind w:right="-1"/>
              <w:jc w:val="center"/>
              <w:rPr>
                <w:rFonts w:ascii="Arial" w:hAnsi="Arial" w:cs="Arial"/>
                <w:lang w:val="uk-UA"/>
              </w:rPr>
            </w:pPr>
            <w:r>
              <w:rPr>
                <w:rFonts w:ascii="Arial" w:hAnsi="Arial" w:cs="Arial"/>
                <w:lang w:val="uk-UA"/>
              </w:rPr>
              <w:t xml:space="preserve">32561,08</w:t>
            </w:r>
            <w:r/>
          </w:p>
        </w:tc>
      </w:tr>
      <w:tr>
        <w:trPr>
          <w:trHeight w:val="813"/>
        </w:trPr>
        <w:tc>
          <w:tcPr>
            <w:tcW w:w="709" w:type="dxa"/>
            <w:vAlign w:val="center"/>
            <w:textDirection w:val="lrTb"/>
            <w:noWrap w:val="false"/>
          </w:tcPr>
          <w:p>
            <w:pPr>
              <w:ind w:right="-1"/>
              <w:jc w:val="center"/>
              <w:rPr>
                <w:rFonts w:ascii="Arial" w:hAnsi="Arial" w:cs="Arial"/>
                <w:b/>
                <w:lang w:val="uk-UA"/>
              </w:rPr>
            </w:pPr>
            <w:r>
              <w:rPr>
                <w:rFonts w:ascii="Arial" w:hAnsi="Arial" w:cs="Arial"/>
                <w:b/>
                <w:lang w:val="uk-UA"/>
              </w:rPr>
              <w:t xml:space="preserve">2019</w:t>
            </w:r>
            <w:r/>
          </w:p>
        </w:tc>
        <w:tc>
          <w:tcPr>
            <w:tcW w:w="1276" w:type="dxa"/>
            <w:vAlign w:val="center"/>
            <w:textDirection w:val="lrTb"/>
            <w:noWrap w:val="false"/>
          </w:tcPr>
          <w:p>
            <w:pPr>
              <w:ind w:right="-1"/>
              <w:jc w:val="center"/>
              <w:rPr>
                <w:rFonts w:ascii="Arial" w:hAnsi="Arial" w:cs="Arial"/>
                <w:lang w:val="en-US"/>
              </w:rPr>
            </w:pPr>
            <w:r>
              <w:rPr>
                <w:rFonts w:ascii="Arial" w:hAnsi="Arial" w:cs="Arial"/>
                <w:lang w:val="uk-UA"/>
              </w:rPr>
              <w:t xml:space="preserve">193870,51</w:t>
            </w:r>
            <w:r/>
          </w:p>
        </w:tc>
        <w:tc>
          <w:tcPr>
            <w:tcW w:w="1275" w:type="dxa"/>
            <w:vAlign w:val="center"/>
            <w:textDirection w:val="lrTb"/>
            <w:noWrap w:val="false"/>
          </w:tcPr>
          <w:p>
            <w:pPr>
              <w:ind w:right="-1"/>
              <w:jc w:val="center"/>
              <w:rPr>
                <w:rFonts w:ascii="Arial" w:hAnsi="Arial" w:cs="Arial"/>
                <w:lang w:val="uk-UA"/>
              </w:rPr>
            </w:pPr>
            <w:r>
              <w:rPr>
                <w:rFonts w:ascii="Arial" w:hAnsi="Arial" w:cs="Arial"/>
                <w:lang w:val="uk-UA"/>
              </w:rPr>
              <w:t xml:space="preserve">186671,3</w:t>
            </w:r>
            <w:r/>
          </w:p>
        </w:tc>
        <w:tc>
          <w:tcPr>
            <w:tcW w:w="1017" w:type="dxa"/>
            <w:vAlign w:val="center"/>
            <w:textDirection w:val="lrTb"/>
            <w:noWrap w:val="false"/>
          </w:tcPr>
          <w:p>
            <w:pPr>
              <w:ind w:right="-1"/>
              <w:jc w:val="center"/>
              <w:rPr>
                <w:rFonts w:ascii="Arial" w:hAnsi="Arial" w:cs="Arial"/>
                <w:lang w:val="uk-UA"/>
              </w:rPr>
            </w:pPr>
            <w:r>
              <w:rPr>
                <w:rFonts w:ascii="Arial" w:hAnsi="Arial" w:cs="Arial"/>
                <w:lang w:val="uk-UA"/>
              </w:rPr>
              <w:t xml:space="preserve">7199,21</w:t>
            </w:r>
            <w:r/>
          </w:p>
        </w:tc>
        <w:tc>
          <w:tcPr>
            <w:tcW w:w="1296" w:type="dxa"/>
            <w:vAlign w:val="center"/>
            <w:textDirection w:val="lrTb"/>
            <w:noWrap w:val="false"/>
          </w:tcPr>
          <w:p>
            <w:pPr>
              <w:ind w:right="-1"/>
              <w:jc w:val="center"/>
              <w:rPr>
                <w:rFonts w:ascii="Arial" w:hAnsi="Arial" w:cs="Arial"/>
                <w:lang w:val="uk-UA"/>
              </w:rPr>
            </w:pPr>
            <w:r>
              <w:rPr>
                <w:rFonts w:ascii="Arial" w:hAnsi="Arial" w:cs="Arial"/>
                <w:lang w:val="uk-UA"/>
              </w:rPr>
              <w:t xml:space="preserve">168577,86</w:t>
            </w:r>
            <w:r/>
          </w:p>
        </w:tc>
        <w:tc>
          <w:tcPr>
            <w:tcW w:w="1373" w:type="dxa"/>
            <w:vAlign w:val="center"/>
            <w:textDirection w:val="lrTb"/>
            <w:noWrap w:val="false"/>
          </w:tcPr>
          <w:p>
            <w:pPr>
              <w:ind w:right="-1"/>
              <w:jc w:val="center"/>
              <w:rPr>
                <w:rFonts w:ascii="Arial" w:hAnsi="Arial" w:cs="Arial"/>
                <w:lang w:val="uk-UA"/>
              </w:rPr>
            </w:pPr>
            <w:r>
              <w:rPr>
                <w:rFonts w:ascii="Arial" w:hAnsi="Arial" w:cs="Arial"/>
                <w:lang w:val="uk-UA"/>
              </w:rPr>
              <w:t xml:space="preserve">25279,36</w:t>
            </w:r>
            <w:r/>
          </w:p>
        </w:tc>
      </w:tr>
    </w:tbl>
    <w:p>
      <w:pPr>
        <w:pStyle w:val="557"/>
        <w:ind w:left="142" w:right="-1"/>
        <w:jc w:val="right"/>
        <w:spacing w:lineRule="auto" w:line="240" w:after="0"/>
        <w:rPr>
          <w:rFonts w:ascii="Arial" w:hAnsi="Arial" w:cs="Arial"/>
          <w:b/>
          <w:sz w:val="24"/>
          <w:szCs w:val="24"/>
          <w:lang w:val="uk-UA"/>
        </w:rPr>
      </w:pPr>
      <w:r>
        <w:rPr>
          <w:rFonts w:ascii="Arial" w:hAnsi="Arial" w:cs="Arial"/>
          <w:b/>
          <w:sz w:val="24"/>
          <w:szCs w:val="24"/>
          <w:shd w:val="clear" w:color="auto" w:fill="C00000"/>
          <w:lang w:val="uk-UA" w:eastAsia="uk-UA"/>
        </w:rPr>
        <w:drawing>
          <wp:inline distT="0" distB="0" distL="0" distR="0">
            <wp:extent cx="4400550" cy="2476500"/>
            <wp:effectExtent l="0" t="0" r="0" b="0"/>
            <wp:docPr id="12" name="Диаграмма 22"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p>
    <w:p>
      <w:pPr>
        <w:pStyle w:val="557"/>
        <w:ind w:left="142" w:right="-1"/>
        <w:jc w:val="right"/>
        <w:spacing w:lineRule="auto" w:line="240" w:after="0"/>
        <w:rPr>
          <w:rFonts w:ascii="Arial" w:hAnsi="Arial" w:cs="Arial"/>
          <w:b/>
          <w:sz w:val="24"/>
          <w:szCs w:val="24"/>
          <w:lang w:val="uk-UA"/>
        </w:rPr>
      </w:pPr>
      <w:r>
        <w:rPr>
          <w:rFonts w:ascii="Arial" w:hAnsi="Arial" w:cs="Arial"/>
          <w:b/>
          <w:sz w:val="24"/>
          <w:szCs w:val="24"/>
          <w:lang w:val="uk-UA"/>
        </w:rPr>
      </w:r>
      <w:r/>
    </w:p>
    <w:p>
      <w:pPr>
        <w:pStyle w:val="557"/>
        <w:ind w:left="142" w:right="-1"/>
        <w:jc w:val="right"/>
        <w:spacing w:lineRule="auto" w:line="240" w:after="0"/>
        <w:rPr>
          <w:rFonts w:ascii="Arial" w:hAnsi="Arial" w:cs="Arial"/>
          <w:b/>
          <w:sz w:val="24"/>
          <w:szCs w:val="24"/>
          <w:lang w:val="uk-UA"/>
        </w:rPr>
      </w:pPr>
      <w:r>
        <w:rPr>
          <w:rFonts w:ascii="Arial" w:hAnsi="Arial" w:cs="Arial"/>
          <w:b/>
          <w:sz w:val="24"/>
          <w:szCs w:val="24"/>
          <w:lang w:val="uk-UA"/>
        </w:rPr>
        <w:t xml:space="preserve"> </w:t>
      </w:r>
      <w:r/>
    </w:p>
    <w:p>
      <w:pPr>
        <w:pStyle w:val="557"/>
        <w:ind w:left="142" w:right="-1"/>
        <w:jc w:val="right"/>
        <w:spacing w:lineRule="auto" w:line="240" w:after="0"/>
        <w:rPr>
          <w:rFonts w:ascii="Arial" w:hAnsi="Arial" w:cs="Arial"/>
          <w:b/>
          <w:sz w:val="24"/>
          <w:szCs w:val="24"/>
          <w:lang w:val="uk-UA"/>
        </w:rPr>
      </w:pPr>
      <w:r>
        <w:rPr>
          <w:rFonts w:ascii="Arial" w:hAnsi="Arial" w:cs="Arial"/>
          <w:b/>
          <w:sz w:val="24"/>
          <w:szCs w:val="24"/>
          <w:lang w:val="uk-UA"/>
        </w:rPr>
      </w:r>
      <w:r/>
    </w:p>
    <w:p>
      <w:pPr>
        <w:pStyle w:val="557"/>
        <w:ind w:left="142" w:right="-1"/>
        <w:jc w:val="right"/>
        <w:spacing w:lineRule="auto" w:line="240" w:after="0"/>
        <w:rPr>
          <w:rFonts w:ascii="Arial" w:hAnsi="Arial" w:cs="Arial"/>
          <w:sz w:val="20"/>
          <w:szCs w:val="20"/>
          <w:lang w:val="uk-UA"/>
        </w:rPr>
      </w:pPr>
      <w:r>
        <w:rPr>
          <w:rFonts w:ascii="Arial" w:hAnsi="Arial" w:cs="Arial"/>
          <w:b/>
          <w:sz w:val="24"/>
          <w:szCs w:val="24"/>
          <w:lang w:val="uk-UA"/>
        </w:rPr>
        <w:t xml:space="preserve">   </w:t>
      </w:r>
      <w:r/>
    </w:p>
    <w:p>
      <w:pPr>
        <w:pStyle w:val="517"/>
        <w:numPr>
          <w:ilvl w:val="1"/>
          <w:numId w:val="10"/>
        </w:numPr>
        <w:ind w:right="-1"/>
        <w:rPr>
          <w:rFonts w:ascii="Arial" w:hAnsi="Arial" w:cs="Arial"/>
          <w:b/>
          <w:sz w:val="24"/>
        </w:rPr>
      </w:pPr>
      <w:r>
        <w:rPr>
          <w:rFonts w:ascii="Arial" w:hAnsi="Arial" w:cs="Arial"/>
          <w:b/>
          <w:sz w:val="24"/>
        </w:rPr>
        <w:t xml:space="preserve">Інвестиційна політика </w:t>
      </w:r>
      <w:r/>
    </w:p>
    <w:p>
      <w:pPr>
        <w:pStyle w:val="517"/>
        <w:ind w:left="142" w:right="-1"/>
        <w:jc w:val="both"/>
        <w:rPr>
          <w:rFonts w:ascii="Arial" w:hAnsi="Arial" w:cs="Arial"/>
          <w:sz w:val="24"/>
        </w:rPr>
      </w:pPr>
      <w:r>
        <w:rPr>
          <w:rFonts w:ascii="Arial" w:hAnsi="Arial" w:cs="Arial"/>
          <w:sz w:val="24"/>
        </w:rPr>
      </w:r>
      <w:r/>
    </w:p>
    <w:p>
      <w:pPr>
        <w:pStyle w:val="517"/>
        <w:ind w:left="142" w:right="-1" w:firstLine="709"/>
        <w:jc w:val="center"/>
        <w:rPr>
          <w:rFonts w:ascii="Arial" w:hAnsi="Arial" w:cs="Arial"/>
          <w:b/>
          <w:sz w:val="24"/>
        </w:rPr>
      </w:pPr>
      <w:r>
        <w:rPr>
          <w:rFonts w:ascii="Arial" w:hAnsi="Arial" w:cs="Arial"/>
          <w:b/>
          <w:sz w:val="24"/>
        </w:rPr>
        <w:t xml:space="preserve">Вартість  реалізованих проектів </w:t>
      </w:r>
      <w:r>
        <w:rPr>
          <w:rFonts w:ascii="Arial" w:hAnsi="Arial" w:cs="Arial"/>
          <w:b/>
          <w:sz w:val="24"/>
        </w:rPr>
        <w:t xml:space="preserve">з різних джерел фінансування  за 2017 – 2019 роки</w:t>
      </w:r>
      <w:r/>
    </w:p>
    <w:p>
      <w:pPr>
        <w:pStyle w:val="517"/>
        <w:ind w:left="142" w:right="-1" w:firstLine="709"/>
        <w:jc w:val="center"/>
        <w:rPr>
          <w:rFonts w:ascii="Arial" w:hAnsi="Arial" w:cs="Arial"/>
          <w:sz w:val="24"/>
        </w:rPr>
      </w:pPr>
      <w:r>
        <w:rPr>
          <w:rFonts w:ascii="Arial" w:hAnsi="Arial" w:cs="Arial"/>
          <w:sz w:val="24"/>
        </w:rPr>
      </w:r>
      <w:r/>
    </w:p>
    <w:tbl>
      <w:tblPr>
        <w:tblStyle w:val="521"/>
        <w:tblW w:w="6839" w:type="dxa"/>
        <w:tblInd w:w="-5" w:type="dxa"/>
        <w:tblLook w:val="04A0" w:firstRow="1" w:lastRow="0" w:firstColumn="1" w:lastColumn="0" w:noHBand="0" w:noVBand="1"/>
      </w:tblPr>
      <w:tblGrid>
        <w:gridCol w:w="3255"/>
        <w:gridCol w:w="1150"/>
        <w:gridCol w:w="1254"/>
        <w:gridCol w:w="1180"/>
      </w:tblGrid>
      <w:tr>
        <w:trPr>
          <w:trHeight w:val="783"/>
        </w:trPr>
        <w:tc>
          <w:tcPr>
            <w:shd w:val="clear" w:color="auto" w:fill="00B050" w:themeFill="accent1"/>
            <w:tcW w:w="3255" w:type="dxa"/>
            <w:textDirection w:val="lrTb"/>
            <w:noWrap w:val="false"/>
          </w:tcPr>
          <w:p>
            <w:pPr>
              <w:pStyle w:val="517"/>
              <w:ind w:left="142" w:right="-1"/>
              <w:jc w:val="center"/>
              <w:rPr>
                <w:rFonts w:ascii="Arial" w:hAnsi="Arial" w:cs="Arial"/>
                <w:b/>
                <w:sz w:val="24"/>
              </w:rPr>
            </w:pPr>
            <w:r>
              <w:rPr>
                <w:rFonts w:ascii="Arial" w:hAnsi="Arial" w:cs="Arial"/>
                <w:b/>
                <w:sz w:val="24"/>
              </w:rPr>
            </w:r>
            <w:r/>
          </w:p>
          <w:p>
            <w:pPr>
              <w:pStyle w:val="517"/>
              <w:ind w:left="142" w:right="-1"/>
              <w:jc w:val="center"/>
              <w:rPr>
                <w:rFonts w:ascii="Arial" w:hAnsi="Arial" w:cs="Arial"/>
                <w:b/>
                <w:sz w:val="24"/>
              </w:rPr>
            </w:pPr>
            <w:r>
              <w:rPr>
                <w:rFonts w:ascii="Arial" w:hAnsi="Arial" w:cs="Arial"/>
                <w:b/>
                <w:sz w:val="24"/>
              </w:rPr>
              <w:t xml:space="preserve">Показник</w:t>
            </w:r>
            <w:r/>
          </w:p>
        </w:tc>
        <w:tc>
          <w:tcPr>
            <w:shd w:val="clear" w:color="auto" w:fill="00B050" w:themeFill="accent1"/>
            <w:tcW w:w="1150" w:type="dxa"/>
            <w:textDirection w:val="lrTb"/>
            <w:noWrap w:val="false"/>
          </w:tcPr>
          <w:p>
            <w:pPr>
              <w:pStyle w:val="517"/>
              <w:ind w:left="142" w:right="-1"/>
              <w:jc w:val="center"/>
              <w:rPr>
                <w:rFonts w:ascii="Arial" w:hAnsi="Arial" w:cs="Arial"/>
                <w:b/>
                <w:sz w:val="24"/>
              </w:rPr>
            </w:pPr>
            <w:r>
              <w:rPr>
                <w:rFonts w:ascii="Arial" w:hAnsi="Arial" w:cs="Arial"/>
                <w:b/>
                <w:sz w:val="24"/>
              </w:rPr>
            </w:r>
            <w:r/>
          </w:p>
          <w:p>
            <w:pPr>
              <w:pStyle w:val="517"/>
              <w:ind w:left="142" w:right="-1"/>
              <w:jc w:val="center"/>
              <w:rPr>
                <w:rFonts w:ascii="Arial" w:hAnsi="Arial" w:cs="Arial"/>
                <w:b/>
                <w:sz w:val="24"/>
              </w:rPr>
            </w:pPr>
            <w:r>
              <w:rPr>
                <w:rFonts w:ascii="Arial" w:hAnsi="Arial" w:cs="Arial"/>
                <w:b/>
                <w:sz w:val="24"/>
              </w:rPr>
              <w:t xml:space="preserve">2017</w:t>
            </w:r>
            <w:r/>
          </w:p>
        </w:tc>
        <w:tc>
          <w:tcPr>
            <w:shd w:val="clear" w:color="auto" w:fill="00B050" w:themeFill="accent1"/>
            <w:tcW w:w="1254" w:type="dxa"/>
            <w:textDirection w:val="lrTb"/>
            <w:noWrap w:val="false"/>
          </w:tcPr>
          <w:p>
            <w:pPr>
              <w:pStyle w:val="517"/>
              <w:ind w:left="142" w:right="-1"/>
              <w:jc w:val="center"/>
              <w:rPr>
                <w:rFonts w:ascii="Arial" w:hAnsi="Arial" w:cs="Arial"/>
                <w:b/>
                <w:sz w:val="24"/>
              </w:rPr>
            </w:pPr>
            <w:r>
              <w:rPr>
                <w:rFonts w:ascii="Arial" w:hAnsi="Arial" w:cs="Arial"/>
                <w:b/>
                <w:sz w:val="24"/>
              </w:rPr>
            </w:r>
            <w:r/>
          </w:p>
          <w:p>
            <w:pPr>
              <w:pStyle w:val="517"/>
              <w:ind w:left="142" w:right="-1"/>
              <w:jc w:val="center"/>
              <w:rPr>
                <w:rFonts w:ascii="Arial" w:hAnsi="Arial" w:cs="Arial"/>
                <w:b/>
                <w:sz w:val="24"/>
              </w:rPr>
            </w:pPr>
            <w:r>
              <w:rPr>
                <w:rFonts w:ascii="Arial" w:hAnsi="Arial" w:cs="Arial"/>
                <w:b/>
                <w:sz w:val="24"/>
              </w:rPr>
              <w:t xml:space="preserve">2018</w:t>
            </w:r>
            <w:r/>
          </w:p>
        </w:tc>
        <w:tc>
          <w:tcPr>
            <w:shd w:val="clear" w:color="auto" w:fill="00B050" w:themeFill="accent1"/>
            <w:tcW w:w="1180" w:type="dxa"/>
            <w:textDirection w:val="lrTb"/>
            <w:noWrap w:val="false"/>
          </w:tcPr>
          <w:p>
            <w:pPr>
              <w:pStyle w:val="517"/>
              <w:ind w:left="142" w:right="-1"/>
              <w:jc w:val="center"/>
              <w:rPr>
                <w:rFonts w:ascii="Arial" w:hAnsi="Arial" w:cs="Arial"/>
                <w:b/>
                <w:sz w:val="24"/>
              </w:rPr>
            </w:pPr>
            <w:r>
              <w:rPr>
                <w:rFonts w:ascii="Arial" w:hAnsi="Arial" w:cs="Arial"/>
                <w:b/>
                <w:sz w:val="24"/>
              </w:rPr>
            </w:r>
            <w:r/>
          </w:p>
          <w:p>
            <w:pPr>
              <w:pStyle w:val="517"/>
              <w:ind w:left="142" w:right="-1"/>
              <w:jc w:val="center"/>
              <w:rPr>
                <w:rFonts w:ascii="Arial" w:hAnsi="Arial" w:cs="Arial"/>
                <w:b/>
                <w:sz w:val="24"/>
              </w:rPr>
            </w:pPr>
            <w:r>
              <w:rPr>
                <w:rFonts w:ascii="Arial" w:hAnsi="Arial" w:cs="Arial"/>
                <w:b/>
                <w:sz w:val="24"/>
              </w:rPr>
              <w:t xml:space="preserve">2019</w:t>
            </w:r>
            <w:r/>
          </w:p>
        </w:tc>
      </w:tr>
      <w:tr>
        <w:trPr>
          <w:trHeight w:val="695"/>
        </w:trPr>
        <w:tc>
          <w:tcPr>
            <w:shd w:val="clear" w:color="auto" w:fill="auto"/>
            <w:tcW w:w="3255" w:type="dxa"/>
            <w:textDirection w:val="lrTb"/>
            <w:noWrap w:val="false"/>
          </w:tcPr>
          <w:p>
            <w:pPr>
              <w:pStyle w:val="517"/>
              <w:ind w:right="-1"/>
              <w:rPr>
                <w:rFonts w:ascii="Arial" w:hAnsi="Arial" w:cs="Arial"/>
                <w:sz w:val="24"/>
              </w:rPr>
            </w:pPr>
            <w:r>
              <w:rPr>
                <w:rFonts w:ascii="Arial" w:hAnsi="Arial" w:cs="Arial"/>
                <w:sz w:val="24"/>
              </w:rPr>
              <w:t xml:space="preserve">Обсяг прямих іноземних інвестицій</w:t>
            </w:r>
            <w:r>
              <w:rPr>
                <w:rFonts w:ascii="Arial" w:hAnsi="Arial" w:cs="Arial"/>
                <w:sz w:val="24"/>
              </w:rPr>
              <w:t xml:space="preserve"> (тис </w:t>
            </w:r>
            <w:r>
              <w:rPr>
                <w:rFonts w:ascii="Arial" w:hAnsi="Arial" w:cs="Arial"/>
                <w:sz w:val="24"/>
              </w:rPr>
              <w:t xml:space="preserve">дол</w:t>
            </w:r>
            <w:r>
              <w:rPr>
                <w:rFonts w:ascii="Arial" w:hAnsi="Arial" w:cs="Arial"/>
                <w:sz w:val="24"/>
              </w:rPr>
              <w:t xml:space="preserve">)</w:t>
            </w:r>
            <w:r/>
          </w:p>
        </w:tc>
        <w:tc>
          <w:tcPr>
            <w:shd w:val="clear" w:color="auto" w:fill="auto"/>
            <w:tcW w:w="1150" w:type="dxa"/>
            <w:textDirection w:val="lrTb"/>
            <w:noWrap w:val="false"/>
          </w:tcPr>
          <w:p>
            <w:pPr>
              <w:pStyle w:val="517"/>
              <w:ind w:left="142" w:right="-1"/>
              <w:jc w:val="center"/>
              <w:rPr>
                <w:rFonts w:ascii="Arial" w:hAnsi="Arial" w:cs="Arial"/>
                <w:sz w:val="24"/>
              </w:rPr>
            </w:pPr>
            <w:r>
              <w:rPr>
                <w:rFonts w:ascii="Arial" w:hAnsi="Arial" w:cs="Arial"/>
                <w:sz w:val="24"/>
              </w:rPr>
            </w:r>
            <w:r/>
          </w:p>
          <w:p>
            <w:pPr>
              <w:pStyle w:val="517"/>
              <w:ind w:left="142" w:right="-1"/>
              <w:jc w:val="center"/>
              <w:rPr>
                <w:rFonts w:ascii="Arial" w:hAnsi="Arial" w:cs="Arial"/>
                <w:sz w:val="24"/>
              </w:rPr>
            </w:pPr>
            <w:r>
              <w:rPr>
                <w:rFonts w:ascii="Arial" w:hAnsi="Arial" w:cs="Arial"/>
                <w:sz w:val="24"/>
              </w:rPr>
              <w:t xml:space="preserve">-</w:t>
            </w:r>
            <w:r/>
          </w:p>
        </w:tc>
        <w:tc>
          <w:tcPr>
            <w:shd w:val="clear" w:color="auto" w:fill="auto"/>
            <w:tcW w:w="1254" w:type="dxa"/>
            <w:textDirection w:val="lrTb"/>
            <w:noWrap w:val="false"/>
          </w:tcPr>
          <w:p>
            <w:pPr>
              <w:pStyle w:val="517"/>
              <w:ind w:left="142" w:right="-1"/>
              <w:jc w:val="center"/>
              <w:rPr>
                <w:rFonts w:ascii="Arial" w:hAnsi="Arial" w:cs="Arial"/>
                <w:sz w:val="24"/>
              </w:rPr>
            </w:pPr>
            <w:r>
              <w:rPr>
                <w:rFonts w:ascii="Arial" w:hAnsi="Arial" w:cs="Arial"/>
                <w:sz w:val="24"/>
              </w:rPr>
            </w:r>
            <w:r/>
          </w:p>
          <w:p>
            <w:pPr>
              <w:pStyle w:val="517"/>
              <w:ind w:left="142" w:right="-1"/>
              <w:jc w:val="center"/>
              <w:rPr>
                <w:rFonts w:ascii="Arial" w:hAnsi="Arial" w:cs="Arial"/>
                <w:sz w:val="24"/>
              </w:rPr>
            </w:pPr>
            <w:r>
              <w:rPr>
                <w:rFonts w:ascii="Arial" w:hAnsi="Arial" w:cs="Arial"/>
                <w:sz w:val="24"/>
              </w:rPr>
              <w:t xml:space="preserve">588,235</w:t>
            </w:r>
            <w:r/>
          </w:p>
        </w:tc>
        <w:tc>
          <w:tcPr>
            <w:shd w:val="clear" w:color="auto" w:fill="auto"/>
            <w:tcW w:w="1180" w:type="dxa"/>
            <w:textDirection w:val="lrTb"/>
            <w:noWrap w:val="false"/>
          </w:tcPr>
          <w:p>
            <w:pPr>
              <w:pStyle w:val="517"/>
              <w:ind w:left="142" w:right="-1"/>
              <w:jc w:val="center"/>
              <w:rPr>
                <w:rFonts w:ascii="Arial" w:hAnsi="Arial" w:cs="Arial"/>
                <w:sz w:val="24"/>
              </w:rPr>
            </w:pPr>
            <w:r>
              <w:rPr>
                <w:rFonts w:ascii="Arial" w:hAnsi="Arial" w:cs="Arial"/>
                <w:sz w:val="24"/>
              </w:rPr>
            </w:r>
            <w:r/>
          </w:p>
          <w:p>
            <w:pPr>
              <w:pStyle w:val="517"/>
              <w:ind w:left="142" w:right="-1"/>
              <w:jc w:val="center"/>
              <w:rPr>
                <w:rFonts w:ascii="Arial" w:hAnsi="Arial" w:cs="Arial"/>
                <w:sz w:val="24"/>
              </w:rPr>
            </w:pPr>
            <w:r>
              <w:rPr>
                <w:rFonts w:ascii="Arial" w:hAnsi="Arial" w:cs="Arial"/>
                <w:sz w:val="24"/>
              </w:rPr>
              <w:t xml:space="preserve">10,467</w:t>
            </w:r>
            <w:r/>
          </w:p>
        </w:tc>
      </w:tr>
      <w:tr>
        <w:trPr>
          <w:trHeight w:val="1226"/>
        </w:trPr>
        <w:tc>
          <w:tcPr>
            <w:tcW w:w="3255" w:type="dxa"/>
            <w:textDirection w:val="lrTb"/>
            <w:noWrap w:val="false"/>
          </w:tcPr>
          <w:p>
            <w:pPr>
              <w:pStyle w:val="517"/>
              <w:ind w:right="-1"/>
              <w:rPr>
                <w:rFonts w:ascii="Arial" w:hAnsi="Arial" w:cs="Arial"/>
                <w:sz w:val="24"/>
              </w:rPr>
            </w:pPr>
            <w:r>
              <w:rPr>
                <w:rFonts w:ascii="Arial" w:hAnsi="Arial" w:cs="Arial"/>
                <w:sz w:val="24"/>
              </w:rPr>
              <w:t xml:space="preserve">Загальний обсяг інвестицій за рахунок усіх джерел фінансування</w:t>
            </w:r>
            <w:r>
              <w:rPr>
                <w:rFonts w:ascii="Arial" w:hAnsi="Arial" w:cs="Arial"/>
                <w:sz w:val="24"/>
              </w:rPr>
              <w:t xml:space="preserve"> (тис грн)</w:t>
            </w:r>
            <w:r/>
          </w:p>
        </w:tc>
        <w:tc>
          <w:tcPr>
            <w:tcW w:w="1150" w:type="dxa"/>
            <w:textDirection w:val="lrTb"/>
            <w:noWrap w:val="false"/>
          </w:tcPr>
          <w:p>
            <w:pPr>
              <w:pStyle w:val="517"/>
              <w:ind w:left="142" w:right="-1"/>
              <w:jc w:val="center"/>
              <w:rPr>
                <w:rFonts w:ascii="Arial" w:hAnsi="Arial" w:cs="Arial"/>
                <w:sz w:val="24"/>
              </w:rPr>
            </w:pPr>
            <w:r>
              <w:rPr>
                <w:rFonts w:ascii="Arial" w:hAnsi="Arial" w:cs="Arial"/>
                <w:sz w:val="24"/>
              </w:rPr>
            </w:r>
            <w:r/>
          </w:p>
          <w:p>
            <w:pPr>
              <w:pStyle w:val="517"/>
              <w:ind w:left="142" w:right="-1"/>
              <w:jc w:val="center"/>
              <w:rPr>
                <w:rFonts w:ascii="Arial" w:hAnsi="Arial" w:cs="Arial"/>
                <w:sz w:val="24"/>
              </w:rPr>
            </w:pPr>
            <w:r>
              <w:rPr>
                <w:rFonts w:ascii="Arial" w:hAnsi="Arial" w:cs="Arial"/>
                <w:sz w:val="24"/>
              </w:rPr>
              <w:t xml:space="preserve">2,125</w:t>
            </w:r>
            <w:r/>
          </w:p>
        </w:tc>
        <w:tc>
          <w:tcPr>
            <w:tcW w:w="1254" w:type="dxa"/>
            <w:textDirection w:val="lrTb"/>
            <w:noWrap w:val="false"/>
          </w:tcPr>
          <w:p>
            <w:pPr>
              <w:pStyle w:val="517"/>
              <w:ind w:left="142" w:right="-1"/>
              <w:jc w:val="center"/>
              <w:rPr>
                <w:rFonts w:ascii="Arial" w:hAnsi="Arial" w:cs="Arial"/>
                <w:sz w:val="24"/>
              </w:rPr>
            </w:pPr>
            <w:r>
              <w:rPr>
                <w:rFonts w:ascii="Arial" w:hAnsi="Arial" w:cs="Arial"/>
                <w:sz w:val="24"/>
              </w:rPr>
            </w:r>
            <w:r/>
          </w:p>
          <w:p>
            <w:pPr>
              <w:pStyle w:val="517"/>
              <w:ind w:left="142" w:right="-1"/>
              <w:jc w:val="center"/>
              <w:rPr>
                <w:rFonts w:ascii="Arial" w:hAnsi="Arial" w:cs="Arial"/>
                <w:sz w:val="24"/>
              </w:rPr>
            </w:pPr>
            <w:r>
              <w:rPr>
                <w:rFonts w:ascii="Arial" w:hAnsi="Arial" w:cs="Arial"/>
                <w:sz w:val="24"/>
              </w:rPr>
              <w:t xml:space="preserve">607,434</w:t>
            </w:r>
            <w:r/>
          </w:p>
        </w:tc>
        <w:tc>
          <w:tcPr>
            <w:tcW w:w="1180" w:type="dxa"/>
            <w:textDirection w:val="lrTb"/>
            <w:noWrap w:val="false"/>
          </w:tcPr>
          <w:p>
            <w:pPr>
              <w:pStyle w:val="517"/>
              <w:ind w:left="142" w:right="-1"/>
              <w:jc w:val="center"/>
              <w:rPr>
                <w:rFonts w:ascii="Arial" w:hAnsi="Arial" w:cs="Arial"/>
                <w:sz w:val="24"/>
              </w:rPr>
            </w:pPr>
            <w:r>
              <w:rPr>
                <w:rFonts w:ascii="Arial" w:hAnsi="Arial" w:cs="Arial"/>
                <w:sz w:val="24"/>
              </w:rPr>
            </w:r>
            <w:r/>
          </w:p>
          <w:p>
            <w:pPr>
              <w:pStyle w:val="517"/>
              <w:ind w:left="142" w:right="-1"/>
              <w:jc w:val="center"/>
              <w:rPr>
                <w:rFonts w:ascii="Arial" w:hAnsi="Arial" w:cs="Arial"/>
                <w:sz w:val="24"/>
              </w:rPr>
            </w:pPr>
            <w:r>
              <w:rPr>
                <w:rFonts w:ascii="Arial" w:hAnsi="Arial" w:cs="Arial"/>
                <w:sz w:val="24"/>
              </w:rPr>
              <w:t xml:space="preserve">21,442</w:t>
            </w:r>
            <w:r/>
          </w:p>
        </w:tc>
      </w:tr>
    </w:tbl>
    <w:p>
      <w:pPr>
        <w:pStyle w:val="517"/>
        <w:ind w:right="-1"/>
        <w:jc w:val="both"/>
        <w:rPr>
          <w:rFonts w:ascii="Arial" w:hAnsi="Arial" w:cs="Arial"/>
          <w:sz w:val="24"/>
        </w:rPr>
      </w:pPr>
      <w:r>
        <w:rPr>
          <w:rFonts w:ascii="Arial" w:hAnsi="Arial" w:cs="Arial"/>
          <w:sz w:val="24"/>
        </w:rPr>
      </w:r>
      <w:r/>
    </w:p>
    <w:p>
      <w:pPr>
        <w:pStyle w:val="517"/>
        <w:ind w:left="709" w:right="-1"/>
        <w:jc w:val="center"/>
        <w:rPr>
          <w:rFonts w:ascii="Arial" w:hAnsi="Arial" w:cs="Arial"/>
          <w:b/>
          <w:sz w:val="24"/>
        </w:rPr>
      </w:pPr>
      <w:r>
        <w:rPr>
          <w:rFonts w:ascii="Arial" w:hAnsi="Arial" w:cs="Arial"/>
          <w:b/>
          <w:sz w:val="24"/>
        </w:rPr>
        <w:t xml:space="preserve">1.6  </w:t>
      </w:r>
      <w:r>
        <w:rPr>
          <w:rFonts w:ascii="Arial" w:hAnsi="Arial" w:cs="Arial"/>
          <w:b/>
          <w:sz w:val="24"/>
        </w:rPr>
        <w:t xml:space="preserve">Структура земельного фонду </w:t>
      </w:r>
      <w:r>
        <w:rPr>
          <w:rFonts w:ascii="Arial" w:hAnsi="Arial" w:cs="Arial"/>
          <w:b/>
          <w:sz w:val="24"/>
        </w:rPr>
        <w:t xml:space="preserve">громади </w:t>
      </w:r>
      <w:r/>
    </w:p>
    <w:tbl>
      <w:tblPr>
        <w:tblStyle w:val="527"/>
        <w:tblW w:w="6799" w:type="dxa"/>
        <w:jc w:val="center"/>
        <w:tblLayout w:type="fixed"/>
        <w:tblLook w:val="04A0" w:firstRow="1" w:lastRow="0" w:firstColumn="1" w:lastColumn="0" w:noHBand="0" w:noVBand="1"/>
      </w:tblPr>
      <w:tblGrid>
        <w:gridCol w:w="4597"/>
        <w:gridCol w:w="2202"/>
      </w:tblGrid>
      <w:tr>
        <w:trPr>
          <w:jc w:val="center"/>
          <w:trHeight w:val="926"/>
        </w:trPr>
        <w:tc>
          <w:tcPr>
            <w:shd w:val="clear" w:color="auto" w:fill="00B050" w:themeFill="accent1"/>
            <w:tcW w:w="4597" w:type="dxa"/>
            <w:vAlign w:val="center"/>
            <w:textDirection w:val="lrTb"/>
            <w:noWrap w:val="false"/>
          </w:tcPr>
          <w:p>
            <w:pPr>
              <w:pStyle w:val="544"/>
              <w:jc w:val="center"/>
              <w:rPr>
                <w:rFonts w:ascii="Arial" w:hAnsi="Arial" w:cs="Arial"/>
                <w:b/>
                <w:lang w:val="uk-UA"/>
              </w:rPr>
            </w:pPr>
            <w:r>
              <w:rPr>
                <w:rFonts w:ascii="Arial" w:hAnsi="Arial" w:cs="Arial"/>
                <w:b/>
                <w:lang w:val="uk-UA"/>
              </w:rPr>
              <w:t xml:space="preserve">Назва</w:t>
            </w:r>
            <w:r/>
          </w:p>
        </w:tc>
        <w:tc>
          <w:tcPr>
            <w:shd w:val="clear" w:color="auto" w:fill="00B050" w:themeFill="accent1"/>
            <w:tcW w:w="2202" w:type="dxa"/>
            <w:vAlign w:val="center"/>
            <w:textDirection w:val="lrTb"/>
            <w:noWrap w:val="false"/>
          </w:tcPr>
          <w:p>
            <w:pPr>
              <w:pStyle w:val="544"/>
              <w:jc w:val="center"/>
              <w:rPr>
                <w:rFonts w:ascii="Arial" w:hAnsi="Arial" w:cs="Arial"/>
                <w:b/>
                <w:lang w:val="uk-UA"/>
              </w:rPr>
            </w:pPr>
            <w:r>
              <w:rPr>
                <w:rFonts w:ascii="Arial" w:hAnsi="Arial" w:cs="Arial"/>
                <w:b/>
                <w:lang w:val="uk-UA"/>
              </w:rPr>
              <w:t xml:space="preserve">Площа</w:t>
            </w:r>
            <w:r>
              <w:rPr>
                <w:rFonts w:ascii="Arial" w:hAnsi="Arial" w:cs="Arial"/>
                <w:b/>
                <w:lang w:val="uk-UA"/>
              </w:rPr>
              <w:t xml:space="preserve"> </w:t>
            </w:r>
            <w:r>
              <w:rPr>
                <w:rFonts w:ascii="Arial" w:hAnsi="Arial" w:cs="Arial"/>
                <w:b/>
                <w:lang w:val="uk-UA"/>
              </w:rPr>
              <w:t xml:space="preserve">(</w:t>
            </w:r>
            <w:r>
              <w:rPr>
                <w:rFonts w:ascii="Arial" w:hAnsi="Arial" w:cs="Arial"/>
                <w:b/>
                <w:lang w:val="uk-UA"/>
              </w:rPr>
              <w:t xml:space="preserve">Га</w:t>
            </w:r>
            <w:r>
              <w:rPr>
                <w:rFonts w:ascii="Arial" w:hAnsi="Arial" w:cs="Arial"/>
                <w:b/>
                <w:lang w:val="uk-UA"/>
              </w:rPr>
              <w:t xml:space="preserve">)</w:t>
            </w:r>
            <w:r/>
          </w:p>
        </w:tc>
      </w:tr>
      <w:tr>
        <w:trPr>
          <w:jc w:val="center"/>
          <w:trHeight w:val="64"/>
        </w:trPr>
        <w:tc>
          <w:tcPr>
            <w:tcW w:w="4597" w:type="dxa"/>
            <w:vAlign w:val="bottom"/>
            <w:textDirection w:val="lrTb"/>
            <w:noWrap w:val="false"/>
          </w:tcPr>
          <w:p>
            <w:pPr>
              <w:pStyle w:val="544"/>
              <w:rPr>
                <w:rFonts w:ascii="Arial" w:hAnsi="Arial" w:cs="Arial"/>
                <w:lang w:val="uk-UA"/>
              </w:rPr>
            </w:pPr>
            <w:r>
              <w:rPr>
                <w:rFonts w:ascii="Arial" w:hAnsi="Arial" w:cs="Arial"/>
                <w:lang w:val="uk-UA"/>
              </w:rPr>
              <w:t xml:space="preserve">С/г угіддя</w:t>
            </w:r>
            <w:r/>
          </w:p>
        </w:tc>
        <w:tc>
          <w:tcPr>
            <w:tcW w:w="2202" w:type="dxa"/>
            <w:vAlign w:val="bottom"/>
            <w:textDirection w:val="lrTb"/>
            <w:noWrap w:val="false"/>
          </w:tcPr>
          <w:p>
            <w:pPr>
              <w:pStyle w:val="544"/>
              <w:jc w:val="center"/>
              <w:rPr>
                <w:rFonts w:ascii="Arial" w:hAnsi="Arial" w:cs="Arial"/>
                <w:lang w:val="uk-UA"/>
              </w:rPr>
            </w:pPr>
            <w:r>
              <w:rPr>
                <w:rFonts w:ascii="Arial" w:hAnsi="Arial" w:cs="Arial"/>
                <w:lang w:val="uk-UA"/>
              </w:rPr>
              <w:t xml:space="preserve">80183,6</w:t>
            </w:r>
            <w:r/>
          </w:p>
        </w:tc>
      </w:tr>
      <w:tr>
        <w:trPr>
          <w:jc w:val="center"/>
          <w:trHeight w:val="64"/>
        </w:trPr>
        <w:tc>
          <w:tcPr>
            <w:tcW w:w="4597" w:type="dxa"/>
            <w:vAlign w:val="bottom"/>
            <w:textDirection w:val="lrTb"/>
            <w:noWrap w:val="false"/>
          </w:tcPr>
          <w:p>
            <w:pPr>
              <w:pStyle w:val="544"/>
              <w:rPr>
                <w:rFonts w:ascii="Arial" w:hAnsi="Arial" w:cs="Arial"/>
                <w:lang w:val="uk-UA"/>
              </w:rPr>
            </w:pPr>
            <w:r>
              <w:rPr>
                <w:rFonts w:ascii="Arial" w:hAnsi="Arial" w:cs="Arial"/>
                <w:lang w:val="uk-UA"/>
              </w:rPr>
              <w:t xml:space="preserve">Ліси та </w:t>
            </w:r>
            <w:r>
              <w:rPr>
                <w:rFonts w:ascii="Arial" w:hAnsi="Arial" w:cs="Arial"/>
                <w:lang w:val="uk-UA"/>
              </w:rPr>
              <w:t xml:space="preserve">чагарники</w:t>
            </w:r>
            <w:r/>
          </w:p>
        </w:tc>
        <w:tc>
          <w:tcPr>
            <w:tcW w:w="2202" w:type="dxa"/>
            <w:vAlign w:val="bottom"/>
            <w:textDirection w:val="lrTb"/>
            <w:noWrap w:val="false"/>
          </w:tcPr>
          <w:p>
            <w:pPr>
              <w:pStyle w:val="544"/>
              <w:jc w:val="center"/>
              <w:rPr>
                <w:rFonts w:ascii="Arial" w:hAnsi="Arial" w:cs="Arial"/>
                <w:lang w:val="uk-UA"/>
              </w:rPr>
            </w:pPr>
            <w:r>
              <w:rPr>
                <w:rFonts w:ascii="Arial" w:hAnsi="Arial" w:cs="Arial"/>
                <w:lang w:val="uk-UA"/>
              </w:rPr>
              <w:t xml:space="preserve">9466,2</w:t>
            </w:r>
            <w:r/>
          </w:p>
        </w:tc>
      </w:tr>
      <w:tr>
        <w:trPr>
          <w:jc w:val="center"/>
          <w:trHeight w:val="64"/>
        </w:trPr>
        <w:tc>
          <w:tcPr>
            <w:tcW w:w="4597" w:type="dxa"/>
            <w:vAlign w:val="bottom"/>
            <w:textDirection w:val="lrTb"/>
            <w:noWrap w:val="false"/>
          </w:tcPr>
          <w:p>
            <w:pPr>
              <w:pStyle w:val="544"/>
              <w:rPr>
                <w:rFonts w:ascii="Arial" w:hAnsi="Arial" w:cs="Arial"/>
                <w:lang w:val="uk-UA"/>
              </w:rPr>
            </w:pPr>
            <w:r>
              <w:rPr>
                <w:rFonts w:ascii="Arial" w:hAnsi="Arial" w:cs="Arial"/>
                <w:lang w:val="uk-UA"/>
              </w:rPr>
              <w:t xml:space="preserve">Забудовані землі</w:t>
            </w:r>
            <w:r/>
          </w:p>
        </w:tc>
        <w:tc>
          <w:tcPr>
            <w:tcW w:w="2202" w:type="dxa"/>
            <w:vAlign w:val="bottom"/>
            <w:textDirection w:val="lrTb"/>
            <w:noWrap w:val="false"/>
          </w:tcPr>
          <w:p>
            <w:pPr>
              <w:pStyle w:val="544"/>
              <w:jc w:val="center"/>
              <w:rPr>
                <w:rFonts w:ascii="Arial" w:hAnsi="Arial" w:cs="Arial"/>
                <w:lang w:val="uk-UA"/>
              </w:rPr>
            </w:pPr>
            <w:r>
              <w:rPr>
                <w:rFonts w:ascii="Arial" w:hAnsi="Arial" w:cs="Arial"/>
                <w:lang w:val="uk-UA"/>
              </w:rPr>
              <w:t xml:space="preserve">2618</w:t>
            </w:r>
            <w:r/>
          </w:p>
        </w:tc>
      </w:tr>
      <w:tr>
        <w:trPr>
          <w:jc w:val="center"/>
          <w:trHeight w:val="64"/>
        </w:trPr>
        <w:tc>
          <w:tcPr>
            <w:tcW w:w="4597" w:type="dxa"/>
            <w:vAlign w:val="bottom"/>
            <w:textDirection w:val="lrTb"/>
            <w:noWrap w:val="false"/>
          </w:tcPr>
          <w:p>
            <w:pPr>
              <w:pStyle w:val="544"/>
              <w:rPr>
                <w:rFonts w:ascii="Arial" w:hAnsi="Arial" w:cs="Arial"/>
                <w:lang w:val="uk-UA"/>
              </w:rPr>
            </w:pPr>
            <w:r>
              <w:rPr>
                <w:rFonts w:ascii="Arial" w:hAnsi="Arial" w:cs="Arial"/>
                <w:lang w:val="uk-UA"/>
              </w:rPr>
              <w:t xml:space="preserve">Під господ угіддями</w:t>
            </w:r>
            <w:r/>
          </w:p>
        </w:tc>
        <w:tc>
          <w:tcPr>
            <w:tcW w:w="2202" w:type="dxa"/>
            <w:vAlign w:val="bottom"/>
            <w:textDirection w:val="lrTb"/>
            <w:noWrap w:val="false"/>
          </w:tcPr>
          <w:p>
            <w:pPr>
              <w:pStyle w:val="544"/>
              <w:jc w:val="center"/>
              <w:rPr>
                <w:rFonts w:ascii="Arial" w:hAnsi="Arial" w:cs="Arial"/>
                <w:lang w:val="uk-UA"/>
              </w:rPr>
            </w:pPr>
            <w:r>
              <w:rPr>
                <w:rFonts w:ascii="Arial" w:hAnsi="Arial" w:cs="Arial"/>
                <w:lang w:val="uk-UA"/>
              </w:rPr>
              <w:t xml:space="preserve">1909,1</w:t>
            </w:r>
            <w:r/>
          </w:p>
        </w:tc>
      </w:tr>
      <w:tr>
        <w:trPr>
          <w:jc w:val="center"/>
          <w:trHeight w:val="64"/>
        </w:trPr>
        <w:tc>
          <w:tcPr>
            <w:tcW w:w="4597" w:type="dxa"/>
            <w:vAlign w:val="bottom"/>
            <w:textDirection w:val="lrTb"/>
            <w:noWrap w:val="false"/>
          </w:tcPr>
          <w:p>
            <w:pPr>
              <w:pStyle w:val="544"/>
              <w:rPr>
                <w:rFonts w:ascii="Arial" w:hAnsi="Arial" w:cs="Arial"/>
                <w:lang w:val="uk-UA"/>
              </w:rPr>
            </w:pPr>
            <w:r>
              <w:rPr>
                <w:rFonts w:ascii="Arial" w:hAnsi="Arial" w:cs="Arial"/>
                <w:lang w:val="uk-UA"/>
              </w:rPr>
              <w:t xml:space="preserve">Землі транспорту та зв’язку </w:t>
            </w:r>
            <w:r/>
          </w:p>
        </w:tc>
        <w:tc>
          <w:tcPr>
            <w:tcW w:w="2202" w:type="dxa"/>
            <w:vAlign w:val="bottom"/>
            <w:textDirection w:val="lrTb"/>
            <w:noWrap w:val="false"/>
          </w:tcPr>
          <w:p>
            <w:pPr>
              <w:pStyle w:val="544"/>
              <w:jc w:val="center"/>
              <w:rPr>
                <w:rFonts w:ascii="Arial" w:hAnsi="Arial" w:cs="Arial"/>
                <w:lang w:val="uk-UA"/>
              </w:rPr>
            </w:pPr>
            <w:r>
              <w:rPr>
                <w:rFonts w:ascii="Arial" w:hAnsi="Arial" w:cs="Arial"/>
                <w:lang w:val="uk-UA"/>
              </w:rPr>
              <w:t xml:space="preserve">525,6</w:t>
            </w:r>
            <w:r/>
          </w:p>
        </w:tc>
      </w:tr>
      <w:tr>
        <w:trPr>
          <w:jc w:val="center"/>
          <w:trHeight w:val="64"/>
        </w:trPr>
        <w:tc>
          <w:tcPr>
            <w:tcW w:w="4597" w:type="dxa"/>
            <w:vAlign w:val="bottom"/>
            <w:textDirection w:val="lrTb"/>
            <w:noWrap w:val="false"/>
          </w:tcPr>
          <w:p>
            <w:pPr>
              <w:pStyle w:val="544"/>
              <w:rPr>
                <w:rFonts w:ascii="Arial" w:hAnsi="Arial" w:cs="Arial"/>
                <w:lang w:val="uk-UA"/>
              </w:rPr>
            </w:pPr>
            <w:r>
              <w:rPr>
                <w:rFonts w:ascii="Arial" w:hAnsi="Arial" w:cs="Arial"/>
                <w:lang w:val="uk-UA"/>
              </w:rPr>
              <w:t xml:space="preserve">Заболочені землі</w:t>
            </w:r>
            <w:r/>
          </w:p>
        </w:tc>
        <w:tc>
          <w:tcPr>
            <w:tcW w:w="2202" w:type="dxa"/>
            <w:vAlign w:val="bottom"/>
            <w:textDirection w:val="lrTb"/>
            <w:noWrap w:val="false"/>
          </w:tcPr>
          <w:p>
            <w:pPr>
              <w:pStyle w:val="544"/>
              <w:jc w:val="center"/>
              <w:rPr>
                <w:rFonts w:ascii="Arial" w:hAnsi="Arial" w:cs="Arial"/>
                <w:lang w:val="uk-UA"/>
              </w:rPr>
            </w:pPr>
            <w:r>
              <w:rPr>
                <w:rFonts w:ascii="Arial" w:hAnsi="Arial" w:cs="Arial"/>
                <w:lang w:val="uk-UA"/>
              </w:rPr>
              <w:t xml:space="preserve">4340,4</w:t>
            </w:r>
            <w:r/>
          </w:p>
        </w:tc>
      </w:tr>
      <w:tr>
        <w:trPr>
          <w:jc w:val="center"/>
          <w:trHeight w:val="64"/>
        </w:trPr>
        <w:tc>
          <w:tcPr>
            <w:tcW w:w="4597" w:type="dxa"/>
            <w:vAlign w:val="bottom"/>
            <w:textDirection w:val="lrTb"/>
            <w:noWrap w:val="false"/>
          </w:tcPr>
          <w:p>
            <w:pPr>
              <w:pStyle w:val="544"/>
              <w:rPr>
                <w:rFonts w:ascii="Arial" w:hAnsi="Arial" w:cs="Arial"/>
                <w:lang w:val="uk-UA"/>
              </w:rPr>
            </w:pPr>
            <w:r>
              <w:rPr>
                <w:rFonts w:ascii="Arial" w:hAnsi="Arial" w:cs="Arial"/>
                <w:lang w:val="uk-UA"/>
              </w:rPr>
              <w:t xml:space="preserve">Води</w:t>
            </w:r>
            <w:r/>
          </w:p>
        </w:tc>
        <w:tc>
          <w:tcPr>
            <w:tcW w:w="2202" w:type="dxa"/>
            <w:vAlign w:val="bottom"/>
            <w:textDirection w:val="lrTb"/>
            <w:noWrap w:val="false"/>
          </w:tcPr>
          <w:p>
            <w:pPr>
              <w:pStyle w:val="544"/>
              <w:jc w:val="center"/>
              <w:rPr>
                <w:rFonts w:ascii="Arial" w:hAnsi="Arial" w:cs="Arial"/>
                <w:lang w:val="uk-UA"/>
              </w:rPr>
            </w:pPr>
            <w:r>
              <w:rPr>
                <w:rFonts w:ascii="Arial" w:hAnsi="Arial" w:cs="Arial"/>
                <w:lang w:val="uk-UA"/>
              </w:rPr>
              <w:t xml:space="preserve">3137,5</w:t>
            </w:r>
            <w:r/>
          </w:p>
        </w:tc>
      </w:tr>
      <w:tr>
        <w:trPr>
          <w:jc w:val="center"/>
          <w:trHeight w:val="64"/>
        </w:trPr>
        <w:tc>
          <w:tcPr>
            <w:tcW w:w="4597" w:type="dxa"/>
            <w:vAlign w:val="bottom"/>
            <w:textDirection w:val="lrTb"/>
            <w:noWrap w:val="false"/>
          </w:tcPr>
          <w:p>
            <w:pPr>
              <w:pStyle w:val="544"/>
              <w:rPr>
                <w:rFonts w:ascii="Arial" w:hAnsi="Arial" w:cs="Arial"/>
                <w:lang w:val="uk-UA"/>
              </w:rPr>
            </w:pPr>
            <w:r>
              <w:rPr>
                <w:rFonts w:ascii="Arial" w:hAnsi="Arial" w:cs="Arial"/>
                <w:lang w:val="uk-UA"/>
              </w:rPr>
              <w:t xml:space="preserve">Землі для відпочинку</w:t>
            </w:r>
            <w:r/>
          </w:p>
        </w:tc>
        <w:tc>
          <w:tcPr>
            <w:tcW w:w="2202" w:type="dxa"/>
            <w:vAlign w:val="bottom"/>
            <w:textDirection w:val="lrTb"/>
            <w:noWrap w:val="false"/>
          </w:tcPr>
          <w:p>
            <w:pPr>
              <w:pStyle w:val="544"/>
              <w:jc w:val="center"/>
              <w:rPr>
                <w:rFonts w:ascii="Arial" w:hAnsi="Arial" w:cs="Arial"/>
                <w:lang w:val="uk-UA"/>
              </w:rPr>
            </w:pPr>
            <w:r>
              <w:rPr>
                <w:rFonts w:ascii="Arial" w:hAnsi="Arial" w:cs="Arial"/>
                <w:lang w:val="uk-UA"/>
              </w:rPr>
              <w:t xml:space="preserve">777,3</w:t>
            </w:r>
            <w:r/>
          </w:p>
        </w:tc>
      </w:tr>
      <w:tr>
        <w:trPr>
          <w:jc w:val="center"/>
          <w:trHeight w:val="665"/>
        </w:trPr>
        <w:tc>
          <w:tcPr>
            <w:tcW w:w="4597" w:type="dxa"/>
            <w:vAlign w:val="bottom"/>
            <w:textDirection w:val="lrTb"/>
            <w:noWrap w:val="false"/>
          </w:tcPr>
          <w:p>
            <w:pPr>
              <w:pStyle w:val="544"/>
              <w:rPr>
                <w:rFonts w:ascii="Arial" w:hAnsi="Arial" w:cs="Arial"/>
                <w:b/>
                <w:lang w:val="uk-UA"/>
              </w:rPr>
            </w:pPr>
            <w:r>
              <w:rPr>
                <w:rFonts w:ascii="Arial" w:hAnsi="Arial" w:cs="Arial"/>
                <w:b/>
                <w:lang w:val="uk-UA"/>
              </w:rPr>
              <w:t xml:space="preserve">Загальна площа земель </w:t>
            </w:r>
            <w:r/>
          </w:p>
        </w:tc>
        <w:tc>
          <w:tcPr>
            <w:tcW w:w="2202" w:type="dxa"/>
            <w:vAlign w:val="bottom"/>
            <w:textDirection w:val="lrTb"/>
            <w:noWrap w:val="false"/>
          </w:tcPr>
          <w:p>
            <w:pPr>
              <w:pStyle w:val="544"/>
              <w:jc w:val="center"/>
              <w:rPr>
                <w:rFonts w:ascii="Arial" w:hAnsi="Arial" w:cs="Arial"/>
                <w:b/>
                <w:lang w:val="uk-UA"/>
              </w:rPr>
            </w:pPr>
            <w:r>
              <w:rPr>
                <w:rFonts w:ascii="Arial" w:hAnsi="Arial" w:cs="Arial"/>
                <w:b/>
                <w:lang w:val="uk-UA"/>
              </w:rPr>
              <w:t xml:space="preserve">102957,7</w:t>
            </w:r>
            <w:r/>
          </w:p>
        </w:tc>
      </w:tr>
    </w:tbl>
    <w:p>
      <w:pPr>
        <w:pStyle w:val="517"/>
        <w:ind w:right="-1"/>
        <w:jc w:val="both"/>
        <w:rPr>
          <w:rFonts w:ascii="Arial" w:hAnsi="Arial" w:cs="Arial"/>
          <w:b/>
          <w:sz w:val="24"/>
        </w:rPr>
      </w:pPr>
      <w:r>
        <w:rPr>
          <w:rFonts w:ascii="Arial" w:hAnsi="Arial" w:cs="Arial"/>
          <w:b/>
          <w:sz w:val="24"/>
          <w:lang w:eastAsia="uk-UA"/>
        </w:rPr>
        <w:drawing>
          <wp:inline distT="0" distB="0" distL="0" distR="0">
            <wp:extent cx="4229100" cy="4714875"/>
            <wp:effectExtent l="38100" t="0" r="38100" b="0"/>
            <wp:docPr id="13" name="Диаграмма 46"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p>
    <w:p>
      <w:pPr>
        <w:pStyle w:val="517"/>
        <w:ind w:right="-1"/>
        <w:jc w:val="both"/>
        <w:rPr>
          <w:rFonts w:ascii="Arial" w:hAnsi="Arial" w:cs="Arial"/>
          <w:b/>
          <w:sz w:val="24"/>
        </w:rPr>
      </w:pPr>
      <w:r>
        <w:rPr>
          <w:rFonts w:ascii="Arial" w:hAnsi="Arial" w:cs="Arial"/>
          <w:b/>
          <w:sz w:val="24"/>
        </w:rPr>
      </w:r>
      <w:r/>
    </w:p>
    <w:p>
      <w:pPr>
        <w:pStyle w:val="517"/>
        <w:ind w:right="-1"/>
        <w:jc w:val="both"/>
        <w:rPr>
          <w:rFonts w:ascii="Arial" w:hAnsi="Arial" w:cs="Arial"/>
          <w:b/>
          <w:sz w:val="24"/>
        </w:rPr>
      </w:pPr>
      <w:r>
        <w:rPr>
          <w:rFonts w:ascii="Arial" w:hAnsi="Arial" w:cs="Arial"/>
          <w:b/>
          <w:sz w:val="24"/>
        </w:rPr>
      </w:r>
      <w:r/>
    </w:p>
    <w:p>
      <w:pPr>
        <w:pStyle w:val="517"/>
        <w:ind w:right="-1"/>
        <w:jc w:val="both"/>
        <w:rPr>
          <w:rFonts w:ascii="Arial" w:hAnsi="Arial" w:cs="Arial"/>
          <w:b/>
          <w:sz w:val="24"/>
        </w:rPr>
      </w:pPr>
      <w:r>
        <w:rPr>
          <w:rFonts w:ascii="Arial" w:hAnsi="Arial" w:cs="Arial"/>
          <w:b/>
          <w:sz w:val="24"/>
        </w:rPr>
      </w:r>
      <w:r/>
    </w:p>
    <w:p>
      <w:pPr>
        <w:pStyle w:val="517"/>
        <w:ind w:right="-1"/>
        <w:jc w:val="both"/>
        <w:rPr>
          <w:rFonts w:ascii="Arial" w:hAnsi="Arial" w:cs="Arial"/>
          <w:b/>
          <w:sz w:val="24"/>
        </w:rPr>
      </w:pPr>
      <w:r>
        <w:rPr>
          <w:rFonts w:ascii="Arial" w:hAnsi="Arial" w:cs="Arial"/>
          <w:b/>
          <w:sz w:val="24"/>
        </w:rPr>
      </w:r>
      <w:r/>
    </w:p>
    <w:p>
      <w:pPr>
        <w:pStyle w:val="517"/>
        <w:ind w:right="-1"/>
        <w:jc w:val="both"/>
        <w:rPr>
          <w:rFonts w:ascii="Arial" w:hAnsi="Arial" w:cs="Arial"/>
          <w:b/>
          <w:sz w:val="24"/>
        </w:rPr>
      </w:pPr>
      <w:r>
        <w:rPr>
          <w:rFonts w:ascii="Arial" w:hAnsi="Arial" w:cs="Arial"/>
          <w:b/>
          <w:sz w:val="24"/>
        </w:rPr>
      </w:r>
      <w:r/>
    </w:p>
    <w:p>
      <w:pPr>
        <w:pStyle w:val="517"/>
        <w:ind w:right="-1"/>
        <w:jc w:val="both"/>
        <w:rPr>
          <w:rFonts w:ascii="Arial" w:hAnsi="Arial" w:cs="Arial"/>
          <w:b/>
          <w:sz w:val="24"/>
        </w:rPr>
      </w:pPr>
      <w:r>
        <w:rPr>
          <w:rFonts w:ascii="Arial" w:hAnsi="Arial" w:cs="Arial"/>
          <w:b/>
          <w:sz w:val="24"/>
        </w:rPr>
      </w:r>
      <w:r/>
    </w:p>
    <w:p>
      <w:pPr>
        <w:pStyle w:val="557"/>
        <w:numPr>
          <w:ilvl w:val="1"/>
          <w:numId w:val="24"/>
        </w:numPr>
        <w:ind w:right="-1"/>
        <w:spacing w:lineRule="auto" w:line="240" w:after="0"/>
        <w:rPr>
          <w:rFonts w:ascii="Arial" w:hAnsi="Arial" w:cs="Arial"/>
          <w:b/>
          <w:sz w:val="24"/>
          <w:szCs w:val="24"/>
          <w:lang w:val="uk-UA"/>
        </w:rPr>
      </w:pPr>
      <w:r>
        <w:rPr>
          <w:rFonts w:ascii="Arial" w:hAnsi="Arial" w:cs="Arial"/>
          <w:b/>
          <w:sz w:val="24"/>
          <w:szCs w:val="24"/>
          <w:lang w:val="uk-UA"/>
        </w:rPr>
        <w:t xml:space="preserve"> </w:t>
      </w:r>
      <w:r>
        <w:rPr>
          <w:rFonts w:ascii="Arial" w:hAnsi="Arial" w:cs="Arial"/>
          <w:b/>
          <w:sz w:val="24"/>
          <w:szCs w:val="24"/>
          <w:lang w:val="uk-UA"/>
        </w:rPr>
        <w:t xml:space="preserve">Чисельність населення</w:t>
      </w:r>
      <w:r/>
    </w:p>
    <w:p>
      <w:pPr>
        <w:pStyle w:val="517"/>
        <w:ind w:right="-1"/>
        <w:jc w:val="both"/>
        <w:rPr>
          <w:rFonts w:ascii="Arial" w:hAnsi="Arial" w:cs="Arial"/>
          <w:b/>
          <w:color w:val="0099FF"/>
          <w:sz w:val="24"/>
        </w:rPr>
      </w:pPr>
      <w:r>
        <w:rPr>
          <w:rFonts w:ascii="Arial" w:hAnsi="Arial" w:cs="Arial"/>
          <w:b/>
          <w:color w:val="0099FF"/>
          <w:sz w:val="24"/>
        </w:rPr>
      </w:r>
      <w:r/>
    </w:p>
    <w:p>
      <w:pPr>
        <w:pStyle w:val="517"/>
        <w:ind w:right="-1"/>
        <w:jc w:val="center"/>
        <w:rPr>
          <w:rFonts w:ascii="Arial" w:hAnsi="Arial" w:cs="Arial"/>
          <w:b/>
          <w:sz w:val="24"/>
        </w:rPr>
      </w:pPr>
      <w:r>
        <w:rPr>
          <w:rFonts w:ascii="Arial" w:hAnsi="Arial" w:cs="Arial"/>
          <w:b/>
          <w:sz w:val="24"/>
        </w:rPr>
        <w:t xml:space="preserve">Структура населення громади 2017 – 2019 роки</w:t>
      </w:r>
      <w:r/>
    </w:p>
    <w:p>
      <w:pPr>
        <w:pStyle w:val="517"/>
        <w:ind w:right="-1"/>
        <w:jc w:val="center"/>
        <w:rPr>
          <w:rFonts w:ascii="Arial" w:hAnsi="Arial" w:cs="Arial"/>
          <w:b/>
          <w:sz w:val="24"/>
        </w:rPr>
      </w:pPr>
      <w:r>
        <w:rPr>
          <w:rFonts w:ascii="Arial" w:hAnsi="Arial" w:cs="Arial"/>
          <w:b/>
          <w:sz w:val="24"/>
        </w:rPr>
      </w:r>
      <w:r/>
    </w:p>
    <w:tbl>
      <w:tblPr>
        <w:tblStyle w:val="521"/>
        <w:tblW w:w="6622" w:type="dxa"/>
        <w:tblInd w:w="137" w:type="dxa"/>
        <w:tblLook w:val="04A0" w:firstRow="1" w:lastRow="0" w:firstColumn="1" w:lastColumn="0" w:noHBand="0" w:noVBand="1"/>
      </w:tblPr>
      <w:tblGrid>
        <w:gridCol w:w="1868"/>
        <w:gridCol w:w="1284"/>
        <w:gridCol w:w="1168"/>
        <w:gridCol w:w="1151"/>
        <w:gridCol w:w="1151"/>
      </w:tblGrid>
      <w:tr>
        <w:trPr>
          <w:trHeight w:val="602"/>
        </w:trPr>
        <w:tc>
          <w:tcPr>
            <w:shd w:val="clear" w:color="auto" w:fill="00B050" w:themeFill="accent1"/>
            <w:tcW w:w="1868" w:type="dxa"/>
            <w:vAlign w:val="center"/>
            <w:textDirection w:val="lrTb"/>
            <w:noWrap w:val="false"/>
          </w:tcPr>
          <w:p>
            <w:pPr>
              <w:pStyle w:val="517"/>
              <w:ind w:right="-1"/>
              <w:jc w:val="both"/>
              <w:rPr>
                <w:rFonts w:ascii="Arial" w:hAnsi="Arial" w:cs="Arial"/>
                <w:b/>
                <w:sz w:val="24"/>
              </w:rPr>
            </w:pPr>
            <w:r>
              <w:rPr>
                <w:rFonts w:ascii="Arial" w:hAnsi="Arial" w:cs="Arial"/>
                <w:b/>
                <w:sz w:val="24"/>
              </w:rPr>
            </w:r>
            <w:r/>
          </w:p>
        </w:tc>
        <w:tc>
          <w:tcPr>
            <w:shd w:val="clear" w:color="auto" w:fill="00B050" w:themeFill="accent1"/>
            <w:tcW w:w="1284" w:type="dxa"/>
            <w:vAlign w:val="center"/>
            <w:textDirection w:val="lrTb"/>
            <w:noWrap w:val="false"/>
          </w:tcPr>
          <w:p>
            <w:pPr>
              <w:pStyle w:val="517"/>
              <w:ind w:right="-1"/>
              <w:jc w:val="center"/>
              <w:rPr>
                <w:rFonts w:ascii="Arial" w:hAnsi="Arial" w:cs="Arial"/>
                <w:b/>
                <w:sz w:val="24"/>
              </w:rPr>
            </w:pPr>
            <w:r>
              <w:rPr>
                <w:rFonts w:ascii="Arial" w:hAnsi="Arial" w:cs="Arial"/>
                <w:b/>
                <w:sz w:val="24"/>
              </w:rPr>
              <w:t xml:space="preserve">2017</w:t>
            </w:r>
            <w:r/>
          </w:p>
        </w:tc>
        <w:tc>
          <w:tcPr>
            <w:shd w:val="clear" w:color="auto" w:fill="00B050" w:themeFill="accent1"/>
            <w:tcW w:w="1168" w:type="dxa"/>
            <w:vAlign w:val="center"/>
            <w:textDirection w:val="lrTb"/>
            <w:noWrap w:val="false"/>
          </w:tcPr>
          <w:p>
            <w:pPr>
              <w:pStyle w:val="517"/>
              <w:ind w:right="-1"/>
              <w:jc w:val="center"/>
              <w:rPr>
                <w:rFonts w:ascii="Arial" w:hAnsi="Arial" w:cs="Arial"/>
                <w:b/>
                <w:sz w:val="24"/>
              </w:rPr>
            </w:pPr>
            <w:r>
              <w:rPr>
                <w:rFonts w:ascii="Arial" w:hAnsi="Arial" w:cs="Arial"/>
                <w:b/>
                <w:sz w:val="24"/>
              </w:rPr>
              <w:t xml:space="preserve">2018</w:t>
            </w:r>
            <w:r/>
          </w:p>
        </w:tc>
        <w:tc>
          <w:tcPr>
            <w:shd w:val="clear" w:color="auto" w:fill="00B050" w:themeFill="accent1"/>
            <w:tcW w:w="1151" w:type="dxa"/>
            <w:vAlign w:val="center"/>
            <w:textDirection w:val="lrTb"/>
            <w:noWrap w:val="false"/>
          </w:tcPr>
          <w:p>
            <w:pPr>
              <w:pStyle w:val="517"/>
              <w:ind w:right="-1"/>
              <w:jc w:val="center"/>
              <w:rPr>
                <w:rFonts w:ascii="Arial" w:hAnsi="Arial" w:cs="Arial"/>
                <w:b/>
                <w:sz w:val="24"/>
              </w:rPr>
            </w:pPr>
            <w:r>
              <w:rPr>
                <w:rFonts w:ascii="Arial" w:hAnsi="Arial" w:cs="Arial"/>
                <w:b/>
                <w:sz w:val="24"/>
              </w:rPr>
              <w:t xml:space="preserve">2019</w:t>
            </w:r>
            <w:r/>
          </w:p>
        </w:tc>
        <w:tc>
          <w:tcPr>
            <w:shd w:val="clear" w:color="auto" w:fill="00B050" w:themeFill="accent1"/>
            <w:tcW w:w="1151" w:type="dxa"/>
            <w:vAlign w:val="center"/>
            <w:textDirection w:val="lrTb"/>
            <w:noWrap w:val="false"/>
          </w:tcPr>
          <w:p>
            <w:pPr>
              <w:pStyle w:val="517"/>
              <w:ind w:right="-1"/>
              <w:jc w:val="center"/>
              <w:rPr>
                <w:rFonts w:ascii="Arial" w:hAnsi="Arial" w:cs="Arial"/>
                <w:b/>
                <w:sz w:val="24"/>
              </w:rPr>
            </w:pPr>
            <w:r>
              <w:rPr>
                <w:rFonts w:ascii="Arial" w:hAnsi="Arial" w:cs="Arial"/>
                <w:b/>
                <w:sz w:val="24"/>
              </w:rPr>
              <w:t xml:space="preserve">2020</w:t>
            </w:r>
            <w:r/>
          </w:p>
        </w:tc>
      </w:tr>
      <w:tr>
        <w:trPr>
          <w:trHeight w:val="665"/>
        </w:trPr>
        <w:tc>
          <w:tcPr>
            <w:tcW w:w="1868" w:type="dxa"/>
            <w:vAlign w:val="center"/>
            <w:textDirection w:val="lrTb"/>
            <w:noWrap w:val="false"/>
          </w:tcPr>
          <w:p>
            <w:pPr>
              <w:pStyle w:val="517"/>
              <w:ind w:right="-1"/>
              <w:jc w:val="both"/>
              <w:rPr>
                <w:rFonts w:ascii="Arial" w:hAnsi="Arial" w:cs="Arial"/>
                <w:sz w:val="24"/>
              </w:rPr>
            </w:pPr>
            <w:r>
              <w:rPr>
                <w:rFonts w:ascii="Arial" w:hAnsi="Arial" w:cs="Arial"/>
                <w:sz w:val="24"/>
              </w:rPr>
              <w:t xml:space="preserve">Наявне населення, в </w:t>
            </w:r>
            <w:r>
              <w:rPr>
                <w:rFonts w:ascii="Arial" w:hAnsi="Arial" w:cs="Arial"/>
                <w:sz w:val="24"/>
              </w:rPr>
              <w:t xml:space="preserve">т.ч</w:t>
            </w:r>
            <w:r>
              <w:rPr>
                <w:rFonts w:ascii="Arial" w:hAnsi="Arial" w:cs="Arial"/>
                <w:sz w:val="24"/>
              </w:rPr>
              <w:t xml:space="preserve">.:</w:t>
            </w:r>
            <w:r/>
          </w:p>
        </w:tc>
        <w:tc>
          <w:tcPr>
            <w:tcW w:w="1284"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24749</w:t>
            </w:r>
            <w:r/>
          </w:p>
        </w:tc>
        <w:tc>
          <w:tcPr>
            <w:tcW w:w="1168"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24852</w:t>
            </w:r>
            <w:r/>
          </w:p>
        </w:tc>
        <w:tc>
          <w:tcPr>
            <w:tcW w:w="1151"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24896</w:t>
            </w:r>
            <w:r/>
          </w:p>
        </w:tc>
        <w:tc>
          <w:tcPr>
            <w:tcW w:w="1151"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27 764</w:t>
            </w:r>
            <w:r/>
          </w:p>
        </w:tc>
      </w:tr>
      <w:tr>
        <w:trPr>
          <w:trHeight w:val="339"/>
        </w:trPr>
        <w:tc>
          <w:tcPr>
            <w:tcW w:w="1868" w:type="dxa"/>
            <w:vAlign w:val="center"/>
            <w:textDirection w:val="lrTb"/>
            <w:noWrap w:val="false"/>
          </w:tcPr>
          <w:p>
            <w:pPr>
              <w:pStyle w:val="517"/>
              <w:ind w:right="-1"/>
              <w:jc w:val="both"/>
              <w:rPr>
                <w:rFonts w:ascii="Arial" w:hAnsi="Arial" w:cs="Arial"/>
                <w:sz w:val="24"/>
                <w:lang w:val="ru-RU"/>
              </w:rPr>
            </w:pPr>
            <w:r>
              <w:rPr>
                <w:rFonts w:ascii="Arial" w:hAnsi="Arial" w:cs="Arial"/>
                <w:sz w:val="24"/>
                <w:lang w:val="ru-RU"/>
              </w:rPr>
              <w:t xml:space="preserve">міське</w:t>
            </w:r>
            <w:r/>
          </w:p>
        </w:tc>
        <w:tc>
          <w:tcPr>
            <w:tcW w:w="1284"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12870</w:t>
            </w:r>
            <w:r/>
          </w:p>
        </w:tc>
        <w:tc>
          <w:tcPr>
            <w:tcW w:w="1168"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12924</w:t>
            </w:r>
            <w:r/>
          </w:p>
        </w:tc>
        <w:tc>
          <w:tcPr>
            <w:tcW w:w="1151"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12946</w:t>
            </w:r>
            <w:r/>
          </w:p>
        </w:tc>
        <w:tc>
          <w:tcPr>
            <w:tcW w:w="1151"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12946</w:t>
            </w:r>
            <w:r/>
          </w:p>
        </w:tc>
      </w:tr>
      <w:tr>
        <w:trPr>
          <w:trHeight w:val="339"/>
        </w:trPr>
        <w:tc>
          <w:tcPr>
            <w:tcW w:w="1868" w:type="dxa"/>
            <w:vAlign w:val="center"/>
            <w:textDirection w:val="lrTb"/>
            <w:noWrap w:val="false"/>
          </w:tcPr>
          <w:p>
            <w:pPr>
              <w:pStyle w:val="517"/>
              <w:ind w:right="-1"/>
              <w:jc w:val="both"/>
              <w:rPr>
                <w:rFonts w:ascii="Arial" w:hAnsi="Arial" w:cs="Arial"/>
                <w:sz w:val="24"/>
              </w:rPr>
            </w:pPr>
            <w:r>
              <w:rPr>
                <w:rFonts w:ascii="Arial" w:hAnsi="Arial" w:cs="Arial"/>
                <w:sz w:val="24"/>
              </w:rPr>
              <w:t xml:space="preserve">сільське</w:t>
            </w:r>
            <w:r/>
          </w:p>
        </w:tc>
        <w:tc>
          <w:tcPr>
            <w:tcW w:w="1284"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11879</w:t>
            </w:r>
            <w:r/>
          </w:p>
        </w:tc>
        <w:tc>
          <w:tcPr>
            <w:tcW w:w="1168"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11928</w:t>
            </w:r>
            <w:r/>
          </w:p>
        </w:tc>
        <w:tc>
          <w:tcPr>
            <w:tcW w:w="1151"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11950</w:t>
            </w:r>
            <w:r/>
          </w:p>
        </w:tc>
        <w:tc>
          <w:tcPr>
            <w:tcW w:w="1151" w:type="dxa"/>
            <w:vAlign w:val="center"/>
            <w:textDirection w:val="lrTb"/>
            <w:noWrap w:val="false"/>
          </w:tcPr>
          <w:p>
            <w:pPr>
              <w:pStyle w:val="517"/>
              <w:ind w:right="-1"/>
              <w:jc w:val="center"/>
              <w:rPr>
                <w:rFonts w:ascii="Arial" w:hAnsi="Arial" w:cs="Arial"/>
                <w:sz w:val="24"/>
              </w:rPr>
            </w:pPr>
            <w:r>
              <w:rPr>
                <w:rFonts w:ascii="Arial" w:hAnsi="Arial" w:cs="Arial"/>
                <w:sz w:val="24"/>
              </w:rPr>
              <w:t xml:space="preserve">14818</w:t>
            </w:r>
            <w:r/>
          </w:p>
        </w:tc>
      </w:tr>
    </w:tbl>
    <w:p>
      <w:pPr>
        <w:pStyle w:val="517"/>
        <w:ind w:left="142" w:right="-1"/>
        <w:jc w:val="both"/>
        <w:rPr>
          <w:rFonts w:ascii="Arial" w:hAnsi="Arial" w:cs="Arial"/>
          <w:color w:val="0099FF"/>
          <w:sz w:val="24"/>
        </w:rPr>
      </w:pPr>
      <w:r>
        <w:rPr>
          <w:rFonts w:ascii="Arial" w:hAnsi="Arial" w:cs="Arial"/>
          <w:color w:val="0099FF"/>
          <w:sz w:val="24"/>
          <w:lang w:eastAsia="uk-UA"/>
        </w:rPr>
        <w:drawing>
          <wp:inline distT="0" distB="0" distL="0" distR="0">
            <wp:extent cx="4236720" cy="2514600"/>
            <wp:effectExtent l="0" t="0" r="0" b="0"/>
            <wp:docPr id="14" name="Диаграмма 3"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p>
    <w:p>
      <w:pPr>
        <w:pStyle w:val="517"/>
        <w:ind w:right="-1" w:firstLine="720"/>
        <w:jc w:val="both"/>
        <w:rPr>
          <w:rFonts w:ascii="Arial" w:hAnsi="Arial" w:cs="Arial"/>
          <w:b/>
          <w:sz w:val="24"/>
        </w:rPr>
      </w:pPr>
      <w:r>
        <w:rPr>
          <w:rFonts w:ascii="Arial" w:hAnsi="Arial" w:cs="Arial"/>
          <w:b/>
          <w:sz w:val="24"/>
        </w:rPr>
      </w:r>
      <w:r/>
    </w:p>
    <w:p>
      <w:pPr>
        <w:pStyle w:val="517"/>
        <w:ind w:right="-1" w:firstLine="720"/>
        <w:jc w:val="both"/>
        <w:rPr>
          <w:rFonts w:ascii="Arial" w:hAnsi="Arial" w:cs="Arial"/>
          <w:b/>
          <w:sz w:val="24"/>
        </w:rPr>
      </w:pPr>
      <w:r>
        <w:rPr>
          <w:rFonts w:ascii="Arial" w:hAnsi="Arial" w:cs="Arial"/>
          <w:b/>
          <w:sz w:val="24"/>
        </w:rPr>
        <w:t xml:space="preserve">1.</w:t>
      </w:r>
      <w:r>
        <w:rPr>
          <w:rFonts w:ascii="Arial" w:hAnsi="Arial" w:cs="Arial"/>
          <w:b/>
          <w:sz w:val="24"/>
        </w:rPr>
        <w:t xml:space="preserve">8</w:t>
      </w:r>
      <w:r>
        <w:rPr>
          <w:rFonts w:ascii="Arial" w:hAnsi="Arial" w:cs="Arial"/>
          <w:b/>
          <w:sz w:val="24"/>
        </w:rPr>
        <w:t xml:space="preserve">. Нормативна база</w:t>
      </w:r>
      <w:r/>
    </w:p>
    <w:p>
      <w:pPr>
        <w:pStyle w:val="517"/>
        <w:ind w:right="-1" w:firstLine="708"/>
        <w:jc w:val="both"/>
        <w:rPr>
          <w:rFonts w:ascii="Arial" w:hAnsi="Arial" w:cs="Arial"/>
          <w:sz w:val="24"/>
        </w:rPr>
      </w:pPr>
      <w:r>
        <w:rPr>
          <w:rFonts w:ascii="Arial" w:hAnsi="Arial" w:cs="Arial"/>
          <w:sz w:val="24"/>
        </w:rPr>
      </w:r>
      <w:r/>
    </w:p>
    <w:p>
      <w:pPr>
        <w:pStyle w:val="517"/>
        <w:numPr>
          <w:ilvl w:val="0"/>
          <w:numId w:val="4"/>
        </w:numPr>
        <w:ind w:left="540" w:right="-1" w:hanging="540"/>
        <w:jc w:val="both"/>
        <w:rPr>
          <w:rFonts w:ascii="Arial" w:hAnsi="Arial" w:cs="Arial"/>
          <w:sz w:val="24"/>
        </w:rPr>
      </w:pPr>
      <w:r>
        <w:rPr>
          <w:rFonts w:ascii="Arial" w:hAnsi="Arial" w:cs="Arial"/>
          <w:sz w:val="24"/>
        </w:rPr>
        <w:t xml:space="preserve">Закон України про ратифікацію Рамкової конвенції Організації Об'єднаних Націй про зміну клімату від 29.10.1996 № 435 96-ВР та по Рамкової конвенції </w:t>
      </w:r>
      <w:r>
        <w:rPr>
          <w:rFonts w:ascii="Arial" w:hAnsi="Arial" w:cs="Arial"/>
          <w:sz w:val="24"/>
        </w:rPr>
        <w:t xml:space="preserve">Організації Об'єднаних Націй про зміну клімату від 09.05.1992;</w:t>
      </w:r>
      <w:r/>
    </w:p>
    <w:p>
      <w:pPr>
        <w:pStyle w:val="517"/>
        <w:numPr>
          <w:ilvl w:val="0"/>
          <w:numId w:val="4"/>
        </w:numPr>
        <w:ind w:left="540" w:right="-1" w:hanging="540"/>
        <w:jc w:val="both"/>
        <w:rPr>
          <w:rFonts w:ascii="Arial" w:hAnsi="Arial" w:cs="Arial"/>
          <w:sz w:val="24"/>
        </w:rPr>
      </w:pPr>
      <w:r>
        <w:rPr>
          <w:rFonts w:ascii="Arial" w:hAnsi="Arial" w:cs="Arial"/>
          <w:sz w:val="24"/>
        </w:rPr>
        <w:t xml:space="preserve">Закон України про ратифікацію Кіотського протоколу до Рамкової конвенції Організації Об'єднаних Націй про зміну клімату від 04.02.2004 № 1430-IV та Кіотського протоколу до Рамкової конвенції Організації Об'єднаних Націй про зміну клімату від 11.12.1997;</w:t>
      </w:r>
      <w:r/>
    </w:p>
    <w:p>
      <w:pPr>
        <w:pStyle w:val="517"/>
        <w:numPr>
          <w:ilvl w:val="0"/>
          <w:numId w:val="4"/>
        </w:numPr>
        <w:ind w:left="540" w:right="-1" w:hanging="540"/>
        <w:jc w:val="both"/>
        <w:rPr>
          <w:rFonts w:ascii="Arial" w:hAnsi="Arial" w:cs="Arial"/>
          <w:sz w:val="24"/>
        </w:rPr>
      </w:pPr>
      <w:r>
        <w:rPr>
          <w:rFonts w:ascii="Arial" w:hAnsi="Arial" w:cs="Arial"/>
          <w:sz w:val="24"/>
        </w:rPr>
        <w:t xml:space="preserve">Закон України Про стратегію сталого розвитку України до 2020 року від 12.01.2015 № 5/2015</w:t>
      </w:r>
      <w:r/>
    </w:p>
    <w:p>
      <w:pPr>
        <w:pStyle w:val="517"/>
        <w:numPr>
          <w:ilvl w:val="0"/>
          <w:numId w:val="4"/>
        </w:numPr>
        <w:ind w:left="540" w:right="-1" w:hanging="540"/>
        <w:jc w:val="both"/>
        <w:rPr>
          <w:rFonts w:ascii="Arial" w:hAnsi="Arial" w:cs="Arial"/>
          <w:sz w:val="24"/>
        </w:rPr>
      </w:pPr>
      <w:r>
        <w:rPr>
          <w:rFonts w:ascii="Arial" w:hAnsi="Arial" w:cs="Arial"/>
          <w:sz w:val="24"/>
        </w:rPr>
        <w:t xml:space="preserve">Закон України про енергозбереження від 01.07.1994 № 74/94-ВР</w:t>
      </w:r>
      <w:r/>
    </w:p>
    <w:p>
      <w:pPr>
        <w:pStyle w:val="517"/>
        <w:numPr>
          <w:ilvl w:val="0"/>
          <w:numId w:val="5"/>
        </w:numPr>
        <w:ind w:left="540" w:right="-1" w:hanging="540"/>
        <w:jc w:val="both"/>
        <w:rPr>
          <w:rFonts w:ascii="Arial" w:hAnsi="Arial" w:cs="Arial"/>
          <w:sz w:val="24"/>
        </w:rPr>
      </w:pPr>
      <w:r>
        <w:rPr>
          <w:rFonts w:ascii="Arial" w:hAnsi="Arial" w:cs="Arial"/>
          <w:sz w:val="24"/>
        </w:rPr>
        <w:t xml:space="preserve">Закон України про місцеве самоврядування в Україні від 21.05.1997 № 280/97-ВР;</w:t>
      </w:r>
      <w:r/>
    </w:p>
    <w:p>
      <w:pPr>
        <w:pStyle w:val="517"/>
        <w:numPr>
          <w:ilvl w:val="0"/>
          <w:numId w:val="5"/>
        </w:numPr>
        <w:ind w:left="540" w:right="-1" w:hanging="540"/>
        <w:jc w:val="both"/>
        <w:rPr>
          <w:rFonts w:ascii="Arial" w:hAnsi="Arial" w:cs="Arial"/>
          <w:sz w:val="24"/>
        </w:rPr>
      </w:pPr>
      <w:r>
        <w:rPr>
          <w:rFonts w:ascii="Arial" w:hAnsi="Arial" w:cs="Arial"/>
          <w:sz w:val="24"/>
        </w:rPr>
        <w:t xml:space="preserve">Закон України про альтернативні джерела енергії від 20.02.2003 № 555-IV;</w:t>
      </w:r>
      <w:r/>
    </w:p>
    <w:p>
      <w:pPr>
        <w:pStyle w:val="517"/>
        <w:numPr>
          <w:ilvl w:val="0"/>
          <w:numId w:val="5"/>
        </w:numPr>
        <w:ind w:left="540" w:right="-1" w:hanging="540"/>
        <w:jc w:val="both"/>
        <w:rPr>
          <w:rFonts w:ascii="Arial" w:hAnsi="Arial" w:cs="Arial"/>
          <w:sz w:val="24"/>
        </w:rPr>
      </w:pPr>
      <w:r>
        <w:rPr>
          <w:rFonts w:ascii="Arial" w:hAnsi="Arial" w:cs="Arial"/>
          <w:sz w:val="24"/>
        </w:rPr>
        <w:t xml:space="preserve">Закон України про основні засади (стратегію) національної екологічної політики України на період до 2020 року від 21.12.2010 р № 2818-VI;</w:t>
      </w:r>
      <w:r/>
    </w:p>
    <w:p>
      <w:pPr>
        <w:pStyle w:val="517"/>
        <w:numPr>
          <w:ilvl w:val="0"/>
          <w:numId w:val="5"/>
        </w:numPr>
        <w:ind w:left="540" w:right="-1" w:hanging="540"/>
        <w:jc w:val="both"/>
        <w:rPr>
          <w:rFonts w:ascii="Arial" w:hAnsi="Arial" w:cs="Arial"/>
          <w:sz w:val="24"/>
        </w:rPr>
      </w:pPr>
      <w:r>
        <w:rPr>
          <w:rFonts w:ascii="Arial" w:hAnsi="Arial" w:cs="Arial"/>
          <w:sz w:val="24"/>
        </w:rPr>
        <w:t xml:space="preserve">Постанова Кабінету Міністрів України про затвердження Державної цільової економічної програми енергоефективності і розвитку сфери виробництва енергоносіїв з відновлюваних джерел енергії та альтернативних видів палива на 2010-2016 роки від 01.03.2010 № 243</w:t>
      </w:r>
      <w:r/>
    </w:p>
    <w:p>
      <w:pPr>
        <w:pStyle w:val="517"/>
        <w:numPr>
          <w:ilvl w:val="0"/>
          <w:numId w:val="5"/>
        </w:numPr>
        <w:ind w:left="540" w:right="-1" w:hanging="540"/>
        <w:jc w:val="both"/>
        <w:rPr>
          <w:rFonts w:ascii="Arial" w:hAnsi="Arial" w:cs="Arial"/>
          <w:sz w:val="24"/>
        </w:rPr>
      </w:pPr>
      <w:r>
        <w:rPr>
          <w:rFonts w:ascii="Arial" w:hAnsi="Arial" w:cs="Arial"/>
          <w:sz w:val="24"/>
        </w:rPr>
        <w:t xml:space="preserve">Постанова Кабінету Міністрів України про Комплексну державну програму енергозбереження України від 05.02.1997 № 148;</w:t>
      </w:r>
      <w:r/>
    </w:p>
    <w:p>
      <w:pPr>
        <w:pStyle w:val="517"/>
        <w:numPr>
          <w:ilvl w:val="0"/>
          <w:numId w:val="5"/>
        </w:numPr>
        <w:ind w:left="540" w:right="-1" w:hanging="540"/>
        <w:jc w:val="both"/>
        <w:rPr>
          <w:rFonts w:ascii="Arial" w:hAnsi="Arial" w:cs="Arial"/>
          <w:sz w:val="24"/>
        </w:rPr>
      </w:pPr>
      <w:r>
        <w:rPr>
          <w:rFonts w:ascii="Arial" w:hAnsi="Arial" w:cs="Arial"/>
          <w:sz w:val="24"/>
        </w:rPr>
        <w:t xml:space="preserve">Наказ Кабінету України про затвердження Енергетичної стратегії України до 2030 року від 24.07.2013 р № 1071-р;</w:t>
      </w:r>
      <w:r/>
    </w:p>
    <w:p>
      <w:pPr>
        <w:pStyle w:val="517"/>
        <w:numPr>
          <w:ilvl w:val="0"/>
          <w:numId w:val="5"/>
        </w:numPr>
        <w:ind w:left="540" w:right="-1" w:hanging="540"/>
        <w:jc w:val="both"/>
        <w:rPr>
          <w:rFonts w:ascii="Arial" w:hAnsi="Arial" w:cs="Arial"/>
          <w:sz w:val="24"/>
        </w:rPr>
      </w:pPr>
      <w:r>
        <w:rPr>
          <w:rFonts w:ascii="Arial" w:hAnsi="Arial" w:cs="Arial"/>
          <w:sz w:val="24"/>
        </w:rPr>
        <w:t xml:space="preserve">Постанова Кабінету Міністрів України про визначення Пріоритетних напрямів енергозбереження від 04.07.2006 № 631;</w:t>
      </w:r>
      <w:r/>
    </w:p>
    <w:p>
      <w:pPr>
        <w:pStyle w:val="517"/>
        <w:numPr>
          <w:ilvl w:val="0"/>
          <w:numId w:val="5"/>
        </w:numPr>
        <w:ind w:left="540" w:right="-1" w:hanging="540"/>
        <w:jc w:val="both"/>
        <w:rPr>
          <w:rFonts w:ascii="Arial" w:hAnsi="Arial" w:cs="Arial"/>
          <w:sz w:val="24"/>
        </w:rPr>
      </w:pPr>
      <w:r>
        <w:rPr>
          <w:rFonts w:ascii="Arial" w:hAnsi="Arial" w:cs="Arial"/>
          <w:sz w:val="24"/>
        </w:rPr>
        <w:t xml:space="preserve">Постанова Кабінету України про державну експертизу з енергозбереження від 15.07. 1998 р № 1094;</w:t>
      </w:r>
      <w:r/>
    </w:p>
    <w:p>
      <w:pPr>
        <w:pStyle w:val="517"/>
        <w:numPr>
          <w:ilvl w:val="0"/>
          <w:numId w:val="5"/>
        </w:numPr>
        <w:ind w:left="540" w:right="-1" w:hanging="540"/>
        <w:jc w:val="both"/>
        <w:rPr>
          <w:rFonts w:ascii="Arial" w:hAnsi="Arial" w:cs="Arial"/>
          <w:sz w:val="24"/>
        </w:rPr>
      </w:pPr>
      <w:r>
        <w:rPr>
          <w:rFonts w:ascii="Arial" w:hAnsi="Arial" w:cs="Arial"/>
          <w:sz w:val="24"/>
        </w:rPr>
        <w:t xml:space="preserve">Закон України про ратифікацію Паризької </w:t>
      </w:r>
      <w:r>
        <w:rPr>
          <w:rFonts w:ascii="Arial" w:hAnsi="Arial" w:cs="Arial"/>
          <w:sz w:val="24"/>
        </w:rPr>
        <w:t xml:space="preserve">угоди від 14.07.2016 № 1469-VIII запобігання забрудненню повітря, води і ґрунту в результаті діяльності в енергетичному секторі, підвищення енергоефективності та енергозбереження, збільшення кількості і потужності установок поновлюваних джерел енергії тощо</w:t>
      </w:r>
      <w:r/>
    </w:p>
    <w:p>
      <w:pPr>
        <w:pStyle w:val="517"/>
        <w:numPr>
          <w:ilvl w:val="0"/>
          <w:numId w:val="6"/>
        </w:numPr>
        <w:ind w:left="540" w:right="-1" w:hanging="540"/>
        <w:jc w:val="both"/>
        <w:rPr>
          <w:rFonts w:ascii="Arial" w:hAnsi="Arial" w:cs="Arial"/>
          <w:sz w:val="24"/>
        </w:rPr>
      </w:pPr>
      <w:r>
        <w:rPr>
          <w:rFonts w:ascii="Arial" w:hAnsi="Arial" w:cs="Arial"/>
          <w:sz w:val="24"/>
        </w:rPr>
        <w:t xml:space="preserve">Енергетична стратегія України на період до 2030 року, 2013 р. (відповідно до Плану першочергових заходів Кабінету Міністрів України, вона повинна бути замінена новою Енергетичною стратегією України на період до 2035 року);</w:t>
      </w:r>
      <w:r/>
    </w:p>
    <w:p>
      <w:pPr>
        <w:pStyle w:val="517"/>
        <w:numPr>
          <w:ilvl w:val="0"/>
          <w:numId w:val="6"/>
        </w:numPr>
        <w:ind w:left="540" w:right="-1" w:hanging="540"/>
        <w:jc w:val="both"/>
        <w:rPr>
          <w:rFonts w:ascii="Arial" w:hAnsi="Arial" w:cs="Arial"/>
          <w:sz w:val="24"/>
        </w:rPr>
      </w:pPr>
      <w:r>
        <w:rPr>
          <w:rFonts w:ascii="Arial" w:hAnsi="Arial" w:cs="Arial"/>
          <w:sz w:val="24"/>
        </w:rPr>
        <w:t xml:space="preserve">Національний план дій з енергоефективності на період до 2020 року, 2015 р.;</w:t>
      </w:r>
      <w:r/>
    </w:p>
    <w:p>
      <w:pPr>
        <w:pStyle w:val="517"/>
        <w:numPr>
          <w:ilvl w:val="0"/>
          <w:numId w:val="6"/>
        </w:numPr>
        <w:ind w:left="540" w:right="-1" w:hanging="540"/>
        <w:jc w:val="both"/>
        <w:rPr>
          <w:rFonts w:ascii="Arial" w:hAnsi="Arial" w:cs="Arial"/>
          <w:sz w:val="24"/>
        </w:rPr>
      </w:pPr>
      <w:r>
        <w:rPr>
          <w:rFonts w:ascii="Arial" w:hAnsi="Arial" w:cs="Arial"/>
          <w:sz w:val="24"/>
        </w:rPr>
        <w:t xml:space="preserve">Національний план дій з відновлюваної енергетики на період до 2020 року, 2014 р.</w:t>
      </w:r>
      <w:r/>
    </w:p>
    <w:p>
      <w:pPr>
        <w:pStyle w:val="517"/>
        <w:numPr>
          <w:ilvl w:val="0"/>
          <w:numId w:val="6"/>
        </w:numPr>
        <w:ind w:left="567" w:right="-1" w:hanging="567"/>
        <w:jc w:val="both"/>
        <w:rPr>
          <w:rFonts w:ascii="Arial" w:hAnsi="Arial" w:cs="Arial"/>
          <w:sz w:val="24"/>
        </w:rPr>
      </w:pPr>
      <w:r>
        <w:rPr>
          <w:rFonts w:ascii="Arial" w:hAnsi="Arial" w:cs="Arial"/>
          <w:sz w:val="24"/>
        </w:rPr>
        <w:t xml:space="preserve">Розпорядження КМУ від 16 вересня 2015 р. № 980-р «Про схвалення Очікуваного національно визначеного внеску України до проекту нової глобальної кліматичної угоди»</w:t>
      </w:r>
      <w:r/>
    </w:p>
    <w:p>
      <w:pPr>
        <w:pStyle w:val="517"/>
        <w:numPr>
          <w:ilvl w:val="0"/>
          <w:numId w:val="6"/>
        </w:numPr>
        <w:ind w:left="567" w:right="-1" w:hanging="567"/>
        <w:jc w:val="both"/>
        <w:rPr>
          <w:rFonts w:ascii="Arial" w:hAnsi="Arial" w:cs="Arial"/>
          <w:sz w:val="24"/>
        </w:rPr>
      </w:pPr>
      <w:r>
        <w:rPr>
          <w:rFonts w:ascii="Arial" w:hAnsi="Arial" w:cs="Arial"/>
          <w:sz w:val="24"/>
        </w:rPr>
        <w:t xml:space="preserve">Розпорядження КМУ від 7 грудня 2016 р. № 932-р «Про схвалення Концепції реалізації державної політики у сфері зміни клімату на період до 2030 року»</w:t>
      </w:r>
      <w:r/>
    </w:p>
    <w:p>
      <w:pPr>
        <w:pStyle w:val="517"/>
        <w:numPr>
          <w:ilvl w:val="0"/>
          <w:numId w:val="6"/>
        </w:numPr>
        <w:ind w:left="567" w:right="-1" w:hanging="567"/>
        <w:jc w:val="both"/>
        <w:rPr>
          <w:rFonts w:ascii="Arial" w:hAnsi="Arial" w:cs="Arial"/>
          <w:sz w:val="24"/>
        </w:rPr>
      </w:pPr>
      <w:r>
        <w:rPr>
          <w:rFonts w:ascii="Arial" w:hAnsi="Arial" w:cs="Arial"/>
          <w:sz w:val="24"/>
        </w:rPr>
        <w:t xml:space="preserve">Розпорядження КМУ від 6 грудня 2017 р. № 878-р «Про затвердження плану заходів щодо виконання Концепції реалізації державної політики у сфері зміни клімату на період до 2030 року»</w:t>
      </w:r>
      <w:r/>
    </w:p>
    <w:p>
      <w:pPr>
        <w:pStyle w:val="517"/>
        <w:ind w:left="540" w:right="-1"/>
        <w:jc w:val="both"/>
        <w:rPr>
          <w:rFonts w:ascii="Arial" w:hAnsi="Arial" w:cs="Arial"/>
          <w:sz w:val="24"/>
        </w:rPr>
      </w:pPr>
      <w:r>
        <w:rPr>
          <w:rFonts w:ascii="Arial" w:hAnsi="Arial" w:cs="Arial"/>
          <w:sz w:val="24"/>
        </w:rPr>
      </w:r>
      <w:r/>
    </w:p>
    <w:p>
      <w:pPr>
        <w:pStyle w:val="517"/>
        <w:ind w:right="-1" w:firstLine="708"/>
        <w:jc w:val="both"/>
        <w:rPr>
          <w:rFonts w:ascii="Arial" w:hAnsi="Arial" w:cs="Arial"/>
          <w:sz w:val="24"/>
        </w:rPr>
      </w:pPr>
      <w:r>
        <w:rPr>
          <w:rFonts w:ascii="Arial" w:hAnsi="Arial" w:cs="Arial"/>
          <w:sz w:val="24"/>
        </w:rPr>
      </w:r>
      <w:r/>
    </w:p>
    <w:p>
      <w:pPr>
        <w:pStyle w:val="517"/>
        <w:ind w:right="-1" w:firstLine="720"/>
        <w:jc w:val="both"/>
        <w:rPr>
          <w:rFonts w:ascii="Arial" w:hAnsi="Arial" w:cs="Arial"/>
          <w:b/>
          <w:sz w:val="24"/>
        </w:rPr>
      </w:pPr>
      <w:r>
        <w:rPr>
          <w:rFonts w:ascii="Arial" w:hAnsi="Arial" w:cs="Arial"/>
          <w:b/>
          <w:sz w:val="24"/>
        </w:rPr>
      </w:r>
      <w:r/>
    </w:p>
    <w:p>
      <w:pPr>
        <w:pStyle w:val="517"/>
        <w:ind w:right="-1" w:firstLine="720"/>
        <w:jc w:val="both"/>
        <w:rPr>
          <w:rFonts w:ascii="Arial" w:hAnsi="Arial" w:cs="Arial"/>
          <w:b/>
          <w:sz w:val="24"/>
        </w:rPr>
      </w:pPr>
      <w:r>
        <w:rPr>
          <w:rFonts w:ascii="Arial" w:hAnsi="Arial" w:cs="Arial"/>
          <w:b/>
          <w:sz w:val="24"/>
        </w:rPr>
      </w:r>
      <w:r/>
    </w:p>
    <w:p>
      <w:pPr>
        <w:pStyle w:val="517"/>
        <w:ind w:right="-1" w:firstLine="720"/>
        <w:jc w:val="both"/>
        <w:rPr>
          <w:rFonts w:ascii="Arial" w:hAnsi="Arial" w:cs="Arial"/>
          <w:b/>
          <w:sz w:val="24"/>
        </w:rPr>
      </w:pPr>
      <w:r>
        <w:rPr>
          <w:rFonts w:ascii="Arial" w:hAnsi="Arial" w:cs="Arial"/>
          <w:b/>
          <w:sz w:val="24"/>
        </w:rPr>
      </w:r>
      <w:r/>
    </w:p>
    <w:p>
      <w:pPr>
        <w:pStyle w:val="517"/>
        <w:ind w:right="-1" w:firstLine="720"/>
        <w:jc w:val="both"/>
        <w:rPr>
          <w:rFonts w:ascii="Arial" w:hAnsi="Arial" w:cs="Arial"/>
          <w:b/>
          <w:sz w:val="24"/>
        </w:rPr>
      </w:pPr>
      <w:r>
        <w:rPr>
          <w:rFonts w:ascii="Arial" w:hAnsi="Arial" w:cs="Arial"/>
          <w:b/>
          <w:sz w:val="24"/>
        </w:rPr>
        <w:t xml:space="preserve">1.8</w:t>
      </w:r>
      <w:r>
        <w:rPr>
          <w:rFonts w:ascii="Arial" w:hAnsi="Arial" w:cs="Arial"/>
          <w:b/>
          <w:sz w:val="24"/>
        </w:rPr>
        <w:t xml:space="preserve">.1. Пла</w:t>
      </w:r>
      <w:r>
        <w:rPr>
          <w:rFonts w:ascii="Arial" w:hAnsi="Arial" w:cs="Arial"/>
          <w:b/>
          <w:sz w:val="24"/>
        </w:rPr>
        <w:t xml:space="preserve">н пріоритетних дій Уряду </w:t>
      </w:r>
      <w:r/>
    </w:p>
    <w:p>
      <w:pPr>
        <w:pStyle w:val="517"/>
        <w:ind w:right="-1" w:firstLine="708"/>
        <w:jc w:val="both"/>
        <w:rPr>
          <w:rFonts w:ascii="Arial" w:hAnsi="Arial" w:cs="Arial"/>
          <w:sz w:val="24"/>
        </w:rPr>
      </w:pPr>
      <w:r>
        <w:rPr>
          <w:rFonts w:ascii="Arial" w:hAnsi="Arial" w:cs="Arial"/>
          <w:sz w:val="24"/>
        </w:rPr>
      </w:r>
      <w:r/>
    </w:p>
    <w:p>
      <w:pPr>
        <w:pStyle w:val="517"/>
        <w:numPr>
          <w:ilvl w:val="0"/>
          <w:numId w:val="3"/>
        </w:numPr>
        <w:ind w:left="540" w:right="-1" w:hanging="540"/>
        <w:jc w:val="both"/>
        <w:rPr>
          <w:rFonts w:ascii="Arial" w:hAnsi="Arial" w:cs="Arial"/>
          <w:sz w:val="24"/>
        </w:rPr>
      </w:pPr>
      <w:r>
        <w:rPr>
          <w:rFonts w:ascii="Arial" w:hAnsi="Arial" w:cs="Arial"/>
          <w:sz w:val="24"/>
        </w:rPr>
        <w:t xml:space="preserve">Розробка та затвердження нової національної енергетичної стратегії до 2035 року;</w:t>
      </w:r>
      <w:r/>
    </w:p>
    <w:p>
      <w:pPr>
        <w:pStyle w:val="517"/>
        <w:numPr>
          <w:ilvl w:val="0"/>
          <w:numId w:val="3"/>
        </w:numPr>
        <w:ind w:left="540" w:right="-1" w:hanging="540"/>
        <w:jc w:val="both"/>
        <w:rPr>
          <w:rFonts w:ascii="Arial" w:hAnsi="Arial" w:cs="Arial"/>
          <w:sz w:val="24"/>
        </w:rPr>
      </w:pPr>
      <w:r>
        <w:rPr>
          <w:rFonts w:ascii="Arial" w:hAnsi="Arial" w:cs="Arial"/>
          <w:sz w:val="24"/>
        </w:rPr>
        <w:t xml:space="preserve">Реформування газового ринку і податкової системи в національній газодобувної промисловості для стимулювання видобутку газу;</w:t>
      </w:r>
      <w:r/>
    </w:p>
    <w:p>
      <w:pPr>
        <w:pStyle w:val="517"/>
        <w:numPr>
          <w:ilvl w:val="0"/>
          <w:numId w:val="3"/>
        </w:numPr>
        <w:ind w:left="540" w:right="-1" w:hanging="540"/>
        <w:jc w:val="both"/>
        <w:rPr>
          <w:rFonts w:ascii="Arial" w:hAnsi="Arial" w:cs="Arial"/>
          <w:sz w:val="24"/>
        </w:rPr>
      </w:pPr>
      <w:r>
        <w:rPr>
          <w:rFonts w:ascii="Arial" w:hAnsi="Arial" w:cs="Arial"/>
          <w:sz w:val="24"/>
        </w:rPr>
        <w:t xml:space="preserve">Підвищення ефективності виробництва електроенергії і тепла за рахунок технологічних удосконалень; мінімізація тепловтрат в мережах теплопостачання. Стимулювання інвестицій в генерацію і постачання тепла;</w:t>
      </w:r>
      <w:r/>
    </w:p>
    <w:p>
      <w:pPr>
        <w:pStyle w:val="517"/>
        <w:numPr>
          <w:ilvl w:val="0"/>
          <w:numId w:val="3"/>
        </w:numPr>
        <w:ind w:left="540" w:right="-1" w:hanging="540"/>
        <w:jc w:val="both"/>
        <w:rPr>
          <w:rFonts w:ascii="Arial" w:hAnsi="Arial" w:cs="Arial"/>
          <w:sz w:val="24"/>
        </w:rPr>
      </w:pPr>
      <w:r>
        <w:rPr>
          <w:rFonts w:ascii="Arial" w:hAnsi="Arial" w:cs="Arial"/>
          <w:sz w:val="24"/>
        </w:rPr>
        <w:t xml:space="preserve">Підвищення енергоефективності (технології, інвестиції, вдосконалення регулювання у відповідності до стандартів ЄС);</w:t>
      </w:r>
      <w:r/>
    </w:p>
    <w:p>
      <w:pPr>
        <w:pStyle w:val="517"/>
        <w:numPr>
          <w:ilvl w:val="0"/>
          <w:numId w:val="3"/>
        </w:numPr>
        <w:ind w:left="540" w:right="-1" w:hanging="540"/>
        <w:jc w:val="both"/>
        <w:rPr>
          <w:rFonts w:ascii="Arial" w:hAnsi="Arial" w:cs="Arial"/>
          <w:sz w:val="24"/>
        </w:rPr>
      </w:pPr>
      <w:r>
        <w:rPr>
          <w:rFonts w:ascii="Arial" w:hAnsi="Arial" w:cs="Arial"/>
          <w:sz w:val="24"/>
        </w:rPr>
        <w:t xml:space="preserve">Впровадження системи планування скорочення промислових викидів відповідно до Національного плану скорочення викидів та вимог Директиви 2010/75/ЄС);</w:t>
      </w:r>
      <w:r/>
    </w:p>
    <w:p>
      <w:pPr>
        <w:pStyle w:val="517"/>
        <w:numPr>
          <w:ilvl w:val="0"/>
          <w:numId w:val="2"/>
        </w:numPr>
        <w:ind w:left="540" w:right="-1" w:hanging="540"/>
        <w:jc w:val="both"/>
        <w:rPr>
          <w:rFonts w:ascii="Arial" w:hAnsi="Arial" w:cs="Arial"/>
          <w:sz w:val="24"/>
        </w:rPr>
      </w:pPr>
      <w:r>
        <w:rPr>
          <w:rFonts w:ascii="Arial" w:hAnsi="Arial" w:cs="Arial"/>
          <w:sz w:val="24"/>
        </w:rPr>
        <w:t xml:space="preserve">Впровадження технологій і заходів, спрямованих на підвищення енергоефективності та енергозбереження в комунальному і промисловому секторах (наприклад, </w:t>
      </w:r>
      <w:r>
        <w:rPr>
          <w:rFonts w:ascii="Arial" w:hAnsi="Arial" w:cs="Arial"/>
          <w:sz w:val="24"/>
        </w:rPr>
        <w:t xml:space="preserve">теплосанація</w:t>
      </w:r>
      <w:r>
        <w:rPr>
          <w:rFonts w:ascii="Arial" w:hAnsi="Arial" w:cs="Arial"/>
          <w:sz w:val="24"/>
        </w:rPr>
        <w:t xml:space="preserve"> будівель і </w:t>
      </w:r>
      <w:r>
        <w:rPr>
          <w:rFonts w:ascii="Arial" w:hAnsi="Arial" w:cs="Arial"/>
          <w:sz w:val="24"/>
        </w:rPr>
        <w:t xml:space="preserve">т.д</w:t>
      </w:r>
      <w:r>
        <w:rPr>
          <w:rFonts w:ascii="Arial" w:hAnsi="Arial" w:cs="Arial"/>
          <w:sz w:val="24"/>
        </w:rPr>
        <w:t xml:space="preserve">.);</w:t>
      </w:r>
      <w:r/>
    </w:p>
    <w:p>
      <w:pPr>
        <w:pStyle w:val="517"/>
        <w:numPr>
          <w:ilvl w:val="0"/>
          <w:numId w:val="2"/>
        </w:numPr>
        <w:ind w:left="540" w:right="-1" w:hanging="540"/>
        <w:jc w:val="both"/>
        <w:rPr>
          <w:rFonts w:ascii="Arial" w:hAnsi="Arial" w:cs="Arial"/>
          <w:sz w:val="24"/>
        </w:rPr>
      </w:pPr>
      <w:r>
        <w:rPr>
          <w:rFonts w:ascii="Arial" w:hAnsi="Arial" w:cs="Arial"/>
          <w:sz w:val="24"/>
        </w:rPr>
        <w:t xml:space="preserve">Підвищення енергетичної незалежності шляхом будівництва та введення в експлуатацію об'єктів відновлюваних джерел енергії;</w:t>
      </w:r>
      <w:r/>
    </w:p>
    <w:p>
      <w:pPr>
        <w:pStyle w:val="517"/>
        <w:numPr>
          <w:ilvl w:val="0"/>
          <w:numId w:val="2"/>
        </w:numPr>
        <w:ind w:left="540" w:right="-1" w:hanging="540"/>
        <w:jc w:val="both"/>
        <w:rPr>
          <w:rFonts w:ascii="Arial" w:hAnsi="Arial" w:cs="Arial"/>
          <w:sz w:val="24"/>
        </w:rPr>
      </w:pPr>
      <w:r>
        <w:rPr>
          <w:rFonts w:ascii="Arial" w:hAnsi="Arial" w:cs="Arial"/>
          <w:sz w:val="24"/>
        </w:rPr>
        <w:t xml:space="preserve">Стимулювання проектів і заходів, спрямованих на зниження споживання газу.</w:t>
      </w:r>
      <w:r/>
    </w:p>
    <w:p>
      <w:pPr>
        <w:pStyle w:val="517"/>
        <w:ind w:left="426" w:right="-1"/>
        <w:jc w:val="both"/>
        <w:rPr>
          <w:rFonts w:ascii="Arial" w:hAnsi="Arial" w:cs="Arial"/>
          <w:b/>
          <w:sz w:val="24"/>
        </w:rPr>
      </w:pPr>
      <w:r>
        <w:rPr>
          <w:rFonts w:ascii="Arial" w:hAnsi="Arial" w:cs="Arial"/>
          <w:b/>
          <w:sz w:val="24"/>
        </w:rPr>
      </w:r>
      <w:r/>
    </w:p>
    <w:p>
      <w:pPr>
        <w:pStyle w:val="517"/>
        <w:ind w:right="-1" w:firstLine="720"/>
        <w:jc w:val="both"/>
        <w:rPr>
          <w:rFonts w:ascii="Arial" w:hAnsi="Arial" w:cs="Arial"/>
          <w:b/>
          <w:sz w:val="24"/>
        </w:rPr>
      </w:pPr>
      <w:r>
        <w:rPr>
          <w:rFonts w:ascii="Arial" w:hAnsi="Arial" w:cs="Arial"/>
          <w:b/>
          <w:sz w:val="24"/>
        </w:rPr>
      </w:r>
      <w:r/>
    </w:p>
    <w:p>
      <w:pPr>
        <w:pStyle w:val="517"/>
        <w:ind w:right="-1" w:firstLine="720"/>
        <w:jc w:val="both"/>
        <w:rPr>
          <w:rFonts w:ascii="Arial" w:hAnsi="Arial" w:cs="Arial"/>
          <w:b/>
          <w:sz w:val="24"/>
        </w:rPr>
      </w:pPr>
      <w:r>
        <w:rPr>
          <w:rFonts w:ascii="Arial" w:hAnsi="Arial" w:cs="Arial"/>
          <w:b/>
          <w:sz w:val="24"/>
        </w:rPr>
      </w:r>
      <w:r/>
    </w:p>
    <w:p>
      <w:pPr>
        <w:pStyle w:val="517"/>
        <w:ind w:right="-1" w:firstLine="720"/>
        <w:jc w:val="both"/>
        <w:rPr>
          <w:rFonts w:ascii="Arial" w:hAnsi="Arial" w:cs="Arial"/>
          <w:b/>
          <w:sz w:val="24"/>
        </w:rPr>
      </w:pPr>
      <w:r>
        <w:rPr>
          <w:rFonts w:ascii="Arial" w:hAnsi="Arial" w:cs="Arial"/>
          <w:b/>
          <w:sz w:val="24"/>
        </w:rPr>
      </w:r>
      <w:r/>
    </w:p>
    <w:p>
      <w:pPr>
        <w:pStyle w:val="517"/>
        <w:ind w:right="-1" w:firstLine="720"/>
        <w:jc w:val="both"/>
        <w:rPr>
          <w:rFonts w:ascii="Arial" w:hAnsi="Arial" w:cs="Arial"/>
          <w:b/>
          <w:sz w:val="24"/>
        </w:rPr>
      </w:pPr>
      <w:r>
        <w:rPr>
          <w:rFonts w:ascii="Arial" w:hAnsi="Arial" w:cs="Arial"/>
          <w:b/>
          <w:sz w:val="24"/>
        </w:rPr>
      </w:r>
      <w:r/>
    </w:p>
    <w:p>
      <w:pPr>
        <w:pStyle w:val="517"/>
        <w:ind w:right="-1" w:firstLine="720"/>
        <w:jc w:val="both"/>
        <w:rPr>
          <w:rFonts w:ascii="Arial" w:hAnsi="Arial" w:cs="Arial"/>
          <w:b/>
          <w:sz w:val="24"/>
        </w:rPr>
      </w:pPr>
      <w:r>
        <w:rPr>
          <w:rFonts w:ascii="Arial" w:hAnsi="Arial" w:cs="Arial"/>
          <w:b/>
          <w:sz w:val="24"/>
        </w:rPr>
        <w:t xml:space="preserve">1.8</w:t>
      </w:r>
      <w:r>
        <w:rPr>
          <w:rFonts w:ascii="Arial" w:hAnsi="Arial" w:cs="Arial"/>
          <w:b/>
          <w:sz w:val="24"/>
        </w:rPr>
        <w:t xml:space="preserve">.2. Місцеві ініціативи</w:t>
      </w:r>
      <w:r/>
    </w:p>
    <w:p>
      <w:pPr>
        <w:pStyle w:val="517"/>
        <w:ind w:left="426" w:right="-1"/>
        <w:jc w:val="both"/>
        <w:rPr>
          <w:rFonts w:ascii="Arial" w:hAnsi="Arial" w:cs="Arial"/>
          <w:sz w:val="24"/>
        </w:rPr>
      </w:pPr>
      <w:r>
        <w:rPr>
          <w:rFonts w:ascii="Arial" w:hAnsi="Arial" w:cs="Arial"/>
          <w:sz w:val="24"/>
        </w:rPr>
      </w:r>
      <w:r/>
    </w:p>
    <w:p>
      <w:pPr>
        <w:pStyle w:val="517"/>
        <w:numPr>
          <w:ilvl w:val="0"/>
          <w:numId w:val="11"/>
        </w:numPr>
        <w:ind w:left="567" w:right="-1" w:hanging="567"/>
        <w:jc w:val="both"/>
        <w:rPr>
          <w:rFonts w:ascii="Arial" w:hAnsi="Arial" w:cs="Arial"/>
          <w:sz w:val="24"/>
        </w:rPr>
      </w:pPr>
      <w:r>
        <w:rPr>
          <w:rFonts w:ascii="Arial" w:hAnsi="Arial" w:cs="Arial"/>
          <w:sz w:val="24"/>
        </w:rPr>
        <w:t xml:space="preserve">Рішення 25 сесії </w:t>
      </w:r>
      <w:r>
        <w:rPr>
          <w:rFonts w:ascii="Arial" w:hAnsi="Arial" w:cs="Arial"/>
          <w:sz w:val="24"/>
          <w:lang w:val="en-US"/>
        </w:rPr>
        <w:t xml:space="preserve">VI</w:t>
      </w:r>
      <w:r>
        <w:rPr>
          <w:rFonts w:ascii="Arial" w:hAnsi="Arial" w:cs="Arial"/>
          <w:sz w:val="24"/>
        </w:rPr>
        <w:t xml:space="preserve"> скликання Менської міської ради від 13.02.2013 року «Про надання згоди на приєднання до Європейської ініціативи «Угода мерів»</w:t>
      </w:r>
      <w:r>
        <w:rPr>
          <w:rFonts w:ascii="Arial" w:hAnsi="Arial" w:cs="Arial"/>
          <w:sz w:val="24"/>
        </w:rPr>
        <w:t xml:space="preserve">;</w:t>
      </w:r>
      <w:r/>
    </w:p>
    <w:p>
      <w:pPr>
        <w:pStyle w:val="517"/>
        <w:numPr>
          <w:ilvl w:val="0"/>
          <w:numId w:val="11"/>
        </w:numPr>
        <w:ind w:left="567" w:right="-1" w:hanging="567"/>
        <w:jc w:val="both"/>
        <w:rPr>
          <w:rFonts w:ascii="Arial" w:hAnsi="Arial" w:cs="Arial"/>
          <w:sz w:val="24"/>
        </w:rPr>
      </w:pPr>
      <w:r>
        <w:rPr>
          <w:rFonts w:ascii="Arial" w:hAnsi="Arial" w:cs="Arial"/>
          <w:sz w:val="24"/>
        </w:rPr>
        <w:t xml:space="preserve">П</w:t>
      </w:r>
      <w:r>
        <w:rPr>
          <w:rFonts w:ascii="Arial" w:hAnsi="Arial" w:cs="Arial"/>
          <w:sz w:val="24"/>
        </w:rPr>
        <w:t xml:space="preserve">рограма відшкодування кредитів, отриманих ОСББ на впровадження заходів з енергозбереження у житловому фонді Менсько</w:t>
      </w:r>
      <w:r>
        <w:rPr>
          <w:rFonts w:ascii="Arial" w:hAnsi="Arial" w:cs="Arial"/>
          <w:sz w:val="24"/>
        </w:rPr>
        <w:t xml:space="preserve">ї міської </w:t>
      </w:r>
      <w:r>
        <w:rPr>
          <w:rFonts w:ascii="Arial" w:hAnsi="Arial" w:cs="Arial"/>
          <w:sz w:val="24"/>
        </w:rPr>
        <w:t xml:space="preserve">територіальної громади</w:t>
      </w:r>
      <w:r>
        <w:rPr>
          <w:rFonts w:ascii="Arial" w:hAnsi="Arial" w:cs="Arial"/>
          <w:sz w:val="24"/>
        </w:rPr>
        <w:t xml:space="preserve"> на 2020-2022 роки;</w:t>
      </w:r>
      <w:r/>
    </w:p>
    <w:p>
      <w:pPr>
        <w:pStyle w:val="517"/>
        <w:numPr>
          <w:ilvl w:val="0"/>
          <w:numId w:val="11"/>
        </w:numPr>
        <w:ind w:left="567" w:right="-1" w:hanging="567"/>
        <w:jc w:val="both"/>
        <w:rPr>
          <w:rFonts w:ascii="Arial" w:hAnsi="Arial" w:cs="Arial"/>
          <w:sz w:val="24"/>
        </w:rPr>
      </w:pPr>
      <w:r>
        <w:rPr>
          <w:rFonts w:ascii="Arial" w:hAnsi="Arial" w:cs="Arial"/>
          <w:sz w:val="24"/>
        </w:rPr>
        <w:t xml:space="preserve">Р</w:t>
      </w:r>
      <w:r>
        <w:rPr>
          <w:rFonts w:ascii="Arial" w:hAnsi="Arial" w:cs="Arial"/>
          <w:sz w:val="24"/>
        </w:rPr>
        <w:t xml:space="preserve">ішення двадцять четвертої сесії сьомого скликання</w:t>
      </w:r>
      <w:r>
        <w:rPr>
          <w:rFonts w:ascii="Arial" w:hAnsi="Arial" w:cs="Arial"/>
          <w:sz w:val="24"/>
        </w:rPr>
        <w:t xml:space="preserve"> </w:t>
      </w:r>
      <w:r>
        <w:rPr>
          <w:rFonts w:ascii="Arial" w:hAnsi="Arial" w:cs="Arial"/>
          <w:sz w:val="24"/>
        </w:rPr>
        <w:t xml:space="preserve">«Про проект Плану  соціально-економічного розвитку </w:t>
      </w:r>
      <w:r/>
    </w:p>
    <w:p>
      <w:pPr>
        <w:pStyle w:val="517"/>
        <w:ind w:left="567" w:right="-1"/>
        <w:jc w:val="both"/>
        <w:rPr>
          <w:rFonts w:ascii="Arial" w:hAnsi="Arial" w:cs="Arial"/>
          <w:sz w:val="24"/>
        </w:rPr>
      </w:pPr>
      <w:r>
        <w:rPr>
          <w:rFonts w:ascii="Arial" w:hAnsi="Arial" w:cs="Arial"/>
          <w:sz w:val="24"/>
        </w:rPr>
      </w:r>
      <w:r/>
    </w:p>
    <w:p>
      <w:pPr>
        <w:pStyle w:val="517"/>
        <w:ind w:left="567" w:right="-1"/>
        <w:jc w:val="both"/>
        <w:rPr>
          <w:rFonts w:ascii="Arial" w:hAnsi="Arial" w:cs="Arial"/>
          <w:sz w:val="24"/>
        </w:rPr>
      </w:pPr>
      <w:r>
        <w:rPr>
          <w:rFonts w:ascii="Arial" w:hAnsi="Arial" w:cs="Arial"/>
          <w:sz w:val="24"/>
        </w:rPr>
      </w:r>
      <w:r/>
    </w:p>
    <w:p>
      <w:pPr>
        <w:pStyle w:val="557"/>
        <w:rPr>
          <w:rFonts w:ascii="Arial" w:hAnsi="Arial" w:cs="Arial"/>
          <w:sz w:val="24"/>
        </w:rPr>
      </w:pPr>
      <w:r>
        <w:rPr>
          <w:rFonts w:ascii="Arial" w:hAnsi="Arial" w:cs="Arial"/>
          <w:sz w:val="24"/>
        </w:rPr>
      </w:r>
      <w:r/>
    </w:p>
    <w:p>
      <w:pPr>
        <w:pStyle w:val="517"/>
        <w:numPr>
          <w:ilvl w:val="0"/>
          <w:numId w:val="11"/>
        </w:numPr>
        <w:ind w:left="567" w:right="-1" w:hanging="567"/>
        <w:jc w:val="both"/>
        <w:rPr>
          <w:rFonts w:ascii="Arial" w:hAnsi="Arial" w:cs="Arial"/>
          <w:sz w:val="24"/>
        </w:rPr>
      </w:pPr>
      <w:r>
        <w:rPr>
          <w:rFonts w:ascii="Arial" w:hAnsi="Arial" w:cs="Arial"/>
          <w:sz w:val="24"/>
        </w:rPr>
        <w:t xml:space="preserve">Менської міської об’єднаної територіальної</w:t>
      </w:r>
      <w:r>
        <w:rPr>
          <w:rFonts w:ascii="Arial" w:hAnsi="Arial" w:cs="Arial"/>
          <w:sz w:val="24"/>
        </w:rPr>
        <w:t xml:space="preserve"> </w:t>
      </w:r>
      <w:r>
        <w:rPr>
          <w:rFonts w:ascii="Arial" w:hAnsi="Arial" w:cs="Arial"/>
          <w:sz w:val="24"/>
        </w:rPr>
        <w:t xml:space="preserve">громади на 2019-2020 роки»</w:t>
      </w:r>
      <w:r>
        <w:rPr>
          <w:rFonts w:ascii="Arial" w:hAnsi="Arial" w:cs="Arial"/>
          <w:sz w:val="24"/>
        </w:rPr>
        <w:t xml:space="preserve">;</w:t>
      </w:r>
      <w:r/>
    </w:p>
    <w:p>
      <w:pPr>
        <w:pStyle w:val="517"/>
        <w:numPr>
          <w:ilvl w:val="0"/>
          <w:numId w:val="11"/>
        </w:numPr>
        <w:ind w:left="567" w:right="-1" w:hanging="567"/>
        <w:jc w:val="both"/>
        <w:rPr>
          <w:rFonts w:ascii="Arial" w:hAnsi="Arial" w:cs="Arial"/>
          <w:sz w:val="24"/>
        </w:rPr>
      </w:pPr>
      <w:r>
        <w:rPr>
          <w:rFonts w:ascii="Arial" w:hAnsi="Arial" w:cs="Arial"/>
          <w:sz w:val="24"/>
        </w:rPr>
        <w:t xml:space="preserve">Підписання про приєднання до Меморандуму про співпрацю</w:t>
      </w:r>
      <w:r>
        <w:rPr>
          <w:rFonts w:ascii="Arial" w:hAnsi="Arial" w:cs="Arial"/>
          <w:sz w:val="24"/>
        </w:rPr>
        <w:t xml:space="preserve"> з експертним співтовариством. ;</w:t>
      </w:r>
      <w:r/>
    </w:p>
    <w:p>
      <w:pPr>
        <w:pStyle w:val="557"/>
        <w:numPr>
          <w:ilvl w:val="0"/>
          <w:numId w:val="11"/>
        </w:numPr>
        <w:ind w:left="567" w:hanging="567"/>
        <w:jc w:val="both"/>
        <w:rPr>
          <w:rFonts w:ascii="Arial" w:hAnsi="Arial" w:cs="Arial"/>
          <w:sz w:val="24"/>
          <w:szCs w:val="24"/>
          <w:lang w:val="uk-UA"/>
        </w:rPr>
      </w:pPr>
      <w:r>
        <w:rPr>
          <w:rFonts w:ascii="Arial" w:hAnsi="Arial" w:cs="Arial"/>
          <w:sz w:val="24"/>
          <w:szCs w:val="24"/>
          <w:lang w:val="uk-UA"/>
        </w:rPr>
        <w:t xml:space="preserve">Р</w:t>
      </w:r>
      <w:r>
        <w:rPr>
          <w:rFonts w:ascii="Arial" w:hAnsi="Arial" w:cs="Arial"/>
          <w:sz w:val="24"/>
          <w:szCs w:val="24"/>
          <w:lang w:val="uk-UA"/>
        </w:rPr>
        <w:t xml:space="preserve">ішення 12 сесії Менської міської ради 7 скликання від 27.03.2018 №97 «</w:t>
      </w:r>
      <w:r>
        <w:rPr>
          <w:rFonts w:ascii="Arial" w:hAnsi="Arial" w:cs="Arial"/>
          <w:color w:val="000000"/>
          <w:sz w:val="24"/>
          <w:szCs w:val="24"/>
          <w:lang w:val="uk-UA"/>
        </w:rPr>
        <w:t xml:space="preserve">Про затвердження Стратегії розвитку Менської міської об’єднаної  територіальної громади на 2018-2024 рр.»</w:t>
      </w:r>
      <w:r/>
    </w:p>
    <w:p>
      <w:pPr>
        <w:pStyle w:val="517"/>
        <w:ind w:right="-1"/>
        <w:jc w:val="both"/>
        <w:rPr>
          <w:rFonts w:ascii="Arial" w:hAnsi="Arial" w:cs="Arial"/>
          <w:sz w:val="24"/>
        </w:rPr>
      </w:pPr>
      <w:r>
        <w:rPr>
          <w:rFonts w:ascii="Arial" w:hAnsi="Arial" w:cs="Arial"/>
          <w:sz w:val="24"/>
        </w:rPr>
      </w:r>
      <w:r/>
    </w:p>
    <w:p>
      <w:pPr>
        <w:pStyle w:val="517"/>
        <w:ind w:right="-1"/>
        <w:jc w:val="both"/>
        <w:rPr>
          <w:rFonts w:ascii="Arial" w:hAnsi="Arial" w:cs="Arial"/>
          <w:sz w:val="24"/>
        </w:rPr>
        <w:sectPr>
          <w:footnotePr/>
          <w:type w:val="continuous"/>
          <w:pgSz w:w="16838" w:h="11906" w:orient="landscape"/>
          <w:pgMar w:top="1134" w:right="1134" w:bottom="851" w:left="1418" w:header="709" w:footer="709"/>
          <w:cols w:num="2" w:sep="0" w:space="424" w:equalWidth="0">
            <w:col w:w="6789" w:space="708"/>
            <w:col w:w="6789" w:space="0"/>
          </w:cols>
          <w:docGrid w:linePitch="360"/>
          <w:titlePg/>
        </w:sectPr>
      </w:pPr>
      <w:r>
        <w:rPr>
          <w:rFonts w:ascii="Arial" w:hAnsi="Arial" w:cs="Arial"/>
          <w:sz w:val="24"/>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jc w:val="center"/>
        <w:spacing w:lineRule="auto" w:line="240" w:after="0"/>
        <w:rPr>
          <w:rFonts w:ascii="Arial" w:hAnsi="Arial" w:cs="Arial"/>
          <w:b/>
          <w:sz w:val="40"/>
          <w:szCs w:val="40"/>
          <w:lang w:val="uk-UA"/>
        </w:rPr>
      </w:pPr>
      <w:r>
        <w:rPr>
          <w:rFonts w:ascii="Arial" w:hAnsi="Arial" w:cs="Arial"/>
          <w:b/>
          <w:sz w:val="40"/>
          <w:szCs w:val="40"/>
          <w:lang w:val="uk-UA"/>
        </w:rPr>
        <w:t xml:space="preserve">РОЗДІЛ 2. </w:t>
      </w:r>
      <w:r>
        <w:rPr>
          <w:rFonts w:ascii="Arial" w:hAnsi="Arial" w:cs="Arial"/>
          <w:b/>
          <w:sz w:val="40"/>
          <w:szCs w:val="40"/>
          <w:lang w:val="uk-UA"/>
        </w:rPr>
        <w:t xml:space="preserve">АНАЛІЗ ВИРОБНИЦТВА ТА </w:t>
      </w:r>
      <w:r>
        <w:rPr>
          <w:rFonts w:ascii="Arial" w:hAnsi="Arial" w:cs="Arial"/>
          <w:b/>
          <w:sz w:val="40"/>
          <w:szCs w:val="40"/>
          <w:lang w:val="uk-UA"/>
        </w:rPr>
        <w:t xml:space="preserve">СПОЖИВАННЯ</w:t>
      </w:r>
      <w:r/>
    </w:p>
    <w:p>
      <w:pPr>
        <w:jc w:val="center"/>
        <w:spacing w:lineRule="auto" w:line="240" w:after="0"/>
        <w:rPr>
          <w:rFonts w:ascii="Arial" w:hAnsi="Arial" w:cs="Arial"/>
          <w:b/>
          <w:sz w:val="40"/>
          <w:szCs w:val="40"/>
          <w:lang w:val="uk-UA"/>
        </w:rPr>
      </w:pPr>
      <w:r>
        <w:rPr>
          <w:rFonts w:ascii="Arial" w:hAnsi="Arial" w:cs="Arial"/>
          <w:b/>
          <w:sz w:val="40"/>
          <w:szCs w:val="40"/>
          <w:lang w:val="uk-UA"/>
        </w:rPr>
        <w:t xml:space="preserve">ЕНЕРГЕТИЧНИХ РЕСУРСІВ</w:t>
      </w:r>
      <w:r/>
    </w:p>
    <w:p>
      <w:pPr>
        <w:ind w:right="-1" w:firstLine="720"/>
        <w:spacing w:lineRule="auto" w:line="240" w:after="0"/>
        <w:rPr>
          <w:rFonts w:ascii="Arial" w:hAnsi="Arial" w:cs="Arial"/>
          <w:b/>
          <w:sz w:val="24"/>
          <w:szCs w:val="24"/>
          <w:lang w:val="uk-UA"/>
        </w:rPr>
      </w:pPr>
      <w:r>
        <w:rPr>
          <w:rFonts w:ascii="Arial" w:hAnsi="Arial" w:cs="Arial"/>
          <w:b/>
          <w:sz w:val="24"/>
          <w:szCs w:val="24"/>
          <w:lang w:val="uk-UA"/>
        </w:rPr>
      </w:r>
      <w:r/>
    </w:p>
    <w:p>
      <w:pPr>
        <w:ind w:right="-1" w:firstLine="720"/>
        <w:jc w:val="center"/>
        <w:spacing w:lineRule="auto" w:line="240" w:after="0"/>
        <w:rPr>
          <w:rFonts w:ascii="Arial" w:hAnsi="Arial" w:cs="Arial"/>
          <w:b/>
          <w:sz w:val="28"/>
          <w:szCs w:val="28"/>
          <w:lang w:val="uk-UA"/>
        </w:rPr>
      </w:pPr>
      <w:r>
        <w:rPr>
          <w:rFonts w:ascii="Arial" w:hAnsi="Arial" w:cs="Arial"/>
          <w:b/>
          <w:sz w:val="28"/>
          <w:szCs w:val="28"/>
          <w:lang w:val="uk-UA"/>
        </w:rPr>
        <w:t xml:space="preserve">2.1. Основні споживачі енергоресурсів у </w:t>
      </w:r>
      <w:r>
        <w:rPr>
          <w:rFonts w:ascii="Arial" w:hAnsi="Arial" w:cs="Arial"/>
          <w:b/>
          <w:sz w:val="28"/>
          <w:szCs w:val="28"/>
          <w:lang w:val="uk-UA"/>
        </w:rPr>
        <w:t xml:space="preserve">громаді</w:t>
      </w:r>
      <w:r/>
    </w:p>
    <w:p>
      <w:pPr>
        <w:ind w:right="-1" w:firstLine="720"/>
        <w:jc w:val="center"/>
        <w:spacing w:lineRule="auto" w:line="240" w:after="0"/>
        <w:rPr>
          <w:rFonts w:ascii="Arial" w:hAnsi="Arial" w:cs="Arial"/>
          <w:b/>
          <w:sz w:val="28"/>
          <w:szCs w:val="28"/>
          <w:lang w:val="uk-UA"/>
        </w:rPr>
      </w:pPr>
      <w:r>
        <w:rPr>
          <w:rFonts w:ascii="Arial" w:hAnsi="Arial" w:cs="Arial"/>
          <w:b/>
          <w:sz w:val="28"/>
          <w:szCs w:val="28"/>
          <w:lang w:val="uk-UA"/>
        </w:rPr>
      </w:r>
      <w:r/>
    </w:p>
    <w:p>
      <w:pPr>
        <w:ind w:right="-1" w:firstLine="720"/>
        <w:jc w:val="center"/>
        <w:spacing w:lineRule="auto" w:line="240" w:after="0"/>
        <w:rPr>
          <w:rFonts w:ascii="Arial" w:hAnsi="Arial" w:cs="Arial"/>
          <w:b/>
          <w:sz w:val="28"/>
          <w:szCs w:val="28"/>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sz w:val="28"/>
          <w:szCs w:val="28"/>
          <w:lang w:val="uk-UA"/>
        </w:rPr>
      </w:r>
      <w:r/>
    </w:p>
    <w:p>
      <w:pPr>
        <w:pStyle w:val="517"/>
        <w:ind w:right="-1"/>
        <w:jc w:val="both"/>
        <w:rPr>
          <w:rFonts w:ascii="Arial" w:hAnsi="Arial" w:cs="Arial"/>
          <w:b/>
          <w:sz w:val="24"/>
        </w:rPr>
      </w:pPr>
      <w:r>
        <w:rPr>
          <w:lang w:eastAsia="uk-UA"/>
        </w:rPr>
        <mc:AlternateContent>
          <mc:Choice Requires="wpg">
            <w:drawing>
              <wp:anchor xmlns:wp="http://schemas.openxmlformats.org/drawingml/2006/wordprocessingDrawing" distT="0" distB="0" distL="114300" distR="114300" simplePos="0" relativeHeight="251675648" behindDoc="0" locked="0" layoutInCell="1" allowOverlap="1">
                <wp:simplePos x="0" y="0"/>
                <wp:positionH relativeFrom="page">
                  <wp:align>center</wp:align>
                </wp:positionH>
                <wp:positionV relativeFrom="paragraph">
                  <wp:posOffset>156845</wp:posOffset>
                </wp:positionV>
                <wp:extent cx="3619500" cy="2239010"/>
                <wp:effectExtent l="0" t="0" r="0" b="8890"/>
                <wp:wrapSquare wrapText="bothSides"/>
                <wp:docPr id="15" name="Рисунок 12" descr="Топонімічні назви м. Мена - Менський краєзнавчий музей імені В.Ф Покотила"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Picture 3" descr="Топонімічні назви м. Мена - Менський краєзнавчий музей імені В.Ф Покотила" hidden="0"/>
                        <pic:cNvPicPr>
                          <a:picLocks noChangeAspect="1"/>
                        </pic:cNvPicPr>
                      </pic:nvPicPr>
                      <pic:blipFill>
                        <a:blip r:embed="rId22"/>
                        <a:stretch/>
                      </pic:blipFill>
                      <pic:spPr bwMode="auto">
                        <a:xfrm>
                          <a:off x="0" y="0"/>
                          <a:ext cx="3619500" cy="223901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75648;o:allowoverlap:true;o:allowincell:true;mso-position-horizontal-relative:page;mso-position-horizontal:center;mso-position-vertical-relative:text;margin-top:12.3pt;mso-position-vertical:absolute;width:285.0pt;height:176.3pt;">
                <v:path textboxrect="0,0,0,0"/>
                <v:imagedata r:id="rId22" o:title=""/>
              </v:shape>
            </w:pict>
          </mc:Fallback>
        </mc:AlternateContent>
      </w:r>
      <w:r/>
    </w:p>
    <w:p>
      <w:pPr>
        <w:pStyle w:val="517"/>
        <w:ind w:right="-1" w:firstLine="720"/>
        <w:jc w:val="both"/>
        <w:rPr>
          <w:rFonts w:ascii="Arial" w:hAnsi="Arial" w:cs="Arial"/>
          <w:b/>
          <w:sz w:val="24"/>
        </w:rPr>
      </w:pPr>
      <w:r>
        <w:rPr>
          <w:rFonts w:ascii="Arial" w:hAnsi="Arial" w:cs="Arial"/>
          <w:b/>
          <w:sz w:val="24"/>
        </w:rPr>
        <w:t xml:space="preserve">2.1.1</w:t>
      </w:r>
      <w:r>
        <w:rPr>
          <w:rFonts w:ascii="Arial" w:hAnsi="Arial" w:cs="Arial"/>
          <w:b/>
          <w:sz w:val="24"/>
        </w:rPr>
        <w:t xml:space="preserve">.</w:t>
      </w:r>
      <w:r>
        <w:rPr>
          <w:rFonts w:ascii="Arial" w:hAnsi="Arial" w:cs="Arial"/>
          <w:sz w:val="24"/>
        </w:rPr>
        <w:tab/>
      </w:r>
      <w:r>
        <w:rPr>
          <w:rFonts w:ascii="Arial" w:hAnsi="Arial" w:cs="Arial"/>
          <w:b/>
          <w:sz w:val="24"/>
        </w:rPr>
        <w:t xml:space="preserve">Житловий фонд</w:t>
      </w:r>
      <w:r/>
    </w:p>
    <w:p>
      <w:pPr>
        <w:pStyle w:val="517"/>
        <w:ind w:right="-1" w:firstLine="720"/>
        <w:jc w:val="both"/>
        <w:rPr>
          <w:rFonts w:ascii="Arial" w:hAnsi="Arial" w:cs="Arial"/>
          <w:b/>
          <w:color w:val="7030A0"/>
          <w:sz w:val="24"/>
        </w:rPr>
      </w:pPr>
      <w:r>
        <w:rPr>
          <w:rFonts w:ascii="Arial" w:hAnsi="Arial" w:cs="Arial"/>
          <w:b/>
          <w:color w:val="7030A0"/>
          <w:sz w:val="24"/>
        </w:rPr>
      </w:r>
      <w:r/>
    </w:p>
    <w:p>
      <w:pPr>
        <w:ind w:right="-1" w:firstLine="709"/>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Житловий фонд </w:t>
      </w:r>
      <w:r>
        <w:rPr>
          <w:rFonts w:ascii="Arial" w:hAnsi="Arial" w:cs="Arial"/>
          <w:sz w:val="24"/>
          <w:szCs w:val="24"/>
          <w:lang w:val="uk-UA" w:eastAsia="ru-RU"/>
        </w:rPr>
        <w:t xml:space="preserve">Менської міської територіальної громади налічує: </w:t>
      </w:r>
      <w:r/>
    </w:p>
    <w:p>
      <w:pPr>
        <w:ind w:right="-1" w:firstLine="709"/>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    </w:t>
      </w:r>
      <w:r>
        <w:rPr>
          <w:rFonts w:ascii="Arial" w:hAnsi="Arial" w:cs="Arial"/>
          <w:sz w:val="24"/>
          <w:szCs w:val="24"/>
          <w:lang w:val="uk-UA" w:eastAsia="ru-RU"/>
        </w:rPr>
        <w:t xml:space="preserve">кількість приватних будинків – </w:t>
      </w:r>
      <w:r>
        <w:rPr>
          <w:rFonts w:ascii="Arial" w:hAnsi="Arial" w:cs="Arial"/>
          <w:sz w:val="24"/>
          <w:szCs w:val="24"/>
          <w:lang w:val="uk-UA" w:eastAsia="ru-RU"/>
        </w:rPr>
        <w:t xml:space="preserve">17 678</w:t>
      </w:r>
      <w:r>
        <w:rPr>
          <w:rFonts w:ascii="Arial" w:hAnsi="Arial" w:cs="Arial"/>
          <w:sz w:val="24"/>
          <w:szCs w:val="24"/>
          <w:lang w:val="uk-UA" w:eastAsia="ru-RU"/>
        </w:rPr>
        <w:t xml:space="preserve"> одиниць</w:t>
      </w:r>
      <w:r/>
    </w:p>
    <w:p>
      <w:pPr>
        <w:ind w:right="-1" w:firstLine="709"/>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 </w:t>
      </w:r>
      <w:r>
        <w:rPr>
          <w:rFonts w:ascii="Arial" w:hAnsi="Arial" w:cs="Arial"/>
          <w:sz w:val="24"/>
          <w:szCs w:val="24"/>
          <w:lang w:val="uk-UA" w:eastAsia="ru-RU"/>
        </w:rPr>
        <w:t xml:space="preserve">кількість багатоповерхових будинків</w:t>
      </w:r>
      <w:r>
        <w:rPr>
          <w:rFonts w:ascii="Arial" w:hAnsi="Arial" w:cs="Arial"/>
          <w:sz w:val="24"/>
          <w:szCs w:val="24"/>
          <w:lang w:val="uk-UA" w:eastAsia="ru-RU"/>
        </w:rPr>
        <w:t xml:space="preserve"> - 110</w:t>
      </w:r>
      <w:r>
        <w:rPr>
          <w:rFonts w:ascii="Arial" w:hAnsi="Arial" w:cs="Arial"/>
          <w:sz w:val="24"/>
          <w:szCs w:val="24"/>
          <w:lang w:val="uk-UA" w:eastAsia="ru-RU"/>
        </w:rPr>
        <w:t xml:space="preserve"> </w:t>
      </w:r>
      <w:r>
        <w:rPr>
          <w:rFonts w:ascii="Arial" w:hAnsi="Arial" w:cs="Arial"/>
          <w:sz w:val="24"/>
          <w:szCs w:val="24"/>
          <w:lang w:val="uk-UA" w:eastAsia="ru-RU"/>
        </w:rPr>
        <w:t xml:space="preserve">одиниць </w:t>
      </w:r>
      <w:r>
        <w:rPr>
          <w:rFonts w:ascii="Arial" w:hAnsi="Arial" w:cs="Arial"/>
          <w:sz w:val="24"/>
          <w:szCs w:val="24"/>
          <w:lang w:val="uk-UA" w:eastAsia="ru-RU"/>
        </w:rPr>
        <w:t xml:space="preserve">з них 7 </w:t>
      </w:r>
      <w:r>
        <w:rPr>
          <w:rFonts w:ascii="Arial" w:hAnsi="Arial" w:cs="Arial"/>
          <w:sz w:val="24"/>
          <w:szCs w:val="24"/>
          <w:lang w:val="uk-UA" w:eastAsia="ru-RU"/>
        </w:rPr>
        <w:t xml:space="preserve">п’ятиповерхівок</w:t>
      </w:r>
      <w:r>
        <w:rPr>
          <w:rFonts w:ascii="Arial" w:hAnsi="Arial" w:cs="Arial"/>
          <w:sz w:val="24"/>
          <w:szCs w:val="24"/>
          <w:lang w:val="uk-UA" w:eastAsia="ru-RU"/>
        </w:rPr>
        <w:t xml:space="preserve"> та 103 </w:t>
      </w:r>
      <w:r>
        <w:rPr>
          <w:rFonts w:ascii="Arial" w:hAnsi="Arial" w:cs="Arial"/>
          <w:sz w:val="24"/>
          <w:szCs w:val="24"/>
          <w:lang w:val="uk-UA" w:eastAsia="ru-RU"/>
        </w:rPr>
        <w:t xml:space="preserve">двоповерхівки</w:t>
      </w:r>
      <w:r>
        <w:rPr>
          <w:rFonts w:ascii="Arial" w:hAnsi="Arial" w:cs="Arial"/>
          <w:sz w:val="24"/>
          <w:szCs w:val="24"/>
          <w:lang w:val="uk-UA" w:eastAsia="ru-RU"/>
        </w:rPr>
        <w:t xml:space="preserve">, ліфти відсутні. В </w:t>
      </w:r>
      <w:r>
        <w:rPr>
          <w:rFonts w:ascii="Arial" w:hAnsi="Arial" w:cs="Arial"/>
          <w:sz w:val="24"/>
          <w:szCs w:val="24"/>
          <w:lang w:val="uk-UA" w:eastAsia="ru-RU"/>
        </w:rPr>
        <w:t xml:space="preserve">п’ятиповерхівках</w:t>
      </w:r>
      <w:r>
        <w:rPr>
          <w:rFonts w:ascii="Arial" w:hAnsi="Arial" w:cs="Arial"/>
          <w:sz w:val="24"/>
          <w:szCs w:val="24"/>
          <w:lang w:val="uk-UA" w:eastAsia="ru-RU"/>
        </w:rPr>
        <w:t xml:space="preserve"> в середньому – 56 квартир, в </w:t>
      </w:r>
      <w:r>
        <w:rPr>
          <w:rFonts w:ascii="Arial" w:hAnsi="Arial" w:cs="Arial"/>
          <w:sz w:val="24"/>
          <w:szCs w:val="24"/>
          <w:lang w:val="uk-UA" w:eastAsia="ru-RU"/>
        </w:rPr>
        <w:t xml:space="preserve">двохповерхівці</w:t>
      </w:r>
      <w:r>
        <w:rPr>
          <w:rFonts w:ascii="Arial" w:hAnsi="Arial" w:cs="Arial"/>
          <w:sz w:val="24"/>
          <w:szCs w:val="24"/>
          <w:lang w:val="uk-UA" w:eastAsia="ru-RU"/>
        </w:rPr>
        <w:t xml:space="preserve"> – 14 квартир.</w:t>
      </w:r>
      <w:r/>
    </w:p>
    <w:p>
      <w:pPr>
        <w:ind w:right="-1" w:firstLine="709"/>
        <w:jc w:val="both"/>
        <w:spacing w:lineRule="auto" w:line="240" w:after="0"/>
        <w:rPr>
          <w:rFonts w:ascii="Arial" w:hAnsi="Arial" w:cs="Arial"/>
          <w:sz w:val="24"/>
          <w:szCs w:val="24"/>
          <w:vertAlign w:val="superscript"/>
          <w:lang w:val="uk-UA" w:eastAsia="ru-RU"/>
        </w:rPr>
      </w:pPr>
      <w:r>
        <w:rPr>
          <w:rFonts w:ascii="Arial" w:hAnsi="Arial" w:cs="Arial"/>
          <w:sz w:val="24"/>
          <w:szCs w:val="24"/>
          <w:lang w:val="uk-UA" w:eastAsia="ru-RU"/>
        </w:rPr>
        <w:t xml:space="preserve">З</w:t>
      </w:r>
      <w:r>
        <w:rPr>
          <w:rFonts w:ascii="Arial" w:hAnsi="Arial" w:cs="Arial"/>
          <w:sz w:val="24"/>
          <w:szCs w:val="24"/>
          <w:lang w:val="uk-UA" w:eastAsia="ru-RU"/>
        </w:rPr>
        <w:t xml:space="preserve">агальна площа житлового фонду в м2 с</w:t>
      </w:r>
      <w:r>
        <w:rPr>
          <w:rFonts w:ascii="Arial" w:hAnsi="Arial" w:cs="Arial"/>
          <w:sz w:val="24"/>
          <w:szCs w:val="24"/>
          <w:lang w:val="uk-UA" w:eastAsia="ru-RU"/>
        </w:rPr>
        <w:t xml:space="preserve">кладає – </w:t>
      </w:r>
      <w:r>
        <w:rPr>
          <w:rFonts w:ascii="Arial" w:hAnsi="Arial" w:cs="Arial"/>
          <w:sz w:val="24"/>
          <w:szCs w:val="24"/>
          <w:lang w:val="uk-UA" w:eastAsia="ru-RU"/>
        </w:rPr>
        <w:t xml:space="preserve">1 065 940</w:t>
      </w:r>
      <w:r>
        <w:rPr>
          <w:rFonts w:ascii="Arial" w:hAnsi="Arial" w:cs="Arial"/>
          <w:sz w:val="24"/>
          <w:szCs w:val="24"/>
          <w:lang w:val="uk-UA" w:eastAsia="ru-RU"/>
        </w:rPr>
        <w:t xml:space="preserve">м</w:t>
      </w:r>
      <w:r>
        <w:rPr>
          <w:rFonts w:ascii="Arial" w:hAnsi="Arial" w:cs="Arial"/>
          <w:sz w:val="24"/>
          <w:szCs w:val="24"/>
          <w:vertAlign w:val="superscript"/>
          <w:lang w:val="uk-UA" w:eastAsia="ru-RU"/>
        </w:rPr>
        <w:t xml:space="preserve">2</w:t>
      </w:r>
      <w:r/>
    </w:p>
    <w:p>
      <w:pPr>
        <w:ind w:right="-1" w:firstLine="709"/>
        <w:jc w:val="both"/>
        <w:spacing w:lineRule="auto" w:line="240" w:after="0"/>
        <w:rPr>
          <w:rFonts w:ascii="Arial" w:hAnsi="Arial" w:cs="Arial"/>
          <w:sz w:val="24"/>
          <w:lang w:val="uk-UA"/>
        </w:rPr>
      </w:pPr>
      <w:r>
        <w:rPr>
          <w:rFonts w:ascii="Arial" w:hAnsi="Arial" w:cs="Arial"/>
          <w:sz w:val="24"/>
          <w:lang w:val="uk-UA"/>
        </w:rPr>
        <w:t xml:space="preserve">Нині у </w:t>
      </w:r>
      <w:r>
        <w:rPr>
          <w:rFonts w:ascii="Arial" w:hAnsi="Arial" w:cs="Arial"/>
          <w:sz w:val="24"/>
          <w:lang w:val="uk-UA"/>
        </w:rPr>
        <w:t xml:space="preserve">громаді функціонує 22 </w:t>
      </w:r>
      <w:r>
        <w:rPr>
          <w:rFonts w:ascii="Arial" w:hAnsi="Arial" w:cs="Arial"/>
          <w:sz w:val="24"/>
          <w:lang w:val="uk-UA"/>
        </w:rPr>
        <w:t xml:space="preserve">ОСББ.</w:t>
      </w:r>
      <w:r/>
    </w:p>
    <w:p>
      <w:pPr>
        <w:ind w:right="-1"/>
        <w:spacing w:lineRule="auto" w:line="240" w:after="0"/>
        <w:rPr>
          <w:rFonts w:ascii="Arial" w:hAnsi="Arial" w:cs="Arial"/>
          <w:b/>
          <w:sz w:val="24"/>
          <w:lang w:val="uk-UA"/>
        </w:rPr>
      </w:pPr>
      <w:r>
        <w:rPr>
          <w:rFonts w:ascii="Arial" w:hAnsi="Arial" w:cs="Arial"/>
          <w:b/>
          <w:sz w:val="24"/>
          <w:lang w:val="uk-UA"/>
        </w:rPr>
      </w:r>
      <w:r/>
    </w:p>
    <w:p>
      <w:pPr>
        <w:ind w:right="-1" w:firstLine="709"/>
        <w:spacing w:lineRule="auto" w:line="240" w:after="0"/>
        <w:rPr>
          <w:rFonts w:ascii="Arial" w:hAnsi="Arial" w:cs="Arial"/>
          <w:b/>
          <w:sz w:val="24"/>
          <w:szCs w:val="24"/>
          <w:lang w:val="uk-UA"/>
        </w:rPr>
      </w:pPr>
      <w:r>
        <w:rPr>
          <w:rFonts w:ascii="Arial" w:hAnsi="Arial" w:cs="Arial"/>
          <w:b/>
          <w:sz w:val="24"/>
          <w:lang w:val="uk-UA"/>
        </w:rPr>
        <w:t xml:space="preserve">2.1.2</w:t>
      </w:r>
      <w:r>
        <w:rPr>
          <w:rFonts w:ascii="Arial" w:hAnsi="Arial" w:cs="Arial"/>
          <w:b/>
          <w:sz w:val="24"/>
          <w:lang w:val="uk-UA"/>
        </w:rPr>
        <w:t xml:space="preserve">.</w:t>
      </w:r>
      <w:r>
        <w:rPr>
          <w:rFonts w:ascii="Arial" w:hAnsi="Arial" w:cs="Arial"/>
          <w:b/>
          <w:sz w:val="24"/>
          <w:szCs w:val="24"/>
          <w:lang w:val="uk-UA"/>
        </w:rPr>
        <w:t xml:space="preserve"> Муніципальні об’єкти</w:t>
      </w:r>
      <w:r/>
    </w:p>
    <w:p>
      <w:pPr>
        <w:ind w:right="-1" w:firstLine="709"/>
        <w:spacing w:lineRule="auto" w:line="240" w:after="0"/>
        <w:rPr>
          <w:rFonts w:ascii="Arial" w:hAnsi="Arial" w:cs="Arial"/>
          <w:b/>
          <w:sz w:val="24"/>
          <w:szCs w:val="24"/>
          <w:lang w:val="uk-UA"/>
        </w:rPr>
      </w:pPr>
      <w:r>
        <w:rPr>
          <w:rFonts w:ascii="Arial" w:hAnsi="Arial" w:cs="Arial"/>
          <w:b/>
          <w:sz w:val="24"/>
          <w:szCs w:val="24"/>
          <w:lang w:val="uk-UA"/>
        </w:rPr>
      </w:r>
      <w:r/>
    </w:p>
    <w:p>
      <w:pPr>
        <w:ind w:firstLine="709"/>
        <w:jc w:val="both"/>
        <w:spacing w:lineRule="auto" w:line="240" w:after="100" w:before="100"/>
        <w:rPr>
          <w:rFonts w:ascii="Arial" w:hAnsi="Arial" w:cs="Arial"/>
          <w:color w:val="000000"/>
          <w:sz w:val="24"/>
          <w:szCs w:val="24"/>
          <w:lang w:val="uk-UA"/>
        </w:rPr>
      </w:pPr>
      <w:r>
        <w:rPr>
          <w:rFonts w:ascii="Arial" w:hAnsi="Arial" w:cs="Arial"/>
          <w:color w:val="000000" w:themeColor="text1"/>
          <w:sz w:val="24"/>
          <w:szCs w:val="24"/>
          <w:lang w:val="uk-UA"/>
        </w:rPr>
        <w:t xml:space="preserve">Мережа муніципальних будівель громади представлена:</w:t>
      </w:r>
      <w:r/>
    </w:p>
    <w:p>
      <w:pPr>
        <w:pStyle w:val="544"/>
        <w:numPr>
          <w:ilvl w:val="0"/>
          <w:numId w:val="20"/>
        </w:numPr>
        <w:rPr>
          <w:rFonts w:ascii="Arial" w:hAnsi="Arial" w:cs="Arial"/>
          <w:lang w:val="uk-UA"/>
        </w:rPr>
      </w:pPr>
      <w:r>
        <w:rPr>
          <w:rFonts w:ascii="Arial" w:hAnsi="Arial" w:cs="Arial"/>
          <w:lang w:val="uk-UA"/>
        </w:rPr>
        <w:t xml:space="preserve">Школи</w:t>
      </w:r>
      <w:r>
        <w:rPr>
          <w:rFonts w:ascii="Arial" w:hAnsi="Arial" w:cs="Arial"/>
          <w:lang w:val="uk-UA"/>
        </w:rPr>
        <w:t xml:space="preserve"> – 20</w:t>
      </w:r>
      <w:r>
        <w:rPr>
          <w:rFonts w:ascii="Arial" w:hAnsi="Arial" w:cs="Arial"/>
          <w:lang w:val="uk-UA"/>
        </w:rPr>
        <w:t xml:space="preserve"> </w:t>
      </w:r>
      <w:r>
        <w:rPr>
          <w:rFonts w:ascii="Arial" w:hAnsi="Arial" w:cs="Arial"/>
          <w:lang w:val="uk-UA"/>
        </w:rPr>
        <w:t xml:space="preserve">шт</w:t>
      </w:r>
      <w:r>
        <w:rPr>
          <w:rFonts w:ascii="Arial" w:hAnsi="Arial" w:cs="Arial"/>
          <w:lang w:val="uk-UA"/>
        </w:rPr>
        <w:t xml:space="preserve">;</w:t>
      </w:r>
      <w:r>
        <w:rPr>
          <w:rFonts w:ascii="Arial" w:hAnsi="Arial" w:cs="Arial"/>
          <w:lang w:val="uk-UA"/>
        </w:rPr>
        <w:tab/>
      </w:r>
      <w:r/>
    </w:p>
    <w:p>
      <w:pPr>
        <w:pStyle w:val="544"/>
        <w:numPr>
          <w:ilvl w:val="0"/>
          <w:numId w:val="20"/>
        </w:numPr>
        <w:rPr>
          <w:rFonts w:ascii="Arial" w:hAnsi="Arial" w:cs="Arial"/>
          <w:lang w:val="uk-UA"/>
        </w:rPr>
      </w:pPr>
      <w:r>
        <w:rPr>
          <w:rFonts w:ascii="Arial" w:hAnsi="Arial" w:cs="Arial"/>
          <w:lang w:val="uk-UA"/>
        </w:rPr>
        <w:t xml:space="preserve">Дитячі садки</w:t>
      </w:r>
      <w:r>
        <w:rPr>
          <w:rFonts w:ascii="Arial" w:hAnsi="Arial" w:cs="Arial"/>
          <w:lang w:val="uk-UA"/>
        </w:rPr>
        <w:t xml:space="preserve"> – 17</w:t>
      </w:r>
      <w:r>
        <w:rPr>
          <w:rFonts w:ascii="Arial" w:hAnsi="Arial" w:cs="Arial"/>
          <w:lang w:val="uk-UA"/>
        </w:rPr>
        <w:t xml:space="preserve"> </w:t>
      </w:r>
      <w:r>
        <w:rPr>
          <w:rFonts w:ascii="Arial" w:hAnsi="Arial" w:cs="Arial"/>
          <w:lang w:val="uk-UA"/>
        </w:rPr>
        <w:t xml:space="preserve">шт</w:t>
      </w:r>
      <w:r>
        <w:rPr>
          <w:rFonts w:ascii="Arial" w:hAnsi="Arial" w:cs="Arial"/>
          <w:lang w:val="uk-UA"/>
        </w:rPr>
        <w:t xml:space="preserve">;</w:t>
      </w:r>
      <w:r>
        <w:rPr>
          <w:rFonts w:ascii="Arial" w:hAnsi="Arial" w:cs="Arial"/>
          <w:lang w:val="uk-UA"/>
        </w:rPr>
        <w:tab/>
      </w:r>
      <w:r/>
    </w:p>
    <w:p>
      <w:pPr>
        <w:pStyle w:val="544"/>
        <w:numPr>
          <w:ilvl w:val="0"/>
          <w:numId w:val="20"/>
        </w:numPr>
        <w:rPr>
          <w:rFonts w:ascii="Arial" w:hAnsi="Arial" w:cs="Arial"/>
          <w:lang w:val="uk-UA"/>
        </w:rPr>
      </w:pPr>
      <w:r>
        <w:rPr>
          <w:rFonts w:ascii="Arial" w:hAnsi="Arial" w:cs="Arial"/>
          <w:lang w:val="uk-UA"/>
        </w:rPr>
        <w:t xml:space="preserve">Заклади позашкільної освіти</w:t>
      </w:r>
      <w:r>
        <w:rPr>
          <w:rFonts w:ascii="Arial" w:hAnsi="Arial" w:cs="Arial"/>
          <w:lang w:val="uk-UA"/>
        </w:rPr>
        <w:t xml:space="preserve"> – 5 </w:t>
      </w:r>
      <w:r>
        <w:rPr>
          <w:rFonts w:ascii="Arial" w:hAnsi="Arial" w:cs="Arial"/>
          <w:lang w:val="uk-UA"/>
        </w:rPr>
        <w:t xml:space="preserve">шт</w:t>
      </w:r>
      <w:r>
        <w:rPr>
          <w:rFonts w:ascii="Arial" w:hAnsi="Arial" w:cs="Arial"/>
          <w:lang w:val="uk-UA"/>
        </w:rPr>
        <w:t xml:space="preserve">;</w:t>
      </w:r>
      <w:r>
        <w:rPr>
          <w:rFonts w:ascii="Arial" w:hAnsi="Arial" w:cs="Arial"/>
          <w:lang w:val="uk-UA"/>
        </w:rPr>
        <w:tab/>
      </w:r>
      <w:r/>
    </w:p>
    <w:p>
      <w:pPr>
        <w:pStyle w:val="544"/>
        <w:numPr>
          <w:ilvl w:val="0"/>
          <w:numId w:val="20"/>
        </w:numPr>
        <w:rPr>
          <w:rFonts w:ascii="Arial" w:hAnsi="Arial" w:cs="Arial"/>
          <w:lang w:val="uk-UA"/>
        </w:rPr>
      </w:pPr>
      <w:r>
        <w:rPr>
          <w:rFonts w:ascii="Arial" w:hAnsi="Arial" w:cs="Arial"/>
          <w:lang w:val="uk-UA"/>
        </w:rPr>
        <w:t xml:space="preserve">Заклади культури</w:t>
      </w:r>
      <w:r>
        <w:rPr>
          <w:rFonts w:ascii="Arial" w:hAnsi="Arial" w:cs="Arial"/>
          <w:lang w:val="uk-UA"/>
        </w:rPr>
        <w:t xml:space="preserve"> – 27</w:t>
      </w:r>
      <w:r>
        <w:rPr>
          <w:rFonts w:ascii="Arial" w:hAnsi="Arial" w:cs="Arial"/>
          <w:lang w:val="uk-UA"/>
        </w:rPr>
        <w:t xml:space="preserve"> </w:t>
      </w:r>
      <w:r>
        <w:rPr>
          <w:rFonts w:ascii="Arial" w:hAnsi="Arial" w:cs="Arial"/>
          <w:lang w:val="uk-UA"/>
        </w:rPr>
        <w:t xml:space="preserve">шт</w:t>
      </w:r>
      <w:r>
        <w:rPr>
          <w:rFonts w:ascii="Arial" w:hAnsi="Arial" w:cs="Arial"/>
          <w:lang w:val="uk-UA"/>
        </w:rPr>
        <w:t xml:space="preserve">;</w:t>
      </w:r>
      <w:r>
        <w:rPr>
          <w:rFonts w:ascii="Arial" w:hAnsi="Arial" w:cs="Arial"/>
          <w:lang w:val="uk-UA"/>
        </w:rPr>
        <w:tab/>
      </w:r>
      <w:r/>
    </w:p>
    <w:p>
      <w:pPr>
        <w:pStyle w:val="544"/>
        <w:numPr>
          <w:ilvl w:val="0"/>
          <w:numId w:val="20"/>
        </w:numPr>
        <w:rPr>
          <w:rFonts w:ascii="Arial" w:hAnsi="Arial" w:cs="Arial"/>
          <w:lang w:val="uk-UA"/>
        </w:rPr>
      </w:pPr>
      <w:r>
        <w:rPr>
          <w:rFonts w:ascii="Arial" w:hAnsi="Arial" w:cs="Arial"/>
          <w:lang w:val="uk-UA"/>
        </w:rPr>
        <w:t xml:space="preserve">Бібліотеки</w:t>
      </w:r>
      <w:r>
        <w:rPr>
          <w:rFonts w:ascii="Arial" w:hAnsi="Arial" w:cs="Arial"/>
          <w:lang w:val="uk-UA"/>
        </w:rPr>
        <w:t xml:space="preserve"> – 25</w:t>
      </w:r>
      <w:r>
        <w:rPr>
          <w:rFonts w:ascii="Arial" w:hAnsi="Arial" w:cs="Arial"/>
          <w:lang w:val="uk-UA"/>
        </w:rPr>
        <w:t xml:space="preserve"> </w:t>
      </w:r>
      <w:r>
        <w:rPr>
          <w:rFonts w:ascii="Arial" w:hAnsi="Arial" w:cs="Arial"/>
          <w:lang w:val="uk-UA"/>
        </w:rPr>
        <w:t xml:space="preserve">шт</w:t>
      </w:r>
      <w:r>
        <w:rPr>
          <w:rFonts w:ascii="Arial" w:hAnsi="Arial" w:cs="Arial"/>
          <w:lang w:val="uk-UA"/>
        </w:rPr>
        <w:t xml:space="preserve">;</w:t>
      </w:r>
      <w:r>
        <w:rPr>
          <w:rFonts w:ascii="Arial" w:hAnsi="Arial" w:cs="Arial"/>
          <w:lang w:val="uk-UA"/>
        </w:rPr>
        <w:tab/>
      </w:r>
      <w:r/>
    </w:p>
    <w:p>
      <w:pPr>
        <w:pStyle w:val="544"/>
        <w:numPr>
          <w:ilvl w:val="0"/>
          <w:numId w:val="20"/>
        </w:numPr>
        <w:rPr>
          <w:rFonts w:ascii="Arial" w:hAnsi="Arial" w:cs="Arial"/>
          <w:lang w:val="uk-UA"/>
        </w:rPr>
      </w:pPr>
      <w:r>
        <w:rPr>
          <w:rFonts w:ascii="Arial" w:hAnsi="Arial" w:cs="Arial"/>
          <w:lang w:val="uk-UA"/>
        </w:rPr>
        <w:t xml:space="preserve">Заклади фізичної культури</w:t>
      </w:r>
      <w:r>
        <w:rPr>
          <w:rFonts w:ascii="Arial" w:hAnsi="Arial" w:cs="Arial"/>
          <w:lang w:val="uk-UA"/>
        </w:rPr>
        <w:t xml:space="preserve"> – 1 </w:t>
      </w:r>
      <w:r>
        <w:rPr>
          <w:rFonts w:ascii="Arial" w:hAnsi="Arial" w:cs="Arial"/>
          <w:lang w:val="uk-UA"/>
        </w:rPr>
        <w:t xml:space="preserve">шт</w:t>
      </w:r>
      <w:r>
        <w:rPr>
          <w:rFonts w:ascii="Arial" w:hAnsi="Arial" w:cs="Arial"/>
          <w:lang w:val="uk-UA"/>
        </w:rPr>
        <w:t xml:space="preserve">;</w:t>
      </w:r>
      <w:r/>
    </w:p>
    <w:p>
      <w:pPr>
        <w:pStyle w:val="544"/>
        <w:numPr>
          <w:ilvl w:val="0"/>
          <w:numId w:val="20"/>
        </w:numPr>
        <w:rPr>
          <w:rFonts w:ascii="Arial" w:hAnsi="Arial" w:cs="Arial"/>
          <w:lang w:val="uk-UA"/>
        </w:rPr>
      </w:pPr>
      <w:r>
        <w:rPr>
          <w:rFonts w:ascii="Arial" w:hAnsi="Arial" w:cs="Arial"/>
          <w:lang w:val="uk-UA"/>
        </w:rPr>
        <w:t xml:space="preserve">Амбулаторії, поліклініки, ФАПи</w:t>
      </w:r>
      <w:r>
        <w:rPr>
          <w:rFonts w:ascii="Arial" w:hAnsi="Arial" w:cs="Arial"/>
          <w:lang w:val="uk-UA"/>
        </w:rPr>
        <w:t xml:space="preserve"> – 13 </w:t>
      </w:r>
      <w:r>
        <w:rPr>
          <w:rFonts w:ascii="Arial" w:hAnsi="Arial" w:cs="Arial"/>
          <w:lang w:val="uk-UA"/>
        </w:rPr>
        <w:t xml:space="preserve">шт</w:t>
      </w:r>
      <w:r>
        <w:rPr>
          <w:rFonts w:ascii="Arial" w:hAnsi="Arial" w:cs="Arial"/>
          <w:lang w:val="uk-UA"/>
        </w:rPr>
        <w:t xml:space="preserve">;</w:t>
      </w:r>
      <w:r>
        <w:rPr>
          <w:rFonts w:ascii="Arial" w:hAnsi="Arial" w:cs="Arial"/>
          <w:lang w:val="uk-UA"/>
        </w:rPr>
        <w:tab/>
      </w:r>
      <w:r/>
    </w:p>
    <w:p>
      <w:pPr>
        <w:pStyle w:val="544"/>
        <w:numPr>
          <w:ilvl w:val="0"/>
          <w:numId w:val="20"/>
        </w:numPr>
        <w:rPr>
          <w:rFonts w:ascii="Arial" w:hAnsi="Arial" w:cs="Arial"/>
          <w:lang w:val="uk-UA"/>
        </w:rPr>
      </w:pPr>
      <w:r>
        <w:rPr>
          <w:rFonts w:ascii="Arial" w:hAnsi="Arial" w:cs="Arial"/>
          <w:lang w:val="uk-UA"/>
        </w:rPr>
        <w:t xml:space="preserve">Лікарні</w:t>
      </w:r>
      <w:r>
        <w:rPr>
          <w:rFonts w:ascii="Arial" w:hAnsi="Arial" w:cs="Arial"/>
          <w:lang w:val="uk-UA"/>
        </w:rPr>
        <w:t xml:space="preserve"> – 1 </w:t>
      </w:r>
      <w:r>
        <w:rPr>
          <w:rFonts w:ascii="Arial" w:hAnsi="Arial" w:cs="Arial"/>
          <w:lang w:val="uk-UA"/>
        </w:rPr>
        <w:t xml:space="preserve">шт</w:t>
      </w:r>
      <w:r>
        <w:rPr>
          <w:rFonts w:ascii="Arial" w:hAnsi="Arial" w:cs="Arial"/>
          <w:lang w:val="uk-UA"/>
        </w:rPr>
        <w:t xml:space="preserve">;</w:t>
      </w:r>
      <w:r>
        <w:rPr>
          <w:rFonts w:ascii="Arial" w:hAnsi="Arial" w:cs="Arial"/>
          <w:lang w:val="uk-UA"/>
        </w:rPr>
        <w:tab/>
      </w:r>
      <w:r/>
    </w:p>
    <w:p>
      <w:pPr>
        <w:pStyle w:val="544"/>
        <w:numPr>
          <w:ilvl w:val="0"/>
          <w:numId w:val="20"/>
        </w:numPr>
        <w:rPr>
          <w:rFonts w:ascii="Arial" w:hAnsi="Arial" w:cs="Arial"/>
          <w:lang w:val="uk-UA"/>
        </w:rPr>
      </w:pPr>
      <w:r>
        <w:rPr>
          <w:rFonts w:ascii="Arial" w:hAnsi="Arial" w:cs="Arial"/>
          <w:lang w:val="uk-UA"/>
        </w:rPr>
        <w:t xml:space="preserve">Інше</w:t>
      </w:r>
      <w:r>
        <w:rPr>
          <w:rFonts w:ascii="Arial" w:hAnsi="Arial" w:cs="Arial"/>
          <w:lang w:val="uk-UA"/>
        </w:rPr>
        <w:t xml:space="preserve"> – 1 шт.</w:t>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t xml:space="preserve">2.1.3</w:t>
      </w:r>
      <w:r>
        <w:rPr>
          <w:rFonts w:ascii="Arial" w:hAnsi="Arial" w:cs="Arial"/>
          <w:b/>
          <w:sz w:val="24"/>
          <w:szCs w:val="24"/>
          <w:lang w:val="uk-UA"/>
        </w:rPr>
        <w:t xml:space="preserve">. Промисловість та мале підприємництво</w:t>
      </w:r>
      <w:r/>
    </w:p>
    <w:p>
      <w:pPr>
        <w:ind w:firstLine="709"/>
        <w:jc w:val="both"/>
        <w:spacing w:lineRule="auto" w:line="240" w:after="0"/>
        <w:rPr>
          <w:rFonts w:ascii="Arial" w:hAnsi="Arial" w:cs="Arial"/>
          <w:bCs/>
          <w:sz w:val="24"/>
          <w:szCs w:val="24"/>
          <w:lang w:val="uk-UA"/>
        </w:rPr>
      </w:pPr>
      <w:r>
        <w:rPr>
          <w:rFonts w:ascii="Arial" w:hAnsi="Arial" w:cs="Arial"/>
          <w:bCs/>
          <w:sz w:val="24"/>
          <w:szCs w:val="24"/>
          <w:lang w:val="uk-UA"/>
        </w:rPr>
      </w:r>
      <w:r/>
    </w:p>
    <w:p>
      <w:pPr>
        <w:ind w:firstLine="709"/>
        <w:jc w:val="both"/>
        <w:spacing w:lineRule="auto" w:line="240" w:after="0"/>
        <w:rPr>
          <w:rFonts w:ascii="Arial" w:hAnsi="Arial" w:cs="Arial"/>
          <w:b/>
          <w:bCs/>
          <w:sz w:val="24"/>
          <w:szCs w:val="24"/>
          <w:lang w:val="uk-UA"/>
        </w:rPr>
      </w:pPr>
      <w:r>
        <w:rPr>
          <w:rFonts w:ascii="Arial" w:hAnsi="Arial" w:cs="Arial"/>
          <w:b/>
          <w:bCs/>
          <w:sz w:val="24"/>
          <w:szCs w:val="24"/>
          <w:lang w:val="uk-UA"/>
        </w:rPr>
        <w:t xml:space="preserve">Промисловість</w:t>
      </w:r>
      <w:r/>
    </w:p>
    <w:p>
      <w:pPr>
        <w:ind w:firstLine="709"/>
        <w:jc w:val="both"/>
        <w:spacing w:lineRule="auto" w:line="240" w:after="0"/>
        <w:rPr>
          <w:rFonts w:ascii="Arial" w:hAnsi="Arial" w:cs="Arial"/>
          <w:b/>
          <w:bCs/>
          <w:sz w:val="24"/>
          <w:szCs w:val="24"/>
          <w:lang w:val="uk-UA"/>
        </w:rPr>
      </w:pPr>
      <w:r>
        <w:rPr>
          <w:rFonts w:ascii="Arial" w:hAnsi="Arial" w:cs="Arial"/>
          <w:b/>
          <w:bCs/>
          <w:sz w:val="24"/>
          <w:szCs w:val="24"/>
          <w:lang w:val="uk-UA"/>
        </w:rPr>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t xml:space="preserve">На території громади функціонують промислові та сільськогосподарські підприємства. До основного кола промислових підпри</w:t>
      </w:r>
      <w:r>
        <w:rPr>
          <w:rFonts w:ascii="Arial" w:hAnsi="Arial" w:cs="Arial"/>
          <w:sz w:val="24"/>
          <w:szCs w:val="24"/>
          <w:lang w:val="uk-UA"/>
        </w:rPr>
        <w:t xml:space="preserve">ємств громади можна віднести: філію «Менський сир» ППКФ «Прометей», ПАТ «Мена-ПАК», ТОВ «Нептун», ДП «Юмак», ПрАТ «ШРБУ – 82». Серед найбільших сільськогосподарських підприємств: ТОВ «Мена-Авангард», СТОВ «Олстас-льон», ФГ «Бутенко», ДП “Зернятко” та інші.</w:t>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t xml:space="preserve">Напрямки спеціалізації:</w:t>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t xml:space="preserve">у промисловості - харчова, целюлозно-паперова, деревообробна;</w:t>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t xml:space="preserve">у сільському господарстві - вирощування зернових, зернобобових, технічних та кормових культур, м`ясо-молочне тваринництво.</w:t>
      </w:r>
      <w:r/>
    </w:p>
    <w:p>
      <w:pPr>
        <w:ind w:right="-1" w:firstLine="709"/>
        <w:jc w:val="both"/>
        <w:spacing w:lineRule="auto" w:line="240" w:after="0"/>
        <w:rPr>
          <w:rFonts w:ascii="Arial" w:hAnsi="Arial" w:cs="Arial"/>
          <w:b/>
          <w:sz w:val="24"/>
          <w:szCs w:val="24"/>
        </w:rPr>
      </w:pPr>
      <w:r>
        <w:rPr>
          <w:rFonts w:ascii="Arial" w:hAnsi="Arial" w:cs="Arial"/>
          <w:b/>
          <w:sz w:val="24"/>
          <w:szCs w:val="24"/>
        </w:rPr>
      </w:r>
      <w:r/>
    </w:p>
    <w:p>
      <w:pPr>
        <w:ind w:right="-1" w:firstLine="709"/>
        <w:jc w:val="center"/>
        <w:spacing w:lineRule="auto" w:line="240" w:after="0"/>
        <w:rPr>
          <w:rFonts w:ascii="Arial" w:hAnsi="Arial" w:cs="Arial"/>
          <w:b/>
          <w:sz w:val="24"/>
          <w:szCs w:val="24"/>
          <w:lang w:val="uk-UA"/>
        </w:rPr>
      </w:pPr>
      <w:r>
        <w:rPr>
          <w:rFonts w:ascii="Arial" w:hAnsi="Arial" w:cs="Arial"/>
          <w:b/>
          <w:sz w:val="24"/>
          <w:szCs w:val="24"/>
          <w:lang w:val="uk-UA"/>
        </w:rPr>
        <w:t xml:space="preserve">Мале підприємництво</w:t>
      </w:r>
      <w:r/>
    </w:p>
    <w:p>
      <w:pPr>
        <w:ind w:right="-1" w:firstLine="709"/>
        <w:jc w:val="center"/>
        <w:spacing w:lineRule="auto" w:line="240" w:after="0"/>
        <w:rPr>
          <w:rFonts w:ascii="Arial" w:hAnsi="Arial" w:cs="Arial"/>
          <w:b/>
          <w:sz w:val="24"/>
          <w:szCs w:val="24"/>
          <w:lang w:val="uk-UA"/>
        </w:rPr>
      </w:pPr>
      <w:r>
        <w:rPr>
          <w:rFonts w:ascii="Arial" w:hAnsi="Arial" w:cs="Arial"/>
          <w:b/>
          <w:sz w:val="24"/>
          <w:szCs w:val="24"/>
          <w:lang w:val="uk-UA"/>
        </w:rPr>
      </w:r>
      <w:r/>
    </w:p>
    <w:tbl>
      <w:tblPr>
        <w:tblStyle w:val="521"/>
        <w:tblW w:w="6749" w:type="dxa"/>
        <w:tblInd w:w="-5" w:type="dxa"/>
        <w:tblLook w:val="04A0" w:firstRow="1" w:lastRow="0" w:firstColumn="1" w:lastColumn="0" w:noHBand="0" w:noVBand="1"/>
      </w:tblPr>
      <w:tblGrid>
        <w:gridCol w:w="3223"/>
        <w:gridCol w:w="1260"/>
        <w:gridCol w:w="1120"/>
        <w:gridCol w:w="1146"/>
      </w:tblGrid>
      <w:tr>
        <w:trPr>
          <w:trHeight w:val="1347"/>
        </w:trPr>
        <w:tc>
          <w:tcPr>
            <w:shd w:val="clear" w:color="auto" w:fill="00B050" w:themeFill="accent1"/>
            <w:tcW w:w="3223" w:type="dxa"/>
            <w:vAlign w:val="center"/>
            <w:textDirection w:val="lrTb"/>
            <w:noWrap w:val="false"/>
          </w:tcPr>
          <w:p>
            <w:pPr>
              <w:pStyle w:val="517"/>
              <w:ind w:right="-1"/>
              <w:jc w:val="both"/>
              <w:rPr>
                <w:rFonts w:ascii="Arial" w:hAnsi="Arial" w:cs="Arial"/>
                <w:b/>
                <w:sz w:val="22"/>
                <w:szCs w:val="22"/>
              </w:rPr>
            </w:pPr>
            <w:r>
              <w:rPr>
                <w:rFonts w:ascii="Arial" w:hAnsi="Arial" w:cs="Arial"/>
                <w:b/>
                <w:sz w:val="22"/>
                <w:szCs w:val="22"/>
              </w:rPr>
            </w:r>
            <w:r/>
          </w:p>
        </w:tc>
        <w:tc>
          <w:tcPr>
            <w:shd w:val="clear" w:color="auto" w:fill="00B050" w:themeFill="accent1"/>
            <w:tcW w:w="1260" w:type="dxa"/>
            <w:vAlign w:val="center"/>
            <w:textDirection w:val="lrTb"/>
            <w:noWrap w:val="false"/>
          </w:tcPr>
          <w:p>
            <w:pPr>
              <w:pStyle w:val="517"/>
              <w:ind w:right="-1"/>
              <w:jc w:val="center"/>
              <w:rPr>
                <w:rFonts w:ascii="Arial" w:hAnsi="Arial" w:cs="Arial"/>
                <w:b/>
                <w:sz w:val="24"/>
              </w:rPr>
            </w:pPr>
            <w:r>
              <w:rPr>
                <w:rFonts w:ascii="Arial" w:hAnsi="Arial" w:cs="Arial"/>
                <w:b/>
                <w:sz w:val="24"/>
              </w:rPr>
              <w:t xml:space="preserve">2017</w:t>
            </w:r>
            <w:r/>
          </w:p>
        </w:tc>
        <w:tc>
          <w:tcPr>
            <w:shd w:val="clear" w:color="auto" w:fill="00B050" w:themeFill="accent1"/>
            <w:tcW w:w="1120" w:type="dxa"/>
            <w:vAlign w:val="center"/>
            <w:textDirection w:val="lrTb"/>
            <w:noWrap w:val="false"/>
          </w:tcPr>
          <w:p>
            <w:pPr>
              <w:pStyle w:val="517"/>
              <w:ind w:right="-1"/>
              <w:jc w:val="center"/>
              <w:rPr>
                <w:rFonts w:ascii="Arial" w:hAnsi="Arial" w:cs="Arial"/>
                <w:b/>
                <w:sz w:val="24"/>
              </w:rPr>
            </w:pPr>
            <w:r>
              <w:rPr>
                <w:rFonts w:ascii="Arial" w:hAnsi="Arial" w:cs="Arial"/>
                <w:b/>
                <w:sz w:val="24"/>
              </w:rPr>
              <w:t xml:space="preserve">2018</w:t>
            </w:r>
            <w:r/>
          </w:p>
        </w:tc>
        <w:tc>
          <w:tcPr>
            <w:shd w:val="clear" w:color="auto" w:fill="00B050" w:themeFill="accent1"/>
            <w:tcW w:w="1146" w:type="dxa"/>
            <w:vAlign w:val="center"/>
            <w:textDirection w:val="lrTb"/>
            <w:noWrap w:val="false"/>
          </w:tcPr>
          <w:p>
            <w:pPr>
              <w:pStyle w:val="517"/>
              <w:ind w:right="-1"/>
              <w:jc w:val="center"/>
              <w:rPr>
                <w:rFonts w:ascii="Arial" w:hAnsi="Arial" w:cs="Arial"/>
                <w:b/>
                <w:sz w:val="24"/>
              </w:rPr>
            </w:pPr>
            <w:r>
              <w:rPr>
                <w:rFonts w:ascii="Arial" w:hAnsi="Arial" w:cs="Arial"/>
                <w:b/>
                <w:sz w:val="24"/>
              </w:rPr>
              <w:t xml:space="preserve">2019</w:t>
            </w:r>
            <w:r/>
          </w:p>
        </w:tc>
      </w:tr>
      <w:tr>
        <w:trPr>
          <w:trHeight w:val="1488"/>
        </w:trPr>
        <w:tc>
          <w:tcPr>
            <w:tcW w:w="3223" w:type="dxa"/>
            <w:vAlign w:val="center"/>
            <w:textDirection w:val="lrTb"/>
            <w:noWrap w:val="false"/>
          </w:tcPr>
          <w:p>
            <w:pPr>
              <w:pStyle w:val="517"/>
              <w:ind w:right="-1"/>
              <w:jc w:val="both"/>
              <w:rPr>
                <w:rFonts w:ascii="Arial" w:hAnsi="Arial" w:cs="Arial"/>
                <w:sz w:val="22"/>
                <w:szCs w:val="22"/>
              </w:rPr>
            </w:pPr>
            <w:r>
              <w:rPr>
                <w:rFonts w:ascii="Arial" w:hAnsi="Arial" w:cs="Arial"/>
                <w:sz w:val="22"/>
                <w:szCs w:val="22"/>
              </w:rPr>
              <w:t xml:space="preserve">Зареєстровані суб’єкти господарської діяльності, всього</w:t>
            </w:r>
            <w:r>
              <w:rPr>
                <w:rFonts w:ascii="Arial" w:hAnsi="Arial" w:cs="Arial"/>
                <w:sz w:val="22"/>
                <w:szCs w:val="22"/>
              </w:rPr>
              <w:t xml:space="preserve"> (од)</w:t>
            </w:r>
            <w:r/>
          </w:p>
        </w:tc>
        <w:tc>
          <w:tcPr>
            <w:tcW w:w="126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685</w:t>
            </w:r>
            <w:r/>
          </w:p>
        </w:tc>
        <w:tc>
          <w:tcPr>
            <w:tcW w:w="112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677</w:t>
            </w:r>
            <w:r/>
          </w:p>
        </w:tc>
        <w:tc>
          <w:tcPr>
            <w:tcW w:w="1146"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665</w:t>
            </w:r>
            <w:r/>
          </w:p>
        </w:tc>
      </w:tr>
      <w:tr>
        <w:trPr>
          <w:trHeight w:val="759"/>
        </w:trPr>
        <w:tc>
          <w:tcPr>
            <w:tcW w:w="3223" w:type="dxa"/>
            <w:vAlign w:val="center"/>
            <w:textDirection w:val="lrTb"/>
            <w:noWrap w:val="false"/>
          </w:tcPr>
          <w:p>
            <w:pPr>
              <w:pStyle w:val="517"/>
              <w:ind w:right="-1"/>
              <w:jc w:val="both"/>
              <w:rPr>
                <w:rFonts w:ascii="Arial" w:hAnsi="Arial" w:cs="Arial"/>
                <w:sz w:val="22"/>
                <w:szCs w:val="22"/>
                <w:lang w:val="ru-RU"/>
              </w:rPr>
            </w:pPr>
            <w:r>
              <w:rPr>
                <w:rFonts w:ascii="Arial" w:hAnsi="Arial" w:cs="Arial"/>
                <w:sz w:val="22"/>
                <w:szCs w:val="22"/>
              </w:rPr>
              <w:t xml:space="preserve">Зареєстрованих фізичних осіб-підприємців</w:t>
            </w:r>
            <w:r>
              <w:rPr>
                <w:rFonts w:ascii="Arial" w:hAnsi="Arial" w:cs="Arial"/>
                <w:sz w:val="22"/>
                <w:szCs w:val="22"/>
              </w:rPr>
              <w:t xml:space="preserve"> (од)</w:t>
            </w:r>
            <w:r/>
          </w:p>
        </w:tc>
        <w:tc>
          <w:tcPr>
            <w:tcW w:w="126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718</w:t>
            </w:r>
            <w:r/>
          </w:p>
        </w:tc>
        <w:tc>
          <w:tcPr>
            <w:tcW w:w="112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726</w:t>
            </w:r>
            <w:r/>
          </w:p>
        </w:tc>
        <w:tc>
          <w:tcPr>
            <w:tcW w:w="1146"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736</w:t>
            </w:r>
            <w:r/>
          </w:p>
        </w:tc>
      </w:tr>
      <w:tr>
        <w:trPr>
          <w:trHeight w:val="759"/>
        </w:trPr>
        <w:tc>
          <w:tcPr>
            <w:tcW w:w="3223" w:type="dxa"/>
            <w:vAlign w:val="center"/>
            <w:textDirection w:val="lrTb"/>
            <w:noWrap w:val="false"/>
          </w:tcPr>
          <w:p>
            <w:pPr>
              <w:pStyle w:val="517"/>
              <w:ind w:right="-1"/>
              <w:jc w:val="both"/>
              <w:rPr>
                <w:rFonts w:ascii="Arial" w:hAnsi="Arial" w:cs="Arial"/>
                <w:sz w:val="22"/>
                <w:szCs w:val="22"/>
                <w:lang w:val="ru-RU"/>
              </w:rPr>
            </w:pPr>
            <w:r>
              <w:rPr>
                <w:rFonts w:ascii="Arial" w:hAnsi="Arial" w:cs="Arial"/>
                <w:sz w:val="22"/>
                <w:szCs w:val="22"/>
              </w:rPr>
              <w:t xml:space="preserve">Кількість малих підприємств</w:t>
            </w:r>
            <w:r>
              <w:rPr>
                <w:rFonts w:ascii="Arial" w:hAnsi="Arial" w:cs="Arial"/>
                <w:sz w:val="22"/>
                <w:szCs w:val="22"/>
              </w:rPr>
              <w:t xml:space="preserve"> (од)</w:t>
            </w:r>
            <w:r/>
          </w:p>
        </w:tc>
        <w:tc>
          <w:tcPr>
            <w:tcW w:w="126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100</w:t>
            </w:r>
            <w:r/>
          </w:p>
        </w:tc>
        <w:tc>
          <w:tcPr>
            <w:tcW w:w="112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103</w:t>
            </w:r>
            <w:r/>
          </w:p>
        </w:tc>
        <w:tc>
          <w:tcPr>
            <w:tcW w:w="1146"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101</w:t>
            </w:r>
            <w:r/>
          </w:p>
        </w:tc>
      </w:tr>
      <w:tr>
        <w:trPr>
          <w:trHeight w:val="759"/>
        </w:trPr>
        <w:tc>
          <w:tcPr>
            <w:tcW w:w="3223" w:type="dxa"/>
            <w:vAlign w:val="center"/>
            <w:textDirection w:val="lrTb"/>
            <w:noWrap w:val="false"/>
          </w:tcPr>
          <w:p>
            <w:pPr>
              <w:pStyle w:val="517"/>
              <w:ind w:right="-1"/>
              <w:jc w:val="both"/>
              <w:rPr>
                <w:rFonts w:ascii="Arial" w:hAnsi="Arial" w:cs="Arial"/>
                <w:sz w:val="22"/>
                <w:szCs w:val="22"/>
              </w:rPr>
            </w:pPr>
            <w:r>
              <w:rPr>
                <w:rFonts w:ascii="Arial" w:hAnsi="Arial" w:cs="Arial"/>
                <w:sz w:val="22"/>
                <w:szCs w:val="22"/>
              </w:rPr>
              <w:t xml:space="preserve">Обсяг реалізованої продукції промисловості</w:t>
            </w:r>
            <w:r>
              <w:rPr>
                <w:rFonts w:ascii="Arial" w:hAnsi="Arial" w:cs="Arial"/>
                <w:sz w:val="22"/>
                <w:szCs w:val="22"/>
              </w:rPr>
              <w:t xml:space="preserve"> (тис. грн.)</w:t>
            </w:r>
            <w:r/>
          </w:p>
        </w:tc>
        <w:tc>
          <w:tcPr>
            <w:tcW w:w="126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366,8</w:t>
            </w:r>
            <w:r/>
          </w:p>
        </w:tc>
        <w:tc>
          <w:tcPr>
            <w:tcW w:w="112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371,8</w:t>
            </w:r>
            <w:r/>
          </w:p>
        </w:tc>
        <w:tc>
          <w:tcPr>
            <w:tcW w:w="1146"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369,2</w:t>
            </w:r>
            <w:r/>
          </w:p>
        </w:tc>
      </w:tr>
      <w:tr>
        <w:trPr>
          <w:trHeight w:val="880"/>
        </w:trPr>
        <w:tc>
          <w:tcPr>
            <w:tcW w:w="3223" w:type="dxa"/>
            <w:vAlign w:val="center"/>
            <w:textDirection w:val="lrTb"/>
            <w:noWrap w:val="false"/>
          </w:tcPr>
          <w:p>
            <w:pPr>
              <w:pStyle w:val="517"/>
              <w:ind w:right="-1"/>
              <w:jc w:val="both"/>
              <w:rPr>
                <w:rFonts w:ascii="Arial" w:hAnsi="Arial" w:cs="Arial"/>
                <w:sz w:val="22"/>
                <w:szCs w:val="22"/>
              </w:rPr>
            </w:pPr>
            <w:r>
              <w:rPr>
                <w:rFonts w:ascii="Arial" w:hAnsi="Arial" w:cs="Arial"/>
                <w:sz w:val="22"/>
                <w:szCs w:val="22"/>
              </w:rPr>
              <w:t xml:space="preserve">Обсяг реалізованих послуг (тис. грн.)</w:t>
            </w:r>
            <w:r/>
          </w:p>
        </w:tc>
        <w:tc>
          <w:tcPr>
            <w:tcW w:w="126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29,1</w:t>
            </w:r>
            <w:r/>
          </w:p>
        </w:tc>
        <w:tc>
          <w:tcPr>
            <w:tcW w:w="1120"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28,6</w:t>
            </w:r>
            <w:r/>
          </w:p>
        </w:tc>
        <w:tc>
          <w:tcPr>
            <w:tcW w:w="1146" w:type="dxa"/>
            <w:vAlign w:val="center"/>
            <w:textDirection w:val="lrTb"/>
            <w:noWrap w:val="false"/>
          </w:tcPr>
          <w:p>
            <w:pPr>
              <w:pStyle w:val="517"/>
              <w:ind w:right="-1"/>
              <w:jc w:val="center"/>
              <w:rPr>
                <w:rFonts w:ascii="Arial" w:hAnsi="Arial" w:cs="Arial"/>
                <w:sz w:val="22"/>
                <w:szCs w:val="22"/>
              </w:rPr>
            </w:pPr>
            <w:r>
              <w:rPr>
                <w:rFonts w:ascii="Arial" w:hAnsi="Arial" w:cs="Arial"/>
                <w:sz w:val="22"/>
                <w:szCs w:val="22"/>
              </w:rPr>
              <w:t xml:space="preserve">27,2</w:t>
            </w:r>
            <w:r/>
          </w:p>
        </w:tc>
      </w:tr>
    </w:tbl>
    <w:p>
      <w:pPr>
        <w:ind w:right="-1"/>
        <w:jc w:val="both"/>
        <w:spacing w:lineRule="auto" w:line="240" w:after="0"/>
        <w:rPr>
          <w:rFonts w:ascii="Arial" w:hAnsi="Arial" w:cs="Arial"/>
          <w:b/>
          <w:sz w:val="24"/>
          <w:szCs w:val="24"/>
          <w:lang w:val="uk-UA"/>
        </w:rPr>
      </w:pPr>
      <w:r>
        <w:rPr>
          <w:rFonts w:ascii="Arial" w:hAnsi="Arial" w:cs="Arial"/>
          <w:b/>
          <w:sz w:val="24"/>
          <w:szCs w:val="24"/>
          <w:lang w:val="uk-UA" w:eastAsia="uk-UA"/>
        </w:rPr>
        <w:drawing>
          <wp:inline distT="0" distB="0" distL="0" distR="0">
            <wp:extent cx="4311015" cy="1973580"/>
            <wp:effectExtent l="0" t="0" r="0" b="7620"/>
            <wp:docPr id="16" name="Диаграмма 23"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p>
    <w:p>
      <w:pPr>
        <w:ind w:right="-1"/>
        <w:jc w:val="both"/>
        <w:spacing w:lineRule="auto" w:line="240" w:after="0"/>
        <w:rPr>
          <w:rFonts w:ascii="Arial" w:hAnsi="Arial" w:cs="Arial"/>
          <w:b/>
          <w:sz w:val="24"/>
          <w:szCs w:val="24"/>
        </w:rPr>
      </w:pPr>
      <w:r>
        <w:rPr>
          <w:rFonts w:ascii="Arial" w:hAnsi="Arial" w:cs="Arial"/>
          <w:b/>
          <w:sz w:val="24"/>
          <w:szCs w:val="24"/>
          <w:lang w:val="uk-UA" w:eastAsia="uk-UA"/>
        </w:rPr>
        <w:drawing>
          <wp:inline distT="0" distB="0" distL="0" distR="0">
            <wp:extent cx="4556760" cy="3619500"/>
            <wp:effectExtent l="0" t="0" r="0" b="0"/>
            <wp:docPr id="17" name="Диаграмма 26"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b/>
          <w:color w:val="00B0F0"/>
          <w:sz w:val="24"/>
          <w:szCs w:val="24"/>
          <w:lang w:val="uk-UA"/>
        </w:rPr>
      </w:pPr>
      <w:r>
        <w:rPr>
          <w:rFonts w:ascii="Arial" w:hAnsi="Arial" w:cs="Arial"/>
          <w:b/>
          <w:sz w:val="24"/>
          <w:szCs w:val="24"/>
          <w:lang w:val="uk-UA"/>
        </w:rPr>
        <w:t xml:space="preserve">2.1.4. Транспорт</w:t>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t xml:space="preserve">На території громади проходить чотири автомобільні дороги державного значення та одна автомобільна дорога національного значення Н-27 «Чернігів–Мена–Сосниця–Грем’яч». </w:t>
      </w:r>
      <w:r/>
    </w:p>
    <w:p>
      <w:pPr>
        <w:ind w:right="-1" w:firstLine="539"/>
        <w:jc w:val="both"/>
        <w:spacing w:lineRule="auto" w:line="240" w:after="0"/>
        <w:rPr>
          <w:rFonts w:ascii="Arial" w:hAnsi="Arial" w:cs="Arial"/>
          <w:sz w:val="24"/>
          <w:szCs w:val="24"/>
          <w:lang w:val="uk-UA"/>
        </w:rPr>
      </w:pPr>
      <w:r>
        <w:rPr>
          <w:rFonts w:ascii="Arial" w:hAnsi="Arial" w:cs="Arial"/>
          <w:sz w:val="24"/>
          <w:szCs w:val="24"/>
          <w:lang w:val="uk-UA"/>
        </w:rPr>
        <w:t xml:space="preserve">В м. Мена хороше транспортне сполучення з Черніговом та Києвом –</w:t>
      </w:r>
      <w:r>
        <w:rPr>
          <w:rFonts w:ascii="Arial" w:hAnsi="Arial" w:cs="Arial"/>
          <w:sz w:val="24"/>
          <w:szCs w:val="24"/>
          <w:lang w:val="uk-UA"/>
        </w:rPr>
        <w:t xml:space="preserve"> </w:t>
      </w:r>
      <w:r>
        <w:rPr>
          <w:rFonts w:ascii="Arial" w:hAnsi="Arial" w:cs="Arial"/>
          <w:sz w:val="24"/>
          <w:szCs w:val="24"/>
          <w:lang w:val="uk-UA"/>
        </w:rPr>
        <w:t xml:space="preserve">одна та три години часу в дорозі відповідно. Це найінтенсивніші напрями сполучення. Також існують транспортні маршрути, що зв`язують Мену як райцентр та центри колишніх сільських рад.</w:t>
      </w:r>
      <w:r/>
    </w:p>
    <w:p>
      <w:pPr>
        <w:ind w:right="-1" w:firstLine="539"/>
        <w:jc w:val="both"/>
        <w:spacing w:lineRule="auto" w:line="240" w:after="0"/>
        <w:rPr>
          <w:rFonts w:ascii="Arial" w:hAnsi="Arial" w:cs="Arial"/>
          <w:sz w:val="24"/>
          <w:szCs w:val="24"/>
          <w:lang w:val="uk-UA"/>
        </w:rPr>
      </w:pPr>
      <w:r>
        <w:rPr>
          <w:rFonts w:ascii="Arial" w:hAnsi="Arial" w:cs="Arial"/>
          <w:sz w:val="24"/>
          <w:szCs w:val="24"/>
          <w:lang w:val="uk-UA"/>
        </w:rPr>
      </w:r>
      <w:r/>
    </w:p>
    <w:tbl>
      <w:tblPr>
        <w:tblW w:w="6849" w:type="dxa"/>
        <w:tblInd w:w="-5"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0A0" w:firstRow="1" w:lastRow="0" w:firstColumn="1" w:lastColumn="0" w:noHBand="0" w:noVBand="0"/>
      </w:tblPr>
      <w:tblGrid>
        <w:gridCol w:w="4995"/>
        <w:gridCol w:w="1854"/>
      </w:tblGrid>
      <w:tr>
        <w:trPr>
          <w:trHeight w:val="778"/>
        </w:trPr>
        <w:tc>
          <w:tcPr>
            <w:shd w:val="clear" w:color="auto" w:fill="00B050" w:themeFill="accent1"/>
            <w:tcW w:w="4995" w:type="dxa"/>
            <w:textDirection w:val="lrTb"/>
            <w:noWrap w:val="false"/>
          </w:tcPr>
          <w:p>
            <w:pPr>
              <w:jc w:val="center"/>
              <w:spacing w:lineRule="auto" w:line="240" w:after="0"/>
              <w:rPr>
                <w:rFonts w:ascii="Arial" w:hAnsi="Arial" w:cs="Arial" w:eastAsia="Calibri"/>
                <w:b/>
                <w:sz w:val="24"/>
                <w:szCs w:val="24"/>
                <w:lang w:val="uk-UA"/>
              </w:rPr>
            </w:pPr>
            <w:r>
              <w:rPr>
                <w:rFonts w:ascii="Arial" w:hAnsi="Arial" w:cs="Arial" w:eastAsia="Calibri"/>
                <w:b/>
                <w:sz w:val="24"/>
                <w:szCs w:val="24"/>
                <w:lang w:val="uk-UA"/>
              </w:rPr>
            </w:r>
            <w:r/>
          </w:p>
          <w:p>
            <w:pPr>
              <w:jc w:val="center"/>
              <w:spacing w:lineRule="auto" w:line="240" w:after="0"/>
              <w:rPr>
                <w:rFonts w:ascii="Arial" w:hAnsi="Arial" w:cs="Arial" w:eastAsia="Calibri"/>
                <w:b/>
                <w:sz w:val="24"/>
                <w:szCs w:val="24"/>
                <w:lang w:val="uk-UA"/>
              </w:rPr>
            </w:pPr>
            <w:r>
              <w:rPr>
                <w:rFonts w:ascii="Arial" w:hAnsi="Arial" w:cs="Arial" w:eastAsia="Calibri"/>
                <w:b/>
                <w:sz w:val="24"/>
                <w:szCs w:val="24"/>
                <w:lang w:val="uk-UA"/>
              </w:rPr>
              <w:t xml:space="preserve">Значення доріг</w:t>
            </w:r>
            <w:r/>
          </w:p>
        </w:tc>
        <w:tc>
          <w:tcPr>
            <w:shd w:val="clear" w:color="auto" w:fill="00B050" w:themeFill="accent1"/>
            <w:tcW w:w="1854" w:type="dxa"/>
            <w:textDirection w:val="lrTb"/>
            <w:noWrap w:val="false"/>
          </w:tcPr>
          <w:p>
            <w:pPr>
              <w:jc w:val="center"/>
              <w:spacing w:lineRule="auto" w:line="240" w:after="0"/>
              <w:rPr>
                <w:rFonts w:ascii="Arial" w:hAnsi="Arial" w:cs="Arial" w:eastAsia="Calibri"/>
                <w:b/>
                <w:sz w:val="24"/>
                <w:szCs w:val="24"/>
                <w:lang w:val="uk-UA"/>
              </w:rPr>
            </w:pPr>
            <w:r>
              <w:rPr>
                <w:rFonts w:ascii="Arial" w:hAnsi="Arial" w:cs="Arial" w:eastAsia="Calibri"/>
                <w:b/>
                <w:sz w:val="24"/>
                <w:szCs w:val="24"/>
                <w:lang w:val="uk-UA"/>
              </w:rPr>
            </w:r>
            <w:r/>
          </w:p>
          <w:p>
            <w:pPr>
              <w:jc w:val="center"/>
              <w:spacing w:lineRule="auto" w:line="240" w:after="0"/>
              <w:rPr>
                <w:rFonts w:ascii="Arial" w:hAnsi="Arial" w:cs="Arial" w:eastAsia="Calibri"/>
                <w:b/>
                <w:sz w:val="24"/>
                <w:szCs w:val="24"/>
                <w:lang w:val="uk-UA"/>
              </w:rPr>
            </w:pPr>
            <w:r>
              <w:rPr>
                <w:rFonts w:ascii="Arial" w:hAnsi="Arial" w:cs="Arial" w:eastAsia="Calibri"/>
                <w:b/>
                <w:sz w:val="24"/>
                <w:szCs w:val="24"/>
                <w:lang w:val="uk-UA"/>
              </w:rPr>
              <w:t xml:space="preserve">Протяжність км</w:t>
            </w:r>
            <w:r/>
          </w:p>
        </w:tc>
      </w:tr>
      <w:tr>
        <w:trPr>
          <w:trHeight w:val="364"/>
        </w:trPr>
        <w:tc>
          <w:tcPr>
            <w:tcW w:w="4995" w:type="dxa"/>
            <w:textDirection w:val="lrTb"/>
            <w:noWrap w:val="false"/>
          </w:tcPr>
          <w:p>
            <w:pP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Державного значення – асфальт :</w:t>
            </w:r>
            <w:r/>
          </w:p>
        </w:tc>
        <w:tc>
          <w:tcPr>
            <w:tcW w:w="1854" w:type="dxa"/>
            <w:textDirection w:val="lrTb"/>
            <w:noWrap w:val="false"/>
          </w:tcPr>
          <w:p>
            <w:pPr>
              <w:jc w:val="cente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99,5</w:t>
            </w:r>
            <w:r/>
          </w:p>
        </w:tc>
      </w:tr>
      <w:tr>
        <w:trPr>
          <w:trHeight w:val="569"/>
        </w:trPr>
        <w:tc>
          <w:tcPr>
            <w:tcW w:w="4995" w:type="dxa"/>
            <w:textDirection w:val="lrTb"/>
            <w:noWrap w:val="false"/>
          </w:tcPr>
          <w:p>
            <w:pP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Обласного (регіонального) значення – асфальт </w:t>
            </w:r>
            <w:r/>
          </w:p>
        </w:tc>
        <w:tc>
          <w:tcPr>
            <w:tcW w:w="1854" w:type="dxa"/>
            <w:textDirection w:val="lrTb"/>
            <w:noWrap w:val="false"/>
          </w:tcPr>
          <w:p>
            <w:pPr>
              <w:jc w:val="cente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43,7</w:t>
            </w:r>
            <w:r/>
          </w:p>
        </w:tc>
      </w:tr>
      <w:tr>
        <w:trPr>
          <w:trHeight w:val="364"/>
        </w:trPr>
        <w:tc>
          <w:tcPr>
            <w:tcW w:w="4995" w:type="dxa"/>
            <w:textDirection w:val="lrTb"/>
            <w:noWrap w:val="false"/>
          </w:tcPr>
          <w:p>
            <w:pP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Місцевого значення, з них:</w:t>
            </w:r>
            <w:r/>
          </w:p>
        </w:tc>
        <w:tc>
          <w:tcPr>
            <w:tcW w:w="1854" w:type="dxa"/>
            <w:textDirection w:val="lrTb"/>
            <w:noWrap w:val="false"/>
          </w:tcPr>
          <w:p>
            <w:pPr>
              <w:jc w:val="cente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36,5</w:t>
            </w:r>
            <w:r/>
          </w:p>
        </w:tc>
      </w:tr>
      <w:tr>
        <w:trPr>
          <w:trHeight w:val="364"/>
        </w:trPr>
        <w:tc>
          <w:tcPr>
            <w:tcW w:w="4995" w:type="dxa"/>
            <w:textDirection w:val="lrTb"/>
            <w:noWrap w:val="false"/>
          </w:tcPr>
          <w:p>
            <w:pPr>
              <w:numPr>
                <w:ilvl w:val="0"/>
                <w:numId w:val="21"/>
              </w:numP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тверде покриття – асфальт:</w:t>
            </w:r>
            <w:r/>
          </w:p>
        </w:tc>
        <w:tc>
          <w:tcPr>
            <w:tcW w:w="1854" w:type="dxa"/>
            <w:textDirection w:val="lrTb"/>
            <w:noWrap w:val="false"/>
          </w:tcPr>
          <w:p>
            <w:pPr>
              <w:jc w:val="cente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29,1</w:t>
            </w:r>
            <w:r/>
          </w:p>
        </w:tc>
      </w:tr>
      <w:tr>
        <w:trPr>
          <w:trHeight w:val="348"/>
        </w:trPr>
        <w:tc>
          <w:tcPr>
            <w:tcW w:w="4995" w:type="dxa"/>
            <w:textDirection w:val="lrTb"/>
            <w:noWrap w:val="false"/>
          </w:tcPr>
          <w:p>
            <w:pPr>
              <w:numPr>
                <w:ilvl w:val="0"/>
                <w:numId w:val="21"/>
              </w:numP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ґрунтова:</w:t>
            </w:r>
            <w:r/>
          </w:p>
        </w:tc>
        <w:tc>
          <w:tcPr>
            <w:tcW w:w="1854" w:type="dxa"/>
            <w:textDirection w:val="lrTb"/>
            <w:noWrap w:val="false"/>
          </w:tcPr>
          <w:p>
            <w:pPr>
              <w:jc w:val="center"/>
              <w:spacing w:lineRule="auto" w:line="240" w:after="0"/>
              <w:rPr>
                <w:rFonts w:ascii="Arial" w:hAnsi="Arial" w:cs="Arial" w:eastAsia="Calibri"/>
                <w:sz w:val="24"/>
                <w:szCs w:val="24"/>
                <w:lang w:val="uk-UA"/>
              </w:rPr>
            </w:pPr>
            <w:r>
              <w:rPr>
                <w:rFonts w:ascii="Arial" w:hAnsi="Arial" w:cs="Arial" w:eastAsia="Calibri"/>
                <w:sz w:val="24"/>
                <w:szCs w:val="24"/>
                <w:lang w:val="uk-UA"/>
              </w:rPr>
              <w:t xml:space="preserve">7,4</w:t>
            </w:r>
            <w:r/>
          </w:p>
        </w:tc>
      </w:tr>
    </w:tbl>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firstLine="539"/>
        <w:spacing w:lineRule="auto" w:line="240" w:after="0"/>
        <w:rPr>
          <w:rFonts w:ascii="Arial" w:hAnsi="Arial" w:cs="Arial"/>
          <w:b/>
          <w:sz w:val="24"/>
          <w:szCs w:val="24"/>
          <w:lang w:val="uk-UA"/>
        </w:rPr>
      </w:pPr>
      <w:r>
        <w:rPr>
          <w:rFonts w:ascii="Arial" w:hAnsi="Arial" w:cs="Arial"/>
          <w:b/>
          <w:sz w:val="24"/>
          <w:szCs w:val="24"/>
          <w:lang w:val="uk-UA"/>
        </w:rPr>
        <w:t xml:space="preserve">Приватний транспорт</w:t>
      </w:r>
      <w:r/>
    </w:p>
    <w:p>
      <w:pPr>
        <w:ind w:right="-1"/>
        <w:spacing w:lineRule="auto" w:line="240" w:after="0"/>
        <w:rPr>
          <w:rFonts w:ascii="Arial" w:hAnsi="Arial" w:cs="Arial"/>
          <w:b/>
          <w:color w:val="00B0F0"/>
          <w:sz w:val="24"/>
          <w:szCs w:val="24"/>
          <w:lang w:val="uk-UA"/>
        </w:rPr>
      </w:pPr>
      <w:r>
        <w:rPr>
          <w:rFonts w:ascii="Arial" w:hAnsi="Arial" w:cs="Arial"/>
          <w:b/>
          <w:color w:val="00B0F0"/>
          <w:sz w:val="24"/>
          <w:szCs w:val="24"/>
          <w:lang w:val="uk-UA"/>
        </w:rPr>
      </w:r>
      <w:r/>
    </w:p>
    <w:p>
      <w:pPr>
        <w:ind w:right="-1" w:firstLine="539"/>
        <w:jc w:val="both"/>
        <w:spacing w:lineRule="auto" w:line="240" w:after="0"/>
        <w:rPr>
          <w:rFonts w:ascii="Arial" w:hAnsi="Arial" w:cs="Arial"/>
          <w:sz w:val="24"/>
          <w:szCs w:val="24"/>
          <w:lang w:val="uk-UA" w:eastAsia="uk-UA"/>
        </w:rPr>
      </w:pPr>
      <w:r>
        <w:rPr>
          <w:rFonts w:ascii="Arial" w:hAnsi="Arial" w:cs="Arial"/>
          <w:sz w:val="24"/>
          <w:szCs w:val="24"/>
          <w:lang w:val="uk-UA" w:eastAsia="uk-UA"/>
        </w:rPr>
        <w:t xml:space="preserve">Згідно з даними Єдиного державного реєстру транспортних засобів МВС, на території </w:t>
      </w:r>
      <w:r>
        <w:rPr>
          <w:rFonts w:ascii="Arial" w:hAnsi="Arial" w:cs="Arial"/>
          <w:sz w:val="24"/>
          <w:szCs w:val="24"/>
          <w:lang w:val="uk-UA" w:eastAsia="uk-UA"/>
        </w:rPr>
        <w:t xml:space="preserve">Менської громади</w:t>
      </w:r>
      <w:r>
        <w:rPr>
          <w:rFonts w:ascii="Arial" w:hAnsi="Arial" w:cs="Arial"/>
          <w:sz w:val="24"/>
          <w:szCs w:val="24"/>
          <w:lang w:val="uk-UA" w:eastAsia="uk-UA"/>
        </w:rPr>
        <w:t xml:space="preserve"> зареєстровано:</w:t>
      </w:r>
      <w:r/>
    </w:p>
    <w:p>
      <w:pPr>
        <w:ind w:right="-1" w:firstLine="539"/>
        <w:jc w:val="both"/>
        <w:spacing w:lineRule="auto" w:line="240" w:after="0"/>
        <w:rPr>
          <w:rFonts w:ascii="Arial" w:hAnsi="Arial" w:cs="Arial"/>
          <w:sz w:val="24"/>
          <w:szCs w:val="24"/>
          <w:lang w:val="uk-UA" w:eastAsia="uk-UA"/>
        </w:rPr>
      </w:pPr>
      <w:r>
        <w:rPr>
          <w:rFonts w:ascii="Arial" w:hAnsi="Arial" w:cs="Arial"/>
          <w:sz w:val="24"/>
          <w:szCs w:val="24"/>
          <w:lang w:val="uk-UA" w:eastAsia="uk-UA"/>
        </w:rPr>
      </w:r>
      <w:r/>
    </w:p>
    <w:p>
      <w:pPr>
        <w:ind w:right="-1" w:firstLine="539"/>
        <w:jc w:val="both"/>
        <w:spacing w:lineRule="auto" w:line="240" w:after="0"/>
        <w:rPr>
          <w:rFonts w:ascii="Arial" w:hAnsi="Arial" w:cs="Arial"/>
          <w:sz w:val="24"/>
          <w:szCs w:val="24"/>
          <w:lang w:val="uk-UA" w:eastAsia="uk-UA"/>
        </w:rPr>
      </w:pPr>
      <w:r>
        <w:rPr>
          <w:rFonts w:ascii="Arial" w:hAnsi="Arial" w:cs="Arial"/>
          <w:sz w:val="24"/>
          <w:szCs w:val="24"/>
          <w:lang w:val="uk-UA" w:eastAsia="uk-UA"/>
        </w:rPr>
      </w:r>
      <w:r/>
    </w:p>
    <w:tbl>
      <w:tblPr>
        <w:tblStyle w:val="521"/>
        <w:tblW w:w="6777" w:type="dxa"/>
        <w:tblLook w:val="04A0" w:firstRow="1" w:lastRow="0" w:firstColumn="1" w:lastColumn="0" w:noHBand="0" w:noVBand="1"/>
      </w:tblPr>
      <w:tblGrid>
        <w:gridCol w:w="3388"/>
        <w:gridCol w:w="3389"/>
      </w:tblGrid>
      <w:tr>
        <w:trPr>
          <w:trHeight w:val="983"/>
        </w:trPr>
        <w:tc>
          <w:tcPr>
            <w:shd w:val="clear" w:color="auto" w:fill="00B050" w:themeFill="accent1"/>
            <w:tcW w:w="3388"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Тип пального</w:t>
            </w:r>
            <w:r/>
          </w:p>
        </w:tc>
        <w:tc>
          <w:tcPr>
            <w:shd w:val="clear" w:color="auto" w:fill="00B050" w:themeFill="accent1"/>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Кількість транспортних засобів</w:t>
            </w:r>
            <w:r/>
          </w:p>
        </w:tc>
      </w:tr>
      <w:tr>
        <w:trPr>
          <w:trHeight w:val="277"/>
        </w:trPr>
        <w:tc>
          <w:tcPr>
            <w:tcW w:w="3388"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Бензин</w:t>
            </w:r>
            <w:r/>
          </w:p>
        </w:tc>
        <w:tc>
          <w:tcPr>
            <w:tcW w:w="3389"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668</w:t>
            </w:r>
            <w:r/>
          </w:p>
        </w:tc>
      </w:tr>
      <w:tr>
        <w:trPr>
          <w:trHeight w:val="268"/>
        </w:trPr>
        <w:tc>
          <w:tcPr>
            <w:tcW w:w="3388"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Дизель</w:t>
            </w:r>
            <w:r/>
          </w:p>
        </w:tc>
        <w:tc>
          <w:tcPr>
            <w:tcW w:w="3389"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404</w:t>
            </w:r>
            <w:r/>
          </w:p>
        </w:tc>
      </w:tr>
      <w:tr>
        <w:trPr>
          <w:trHeight w:val="271"/>
        </w:trPr>
        <w:tc>
          <w:tcPr>
            <w:tcW w:w="3388"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Газ</w:t>
            </w:r>
            <w:r/>
          </w:p>
        </w:tc>
        <w:tc>
          <w:tcPr>
            <w:tcW w:w="3389"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741</w:t>
            </w:r>
            <w:r/>
          </w:p>
        </w:tc>
      </w:tr>
    </w:tbl>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firstLine="720"/>
        <w:spacing w:lineRule="auto" w:line="240" w:after="0"/>
        <w:rPr>
          <w:rFonts w:ascii="Arial" w:hAnsi="Arial" w:cs="Arial"/>
          <w:b/>
          <w:sz w:val="24"/>
          <w:szCs w:val="24"/>
          <w:lang w:val="uk-UA"/>
        </w:rPr>
      </w:pPr>
      <w:r>
        <w:rPr>
          <w:rFonts w:ascii="Arial" w:hAnsi="Arial" w:cs="Arial"/>
          <w:b/>
          <w:sz w:val="24"/>
          <w:szCs w:val="24"/>
          <w:lang w:val="uk-UA"/>
        </w:rPr>
        <w:t xml:space="preserve">Комунальний транспорт</w:t>
      </w:r>
      <w:r/>
    </w:p>
    <w:p>
      <w:pPr>
        <w:ind w:right="-1" w:firstLine="709"/>
        <w:jc w:val="center"/>
        <w:spacing w:lineRule="auto" w:line="240" w:after="0"/>
        <w:rPr>
          <w:rFonts w:ascii="Arial" w:hAnsi="Arial" w:cs="Arial"/>
          <w:sz w:val="24"/>
          <w:szCs w:val="24"/>
          <w:lang w:val="uk-UA"/>
        </w:rPr>
      </w:pPr>
      <w:r>
        <w:rPr>
          <w:rFonts w:ascii="Arial" w:hAnsi="Arial" w:cs="Arial"/>
          <w:sz w:val="24"/>
          <w:szCs w:val="24"/>
          <w:lang w:val="uk-UA"/>
        </w:rPr>
      </w:r>
      <w:r/>
    </w:p>
    <w:p>
      <w:pPr>
        <w:ind w:right="-1" w:firstLine="709"/>
        <w:jc w:val="center"/>
        <w:spacing w:lineRule="auto" w:line="240" w:after="0"/>
        <w:rPr>
          <w:rFonts w:ascii="Arial" w:hAnsi="Arial" w:cs="Arial"/>
          <w:sz w:val="24"/>
          <w:szCs w:val="24"/>
          <w:lang w:val="uk-UA"/>
        </w:rPr>
      </w:pPr>
      <w:r>
        <w:rPr>
          <w:rFonts w:ascii="Arial" w:hAnsi="Arial" w:cs="Arial"/>
          <w:sz w:val="24"/>
          <w:szCs w:val="24"/>
          <w:lang w:val="uk-UA"/>
        </w:rPr>
        <w:t xml:space="preserve">Споживання палива комунальним трансп</w:t>
      </w:r>
      <w:r>
        <w:rPr>
          <w:rFonts w:ascii="Arial" w:hAnsi="Arial" w:cs="Arial"/>
          <w:sz w:val="24"/>
          <w:szCs w:val="24"/>
          <w:lang w:val="uk-UA"/>
        </w:rPr>
        <w:t xml:space="preserve">ортом міста у тис літрів з 2016 </w:t>
      </w:r>
      <w:r>
        <w:rPr>
          <w:rFonts w:ascii="Arial" w:hAnsi="Arial" w:cs="Arial"/>
          <w:sz w:val="24"/>
          <w:szCs w:val="24"/>
          <w:lang w:val="uk-UA"/>
        </w:rPr>
        <w:t xml:space="preserve">по 2018 роки</w:t>
      </w:r>
      <w:r/>
    </w:p>
    <w:tbl>
      <w:tblPr>
        <w:tblStyle w:val="521"/>
        <w:tblW w:w="6991" w:type="dxa"/>
        <w:tblLook w:val="04A0" w:firstRow="1" w:lastRow="0" w:firstColumn="1" w:lastColumn="0" w:noHBand="0" w:noVBand="1"/>
      </w:tblPr>
      <w:tblGrid>
        <w:gridCol w:w="2411"/>
        <w:gridCol w:w="1537"/>
        <w:gridCol w:w="1537"/>
        <w:gridCol w:w="1506"/>
      </w:tblGrid>
      <w:tr>
        <w:trPr>
          <w:trHeight w:val="303"/>
        </w:trPr>
        <w:tc>
          <w:tcPr>
            <w:shd w:val="clear" w:color="auto" w:fill="00B050" w:themeFill="accent1"/>
            <w:tcW w:w="2411"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r>
            <w:r/>
          </w:p>
        </w:tc>
        <w:tc>
          <w:tcPr>
            <w:shd w:val="clear" w:color="auto" w:fill="00B050" w:themeFill="accent1"/>
            <w:tcW w:w="15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2016</w:t>
            </w:r>
            <w:r/>
          </w:p>
        </w:tc>
        <w:tc>
          <w:tcPr>
            <w:shd w:val="clear" w:color="auto" w:fill="00B050" w:themeFill="accent1"/>
            <w:tcW w:w="15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2017</w:t>
            </w:r>
            <w:r/>
          </w:p>
        </w:tc>
        <w:tc>
          <w:tcPr>
            <w:shd w:val="clear" w:color="auto" w:fill="00B050" w:themeFill="accent1"/>
            <w:tcW w:w="150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2018</w:t>
            </w:r>
            <w:r/>
          </w:p>
        </w:tc>
      </w:tr>
      <w:tr>
        <w:trPr>
          <w:trHeight w:val="280"/>
        </w:trPr>
        <w:tc>
          <w:tcPr>
            <w:tcW w:w="2411"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Бензин</w:t>
            </w:r>
            <w:r/>
          </w:p>
        </w:tc>
        <w:tc>
          <w:tcPr>
            <w:tcW w:w="15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6,082</w:t>
            </w:r>
            <w:r/>
          </w:p>
        </w:tc>
        <w:tc>
          <w:tcPr>
            <w:tcW w:w="15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12,66</w:t>
            </w:r>
            <w:r/>
          </w:p>
        </w:tc>
        <w:tc>
          <w:tcPr>
            <w:tcW w:w="150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12,33</w:t>
            </w:r>
            <w:r/>
          </w:p>
        </w:tc>
      </w:tr>
      <w:tr>
        <w:trPr>
          <w:trHeight w:val="269"/>
        </w:trPr>
        <w:tc>
          <w:tcPr>
            <w:tcW w:w="2411"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Дизель</w:t>
            </w:r>
            <w:r/>
          </w:p>
        </w:tc>
        <w:tc>
          <w:tcPr>
            <w:tcW w:w="15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4,8</w:t>
            </w:r>
            <w:r/>
          </w:p>
        </w:tc>
        <w:tc>
          <w:tcPr>
            <w:tcW w:w="15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9,998</w:t>
            </w:r>
            <w:r/>
          </w:p>
        </w:tc>
        <w:tc>
          <w:tcPr>
            <w:tcW w:w="150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17,714</w:t>
            </w:r>
            <w:r/>
          </w:p>
        </w:tc>
      </w:tr>
      <w:tr>
        <w:trPr>
          <w:trHeight w:val="276"/>
        </w:trPr>
        <w:tc>
          <w:tcPr>
            <w:tcW w:w="2411"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Газ</w:t>
            </w:r>
            <w:r/>
          </w:p>
        </w:tc>
        <w:tc>
          <w:tcPr>
            <w:tcW w:w="15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22,7</w:t>
            </w:r>
            <w:r/>
          </w:p>
        </w:tc>
        <w:tc>
          <w:tcPr>
            <w:tcW w:w="15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26,4</w:t>
            </w:r>
            <w:r/>
          </w:p>
        </w:tc>
        <w:tc>
          <w:tcPr>
            <w:tcW w:w="150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30,3</w:t>
            </w:r>
            <w:r/>
          </w:p>
        </w:tc>
      </w:tr>
    </w:tbl>
    <w:p>
      <w:pPr>
        <w:ind w:right="-1" w:firstLine="709"/>
        <w:jc w:val="center"/>
        <w:spacing w:lineRule="auto" w:line="240" w:after="0"/>
        <w:rPr>
          <w:rFonts w:ascii="Arial" w:hAnsi="Arial" w:cs="Arial"/>
          <w:sz w:val="24"/>
          <w:szCs w:val="24"/>
          <w:lang w:val="uk-UA"/>
        </w:rPr>
      </w:pPr>
      <w:r>
        <w:rPr>
          <w:rFonts w:ascii="Arial" w:hAnsi="Arial" w:cs="Arial"/>
          <w:sz w:val="24"/>
          <w:szCs w:val="24"/>
          <w:lang w:val="uk-UA"/>
        </w:rPr>
      </w:r>
      <w:r/>
    </w:p>
    <w:p>
      <w:pPr>
        <w:ind w:right="-1" w:firstLine="709"/>
        <w:spacing w:lineRule="auto" w:line="240" w:after="0"/>
        <w:rPr>
          <w:rFonts w:ascii="Arial" w:hAnsi="Arial" w:cs="Arial"/>
          <w:b/>
          <w:sz w:val="24"/>
          <w:szCs w:val="24"/>
          <w:lang w:val="uk-UA"/>
        </w:rPr>
      </w:pPr>
      <w:r>
        <w:rPr>
          <w:rFonts w:ascii="Arial" w:hAnsi="Arial" w:cs="Arial"/>
          <w:b/>
          <w:sz w:val="24"/>
          <w:szCs w:val="24"/>
          <w:lang w:val="uk-UA"/>
        </w:rPr>
        <w:t xml:space="preserve">Пасажирський транспорт</w:t>
      </w:r>
      <w:r/>
    </w:p>
    <w:p>
      <w:pPr>
        <w:ind w:right="-1" w:firstLine="720"/>
        <w:spacing w:lineRule="auto" w:line="240" w:after="0"/>
        <w:rPr>
          <w:rFonts w:ascii="Arial" w:hAnsi="Arial" w:cs="Arial"/>
          <w:sz w:val="24"/>
          <w:szCs w:val="24"/>
          <w:lang w:val="uk-UA"/>
        </w:rPr>
      </w:pPr>
      <w:r>
        <w:rPr>
          <w:rFonts w:ascii="Arial" w:hAnsi="Arial" w:cs="Arial"/>
          <w:sz w:val="24"/>
          <w:szCs w:val="24"/>
          <w:lang w:val="uk-UA"/>
        </w:rPr>
      </w:r>
      <w:r/>
    </w:p>
    <w:p>
      <w:pPr>
        <w:ind w:right="-1" w:firstLine="720"/>
        <w:spacing w:lineRule="auto" w:line="240" w:after="0"/>
        <w:rPr>
          <w:rFonts w:ascii="Arial" w:hAnsi="Arial" w:cs="Arial"/>
          <w:sz w:val="24"/>
          <w:szCs w:val="24"/>
          <w:lang w:val="uk-UA"/>
        </w:rPr>
      </w:pPr>
      <w:r>
        <w:rPr>
          <w:rFonts w:ascii="Arial" w:hAnsi="Arial" w:cs="Arial"/>
          <w:sz w:val="24"/>
          <w:szCs w:val="24"/>
          <w:lang w:val="uk-UA"/>
        </w:rPr>
        <w:t xml:space="preserve">Перевезення пасажирів здійснюється за двома маршрутами:</w:t>
      </w:r>
      <w:r/>
    </w:p>
    <w:p>
      <w:pPr>
        <w:ind w:right="-1" w:firstLine="720"/>
        <w:spacing w:lineRule="auto" w:line="240" w:after="0"/>
        <w:rPr>
          <w:rFonts w:ascii="Arial" w:hAnsi="Arial" w:cs="Arial"/>
          <w:sz w:val="24"/>
          <w:szCs w:val="24"/>
          <w:lang w:val="uk-UA"/>
        </w:rPr>
      </w:pPr>
      <w:r>
        <w:rPr>
          <w:rFonts w:ascii="Arial" w:hAnsi="Arial" w:cs="Arial"/>
          <w:sz w:val="24"/>
          <w:szCs w:val="24"/>
          <w:lang w:val="uk-UA"/>
        </w:rPr>
        <w:t xml:space="preserve">вул. Лермонтова - вул. Сіверський шлях</w:t>
      </w:r>
      <w:r>
        <w:rPr>
          <w:rFonts w:ascii="Arial" w:hAnsi="Arial" w:cs="Arial"/>
          <w:sz w:val="24"/>
          <w:szCs w:val="24"/>
          <w:lang w:val="uk-UA"/>
        </w:rPr>
        <w:t xml:space="preserve"> (протяжність маршруту 7 км, кількість рейсів – 5, транспортний засіб - </w:t>
      </w:r>
      <w:r>
        <w:rPr>
          <w:rFonts w:ascii="Arial" w:hAnsi="Arial" w:cs="Arial"/>
          <w:sz w:val="24"/>
          <w:szCs w:val="24"/>
          <w:lang w:val="uk-UA"/>
        </w:rPr>
        <w:t xml:space="preserve">БАЗ А079.23</w:t>
      </w:r>
      <w:r>
        <w:rPr>
          <w:rFonts w:ascii="Arial" w:hAnsi="Arial" w:cs="Arial"/>
          <w:sz w:val="24"/>
          <w:szCs w:val="24"/>
          <w:lang w:val="uk-UA"/>
        </w:rPr>
        <w:t xml:space="preserve">, тип палива - дизель)</w:t>
      </w:r>
      <w:r/>
    </w:p>
    <w:p>
      <w:pPr>
        <w:ind w:right="-1" w:firstLine="720"/>
        <w:spacing w:lineRule="auto" w:line="240" w:after="0"/>
        <w:rPr>
          <w:rFonts w:ascii="Arial" w:hAnsi="Arial" w:cs="Arial"/>
          <w:sz w:val="24"/>
          <w:szCs w:val="24"/>
          <w:lang w:val="uk-UA"/>
        </w:rPr>
      </w:pPr>
      <w:r>
        <w:rPr>
          <w:rFonts w:ascii="Arial" w:hAnsi="Arial" w:cs="Arial"/>
          <w:sz w:val="24"/>
          <w:szCs w:val="24"/>
          <w:lang w:val="uk-UA"/>
        </w:rPr>
        <w:t xml:space="preserve">вул. Сидоренка - вул. Сіверський шлях</w:t>
      </w:r>
      <w:r>
        <w:rPr>
          <w:rFonts w:ascii="Arial" w:hAnsi="Arial" w:cs="Arial"/>
          <w:sz w:val="24"/>
          <w:szCs w:val="24"/>
          <w:lang w:val="uk-UA"/>
        </w:rPr>
        <w:t xml:space="preserve"> (протяжність маршруту 8,5 км, кількість рейсів – 4, транспортний засіб - </w:t>
      </w:r>
      <w:r>
        <w:rPr>
          <w:rFonts w:ascii="Arial" w:hAnsi="Arial" w:cs="Arial"/>
          <w:sz w:val="24"/>
          <w:szCs w:val="24"/>
          <w:lang w:val="uk-UA"/>
        </w:rPr>
        <w:t xml:space="preserve">ПАЗ 4234</w:t>
      </w:r>
      <w:r>
        <w:rPr>
          <w:rFonts w:ascii="Arial" w:hAnsi="Arial" w:cs="Arial"/>
          <w:sz w:val="24"/>
          <w:szCs w:val="24"/>
          <w:lang w:val="uk-UA"/>
        </w:rPr>
        <w:t xml:space="preserve">, тип палива - дизель)</w:t>
      </w:r>
      <w:r/>
    </w:p>
    <w:p>
      <w:pPr>
        <w:ind w:right="-1" w:firstLine="709"/>
        <w:spacing w:lineRule="auto" w:line="240" w:after="0"/>
        <w:rPr>
          <w:rFonts w:ascii="Arial" w:hAnsi="Arial" w:cs="Arial"/>
          <w:sz w:val="24"/>
          <w:szCs w:val="24"/>
          <w:lang w:val="uk-UA"/>
        </w:rPr>
      </w:pPr>
      <w:r>
        <w:rPr>
          <w:rFonts w:ascii="Arial" w:hAnsi="Arial" w:cs="Arial"/>
          <w:sz w:val="24"/>
          <w:szCs w:val="24"/>
          <w:lang w:val="uk-UA"/>
        </w:rPr>
      </w:r>
      <w:r/>
    </w:p>
    <w:p>
      <w:pPr>
        <w:ind w:right="-1"/>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2" w:sep="0" w:space="708" w:equalWidth="1"/>
          <w:docGrid w:linePitch="360"/>
          <w:titlePg/>
        </w:sectPr>
      </w:pPr>
      <w:r>
        <w:rPr>
          <w:rFonts w:ascii="Arial" w:hAnsi="Arial" w:cs="Arial"/>
          <w:b/>
          <w:sz w:val="24"/>
          <w:szCs w:val="24"/>
          <w:lang w:val="uk-UA"/>
        </w:rPr>
        <w:tab/>
      </w:r>
      <w:r/>
    </w:p>
    <w:p>
      <w:pPr>
        <w:ind w:right="-1" w:firstLine="720"/>
        <w:spacing w:lineRule="auto" w:line="240" w:after="0"/>
        <w:rPr>
          <w:rFonts w:ascii="Arial" w:hAnsi="Arial" w:cs="Arial"/>
          <w:b/>
          <w:sz w:val="24"/>
          <w:szCs w:val="24"/>
          <w:lang w:val="uk-UA"/>
        </w:rPr>
      </w:pPr>
      <w:r>
        <w:rPr>
          <w:rFonts w:ascii="Arial" w:hAnsi="Arial" w:cs="Arial"/>
          <w:b/>
          <w:sz w:val="24"/>
          <w:szCs w:val="24"/>
          <w:lang w:val="uk-UA"/>
        </w:rPr>
      </w:r>
      <w:r/>
    </w:p>
    <w:p>
      <w:pPr>
        <w:ind w:right="-1" w:firstLine="720"/>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2" w:sep="0" w:space="708" w:equalWidth="1"/>
          <w:docGrid w:linePitch="360"/>
          <w:titlePg/>
        </w:sectPr>
      </w:pPr>
      <w:r>
        <w:rPr>
          <w:rFonts w:ascii="Arial" w:hAnsi="Arial" w:cs="Arial"/>
          <w:b/>
          <w:sz w:val="24"/>
          <w:szCs w:val="24"/>
          <w:lang w:val="uk-UA"/>
        </w:rPr>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jc w:val="center"/>
        <w:spacing w:lineRule="auto" w:line="240" w:after="0"/>
        <w:rPr>
          <w:rFonts w:ascii="Arial" w:hAnsi="Arial" w:cs="Arial"/>
          <w:b/>
          <w:sz w:val="28"/>
          <w:szCs w:val="28"/>
          <w:lang w:val="uk-UA"/>
        </w:rPr>
      </w:pPr>
      <w:r>
        <w:rPr>
          <w:rFonts w:ascii="Arial" w:hAnsi="Arial" w:cs="Arial"/>
          <w:b/>
          <w:sz w:val="28"/>
          <w:szCs w:val="28"/>
          <w:lang w:val="uk-UA"/>
        </w:rPr>
        <w:t xml:space="preserve">2.2. Аналіз  споживання паливно енергетичних ресурсів</w:t>
      </w:r>
      <w:r/>
    </w:p>
    <w:p>
      <w:pPr>
        <w:ind w:right="-1" w:firstLine="720"/>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sz w:val="24"/>
          <w:szCs w:val="24"/>
          <w:lang w:val="uk-UA"/>
        </w:rPr>
      </w:r>
      <w:r/>
    </w:p>
    <w:p>
      <w:pPr>
        <w:ind w:right="-1" w:firstLine="720"/>
        <w:spacing w:lineRule="auto" w:line="240" w:after="0"/>
        <w:rPr>
          <w:rFonts w:ascii="Arial" w:hAnsi="Arial" w:cs="Arial"/>
          <w:b/>
          <w:sz w:val="24"/>
          <w:szCs w:val="24"/>
          <w:lang w:val="uk-UA"/>
        </w:rPr>
      </w:pPr>
      <w:r>
        <w:rPr>
          <w:rFonts w:ascii="Arial" w:hAnsi="Arial" w:cs="Arial"/>
          <w:b/>
          <w:sz w:val="24"/>
          <w:szCs w:val="24"/>
          <w:lang w:val="uk-UA"/>
        </w:rPr>
      </w:r>
      <w:r/>
    </w:p>
    <w:p>
      <w:pPr>
        <w:ind w:right="-1" w:firstLine="720"/>
        <w:spacing w:lineRule="auto" w:line="240" w:after="0"/>
        <w:rPr>
          <w:rFonts w:ascii="Arial" w:hAnsi="Arial" w:cs="Arial"/>
          <w:b/>
          <w:sz w:val="24"/>
          <w:szCs w:val="24"/>
          <w:lang w:val="uk-UA"/>
        </w:rPr>
      </w:pPr>
      <w:r>
        <w:rPr>
          <w:rFonts w:ascii="Arial" w:hAnsi="Arial" w:cs="Arial"/>
          <w:b/>
          <w:sz w:val="24"/>
          <w:szCs w:val="24"/>
          <w:lang w:val="uk-UA"/>
        </w:rPr>
        <w:t xml:space="preserve">2.</w:t>
      </w:r>
      <w:r>
        <w:rPr>
          <w:rFonts w:ascii="Arial" w:hAnsi="Arial" w:cs="Arial"/>
          <w:b/>
          <w:sz w:val="24"/>
          <w:szCs w:val="24"/>
          <w:lang w:val="uk-UA"/>
        </w:rPr>
        <w:t xml:space="preserve">2.</w:t>
      </w:r>
      <w:r>
        <w:rPr>
          <w:rFonts w:ascii="Arial" w:hAnsi="Arial" w:cs="Arial"/>
          <w:b/>
          <w:sz w:val="24"/>
          <w:szCs w:val="24"/>
          <w:lang w:val="uk-UA"/>
        </w:rPr>
        <w:t xml:space="preserve">1. Газопостачання</w:t>
      </w:r>
      <w:r/>
    </w:p>
    <w:p>
      <w:pPr>
        <w:ind w:right="-1" w:firstLine="720"/>
        <w:jc w:val="both"/>
        <w:spacing w:lineRule="auto" w:line="240" w:after="0"/>
        <w:rPr>
          <w:rFonts w:ascii="Arial" w:hAnsi="Arial" w:cs="Arial"/>
          <w:b/>
          <w:color w:val="0099FF"/>
          <w:sz w:val="24"/>
          <w:szCs w:val="24"/>
          <w:lang w:val="uk-UA"/>
        </w:rPr>
      </w:pPr>
      <w:r>
        <w:rPr>
          <w:rFonts w:ascii="Arial" w:hAnsi="Arial" w:cs="Arial"/>
          <w:b/>
          <w:color w:val="0099FF"/>
          <w:sz w:val="24"/>
          <w:szCs w:val="24"/>
          <w:lang w:val="uk-UA"/>
        </w:rPr>
      </w:r>
      <w:r/>
    </w:p>
    <w:p>
      <w:pPr>
        <w:ind w:firstLine="709"/>
        <w:jc w:val="both"/>
        <w:spacing w:lineRule="auto" w:line="240" w:after="0"/>
        <w:rPr>
          <w:rFonts w:ascii="Arial" w:hAnsi="Arial" w:cs="Arial"/>
          <w:sz w:val="24"/>
          <w:szCs w:val="24"/>
          <w:lang w:val="uk-UA"/>
        </w:rPr>
      </w:pPr>
      <w:r>
        <w:rPr>
          <w:rFonts w:ascii="Arial" w:hAnsi="Arial" w:cs="Arial"/>
          <w:sz w:val="24"/>
          <w:szCs w:val="24"/>
          <w:lang w:val="uk-UA"/>
        </w:rPr>
        <w:t xml:space="preserve">Газопостачання </w:t>
      </w:r>
      <w:r>
        <w:rPr>
          <w:rFonts w:ascii="Arial" w:hAnsi="Arial" w:cs="Arial"/>
          <w:sz w:val="24"/>
          <w:szCs w:val="24"/>
          <w:lang w:val="uk-UA"/>
        </w:rPr>
        <w:t xml:space="preserve">на території Менської громади здійснює </w:t>
      </w:r>
      <w:r>
        <w:rPr>
          <w:rFonts w:ascii="Arial" w:hAnsi="Arial" w:cs="Arial"/>
          <w:sz w:val="24"/>
          <w:szCs w:val="24"/>
          <w:lang w:val="uk-UA"/>
        </w:rPr>
        <w:t xml:space="preserve">АТ «Чернігівгаз»</w:t>
      </w:r>
      <w:r/>
    </w:p>
    <w:p>
      <w:pPr>
        <w:jc w:val="both"/>
        <w:spacing w:lineRule="auto" w:line="240" w:after="0"/>
        <w:rPr>
          <w:rFonts w:ascii="Arial" w:hAnsi="Arial" w:cs="Arial"/>
          <w:b/>
          <w:color w:val="0099FF"/>
          <w:sz w:val="24"/>
          <w:szCs w:val="24"/>
          <w:lang w:val="uk-UA"/>
        </w:rPr>
      </w:pPr>
      <w:r>
        <w:rPr>
          <w:rFonts w:ascii="Arial" w:hAnsi="Arial" w:cs="Arial"/>
          <w:sz w:val="24"/>
          <w:szCs w:val="24"/>
          <w:lang w:val="uk-UA"/>
        </w:rPr>
        <w:t xml:space="preserve">            </w:t>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Фактичне споживання природного газу по групах споживачів в тис</w:t>
      </w:r>
      <w:r>
        <w:rPr>
          <w:rFonts w:ascii="Arial" w:hAnsi="Arial" w:cs="Arial"/>
          <w:b/>
          <w:sz w:val="24"/>
          <w:szCs w:val="24"/>
          <w:lang w:val="uk-UA"/>
        </w:rPr>
        <w:t xml:space="preserve">.</w:t>
      </w:r>
      <w:r>
        <w:rPr>
          <w:rFonts w:ascii="Arial" w:hAnsi="Arial" w:cs="Arial"/>
          <w:b/>
          <w:sz w:val="24"/>
          <w:szCs w:val="24"/>
          <w:lang w:val="uk-UA"/>
        </w:rPr>
        <w:t xml:space="preserve"> м</w:t>
      </w:r>
      <w:r>
        <w:rPr>
          <w:rFonts w:ascii="Arial" w:hAnsi="Arial" w:cs="Arial"/>
          <w:b/>
          <w:sz w:val="24"/>
          <w:szCs w:val="24"/>
          <w:vertAlign w:val="superscript"/>
          <w:lang w:val="uk-UA"/>
        </w:rPr>
        <w:t xml:space="preserve">3</w:t>
      </w:r>
      <w:r>
        <w:rPr>
          <w:rFonts w:ascii="Arial" w:hAnsi="Arial" w:cs="Arial"/>
          <w:b/>
          <w:sz w:val="24"/>
          <w:szCs w:val="24"/>
          <w:vertAlign w:val="superscript"/>
          <w:lang w:val="uk-UA"/>
        </w:rPr>
        <w:t xml:space="preserve"> </w:t>
      </w:r>
      <w:r>
        <w:rPr>
          <w:rFonts w:ascii="Arial" w:hAnsi="Arial" w:cs="Arial"/>
          <w:b/>
          <w:sz w:val="24"/>
          <w:szCs w:val="24"/>
          <w:lang w:val="uk-UA"/>
        </w:rPr>
        <w:t xml:space="preserve">з 2018 по 2019</w:t>
      </w:r>
      <w:r>
        <w:rPr>
          <w:rFonts w:ascii="Arial" w:hAnsi="Arial" w:cs="Arial"/>
          <w:b/>
          <w:sz w:val="24"/>
          <w:szCs w:val="24"/>
          <w:lang w:val="uk-UA"/>
        </w:rPr>
        <w:t xml:space="preserve"> роки </w:t>
      </w:r>
      <w:r/>
    </w:p>
    <w:p>
      <w:pPr>
        <w:ind w:right="-1"/>
        <w:jc w:val="right"/>
        <w:spacing w:lineRule="auto" w:line="240" w:after="0"/>
        <w:rPr>
          <w:rFonts w:ascii="Arial" w:hAnsi="Arial" w:cs="Arial"/>
          <w:b/>
          <w:sz w:val="24"/>
          <w:szCs w:val="24"/>
          <w:lang w:val="uk-UA"/>
        </w:rPr>
      </w:pPr>
      <w:r>
        <w:rPr>
          <w:rFonts w:ascii="Arial" w:hAnsi="Arial" w:cs="Arial"/>
          <w:b/>
          <w:sz w:val="24"/>
          <w:szCs w:val="24"/>
          <w:lang w:val="uk-UA"/>
        </w:rPr>
      </w:r>
      <w:r/>
    </w:p>
    <w:tbl>
      <w:tblPr>
        <w:tblW w:w="7099"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A0" w:firstRow="1" w:lastRow="0" w:firstColumn="1" w:lastColumn="0" w:noHBand="0" w:noVBand="0"/>
      </w:tblPr>
      <w:tblGrid>
        <w:gridCol w:w="4379"/>
        <w:gridCol w:w="1360"/>
        <w:gridCol w:w="1360"/>
      </w:tblGrid>
      <w:tr>
        <w:trPr>
          <w:jc w:val="center"/>
          <w:trHeight w:val="928"/>
        </w:trPr>
        <w:tc>
          <w:tcPr>
            <w:shd w:val="clear" w:color="auto" w:fill="00B050" w:themeFill="accent1"/>
            <w:tcW w:w="4379" w:type="dxa"/>
            <w:vAlign w:val="center"/>
            <w:textDirection w:val="lrTb"/>
            <w:noWrap w:val="false"/>
          </w:tcPr>
          <w:p>
            <w:pPr>
              <w:ind w:left="171" w:right="-1" w:hanging="17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t xml:space="preserve">Категорія</w:t>
            </w:r>
            <w:r/>
          </w:p>
        </w:tc>
        <w:tc>
          <w:tcPr>
            <w:shd w:val="clear" w:color="auto" w:fill="00B050" w:themeFill="accent1"/>
            <w:tcW w:w="1360" w:type="dxa"/>
            <w:vAlign w:val="center"/>
            <w:textDirection w:val="lrTb"/>
            <w:noWrap w:val="false"/>
          </w:tcPr>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t xml:space="preserve">2018</w:t>
            </w:r>
            <w:r/>
          </w:p>
        </w:tc>
        <w:tc>
          <w:tcPr>
            <w:shd w:val="clear" w:color="auto" w:fill="00B050" w:themeFill="accent1"/>
            <w:tcW w:w="1360" w:type="dxa"/>
            <w:vAlign w:val="center"/>
            <w:textDirection w:val="lrTb"/>
            <w:noWrap w:val="false"/>
          </w:tcPr>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t xml:space="preserve">2019</w:t>
            </w:r>
            <w:r/>
          </w:p>
        </w:tc>
      </w:tr>
      <w:tr>
        <w:trPr>
          <w:jc w:val="center"/>
          <w:trHeight w:val="624"/>
        </w:trPr>
        <w:tc>
          <w:tcPr>
            <w:shd w:val="clear" w:color="auto" w:fill="FFFFFF" w:themeFill="background1"/>
            <w:tcW w:w="4379" w:type="dxa"/>
            <w:vAlign w:val="center"/>
            <w:textDirection w:val="lrTb"/>
            <w:noWrap w:val="false"/>
          </w:tcPr>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t xml:space="preserve">Муніципальний сектор в </w:t>
            </w:r>
            <w:r>
              <w:rPr>
                <w:rFonts w:ascii="Arial" w:hAnsi="Arial" w:cs="Arial"/>
                <w:b/>
                <w:color w:val="000000"/>
                <w:sz w:val="24"/>
                <w:szCs w:val="24"/>
                <w:lang w:val="uk-UA"/>
              </w:rPr>
              <w:t xml:space="preserve">т.ч</w:t>
            </w:r>
            <w:r>
              <w:rPr>
                <w:rFonts w:ascii="Arial" w:hAnsi="Arial" w:cs="Arial"/>
                <w:b/>
                <w:color w:val="000000"/>
                <w:sz w:val="24"/>
                <w:szCs w:val="24"/>
                <w:lang w:val="uk-UA"/>
              </w:rPr>
              <w:t xml:space="preserve">.:</w:t>
            </w:r>
            <w:r/>
          </w:p>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1243,184</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904,25</w:t>
            </w:r>
            <w:r/>
          </w:p>
        </w:tc>
      </w:tr>
      <w:tr>
        <w:trPr>
          <w:jc w:val="center"/>
          <w:trHeight w:val="624"/>
        </w:trPr>
        <w:tc>
          <w:tcPr>
            <w:shd w:val="clear" w:color="auto" w:fill="FFFFFF" w:themeFill="background1"/>
            <w:tcW w:w="4379" w:type="dxa"/>
            <w:vAlign w:val="center"/>
            <w:textDirection w:val="lrTb"/>
            <w:noWrap w:val="false"/>
          </w:tcPr>
          <w:p>
            <w:pPr>
              <w:pStyle w:val="557"/>
              <w:numPr>
                <w:ilvl w:val="0"/>
                <w:numId w:val="16"/>
              </w:numPr>
              <w:ind w:left="171"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муніципальні будівлі</w:t>
            </w:r>
            <w:r/>
          </w:p>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426,721</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285,259</w:t>
            </w:r>
            <w:r/>
          </w:p>
        </w:tc>
      </w:tr>
      <w:tr>
        <w:trPr>
          <w:jc w:val="center"/>
          <w:trHeight w:val="624"/>
        </w:trPr>
        <w:tc>
          <w:tcPr>
            <w:shd w:val="clear" w:color="auto" w:fill="FFFFFF" w:themeFill="background1"/>
            <w:tcW w:w="4379" w:type="dxa"/>
            <w:vAlign w:val="center"/>
            <w:textDirection w:val="lrTb"/>
            <w:noWrap w:val="false"/>
          </w:tcPr>
          <w:p>
            <w:pPr>
              <w:pStyle w:val="557"/>
              <w:numPr>
                <w:ilvl w:val="0"/>
                <w:numId w:val="16"/>
              </w:numPr>
              <w:ind w:left="313" w:right="-1"/>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теплопостачальне підприємство</w:t>
            </w:r>
            <w:r/>
          </w:p>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816,463</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618,991</w:t>
            </w:r>
            <w:r/>
          </w:p>
        </w:tc>
      </w:tr>
      <w:tr>
        <w:trPr>
          <w:jc w:val="center"/>
          <w:trHeight w:val="624"/>
        </w:trPr>
        <w:tc>
          <w:tcPr>
            <w:shd w:val="clear" w:color="auto" w:fill="FFFFFF" w:themeFill="background1"/>
            <w:tcW w:w="4379" w:type="dxa"/>
            <w:vAlign w:val="center"/>
            <w:textDirection w:val="lrTb"/>
            <w:noWrap w:val="false"/>
          </w:tcPr>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t xml:space="preserve">Населення</w:t>
            </w:r>
            <w:r/>
          </w:p>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4767,153</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4641,941</w:t>
            </w:r>
            <w:r/>
          </w:p>
        </w:tc>
      </w:tr>
      <w:tr>
        <w:trPr>
          <w:jc w:val="center"/>
          <w:trHeight w:val="624"/>
        </w:trPr>
        <w:tc>
          <w:tcPr>
            <w:shd w:val="clear" w:color="auto" w:fill="FFFFFF" w:themeFill="background1"/>
            <w:tcW w:w="4379" w:type="dxa"/>
            <w:vAlign w:val="center"/>
            <w:textDirection w:val="lrTb"/>
            <w:noWrap w:val="false"/>
          </w:tcPr>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t xml:space="preserve">Промисловість</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4094,1</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3483,942</w:t>
            </w:r>
            <w:r/>
          </w:p>
        </w:tc>
      </w:tr>
      <w:tr>
        <w:trPr>
          <w:jc w:val="center"/>
          <w:trHeight w:val="624"/>
        </w:trPr>
        <w:tc>
          <w:tcPr>
            <w:shd w:val="clear" w:color="auto" w:fill="FFFFFF" w:themeFill="background1"/>
            <w:tcW w:w="4379" w:type="dxa"/>
            <w:vAlign w:val="center"/>
            <w:textDirection w:val="lrTb"/>
            <w:noWrap w:val="false"/>
          </w:tcPr>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t xml:space="preserve">Третинний сектор</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58,392</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47,103</w:t>
            </w:r>
            <w:r/>
          </w:p>
        </w:tc>
      </w:tr>
      <w:tr>
        <w:trPr>
          <w:jc w:val="center"/>
          <w:trHeight w:val="624"/>
        </w:trPr>
        <w:tc>
          <w:tcPr>
            <w:shd w:val="clear" w:color="auto" w:fill="FFFFFF" w:themeFill="background1"/>
            <w:tcW w:w="4379" w:type="dxa"/>
            <w:vAlign w:val="center"/>
            <w:textDirection w:val="lrTb"/>
            <w:noWrap w:val="false"/>
          </w:tcPr>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t xml:space="preserve">Інші споживачі</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1064,263</w:t>
            </w:r>
            <w:r/>
          </w:p>
        </w:tc>
        <w:tc>
          <w:tcPr>
            <w:shd w:val="clear" w:color="auto" w:fill="FFFFFF" w:themeFill="background1"/>
            <w:tcW w:w="1360"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619,776</w:t>
            </w:r>
            <w:r/>
          </w:p>
        </w:tc>
      </w:tr>
    </w:tbl>
    <w:p>
      <w:pPr>
        <w:ind w:right="-1"/>
        <w:spacing w:lineRule="auto" w:line="240" w:after="0"/>
        <w:rPr>
          <w:rFonts w:ascii="Arial" w:hAnsi="Arial" w:cs="Arial"/>
          <w:sz w:val="20"/>
          <w:szCs w:val="20"/>
          <w:lang w:val="uk-UA"/>
        </w:rPr>
      </w:pPr>
      <w:r>
        <w:rPr>
          <w:rFonts w:ascii="Arial" w:hAnsi="Arial" w:cs="Arial"/>
          <w:sz w:val="20"/>
          <w:szCs w:val="20"/>
          <w:lang w:val="uk-UA"/>
        </w:rPr>
      </w:r>
      <w:r/>
    </w:p>
    <w:p>
      <w:pPr>
        <w:ind w:right="-1"/>
        <w:spacing w:lineRule="auto" w:line="240" w:after="0"/>
        <w:rPr>
          <w:sz w:val="18"/>
          <w:szCs w:val="18"/>
          <w:lang w:val="uk-UA"/>
        </w:rPr>
      </w:pPr>
      <w:r>
        <w:rPr>
          <w:sz w:val="18"/>
          <w:szCs w:val="18"/>
          <w:lang w:val="uk-UA" w:eastAsia="uk-UA"/>
        </w:rPr>
        <w:drawing>
          <wp:inline distT="0" distB="0" distL="0" distR="0">
            <wp:extent cx="4019550" cy="2105025"/>
            <wp:effectExtent l="0" t="0" r="0" b="0"/>
            <wp:docPr id="18" name="Диаграмма 27"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p>
    <w:p>
      <w:pPr>
        <w:ind w:right="-1"/>
        <w:spacing w:lineRule="auto" w:line="240" w:after="0"/>
        <w:rPr>
          <w:rFonts w:ascii="Arial" w:hAnsi="Arial" w:cs="Arial"/>
          <w:b/>
          <w:color w:val="0099FF"/>
          <w:sz w:val="24"/>
          <w:szCs w:val="24"/>
          <w:lang w:val="uk-UA"/>
        </w:rPr>
      </w:pPr>
      <w:r>
        <w:rPr>
          <w:rFonts w:ascii="Arial" w:hAnsi="Arial" w:cs="Arial"/>
          <w:b/>
          <w:color w:val="0099FF"/>
          <w:sz w:val="24"/>
          <w:szCs w:val="24"/>
          <w:lang w:val="uk-UA" w:eastAsia="uk-UA"/>
        </w:rPr>
        <w:drawing>
          <wp:inline distT="0" distB="0" distL="0" distR="0">
            <wp:extent cx="4010025" cy="3124200"/>
            <wp:effectExtent l="0" t="0" r="0" b="0"/>
            <wp:docPr id="19" name="Диаграмма 6"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firstLine="426"/>
        <w:spacing w:lineRule="auto" w:line="240" w:after="0"/>
        <w:rPr>
          <w:rFonts w:ascii="Arial" w:hAnsi="Arial" w:cs="Arial"/>
          <w:b/>
          <w:sz w:val="24"/>
          <w:szCs w:val="24"/>
          <w:lang w:val="uk-UA"/>
        </w:rPr>
      </w:pPr>
      <w:r>
        <w:rPr>
          <w:rFonts w:ascii="Arial" w:hAnsi="Arial" w:cs="Arial"/>
          <w:b/>
          <w:sz w:val="24"/>
          <w:szCs w:val="24"/>
          <w:lang w:val="uk-UA"/>
        </w:rPr>
      </w:r>
      <w:r/>
    </w:p>
    <w:p>
      <w:pPr>
        <w:ind w:right="-1" w:firstLine="426"/>
        <w:spacing w:lineRule="auto" w:line="240" w:after="0"/>
        <w:rPr>
          <w:rFonts w:ascii="Arial" w:hAnsi="Arial" w:cs="Arial"/>
          <w:b/>
          <w:sz w:val="24"/>
          <w:szCs w:val="24"/>
          <w:lang w:val="uk-UA"/>
        </w:rPr>
      </w:pPr>
      <w:r>
        <w:rPr>
          <w:rFonts w:ascii="Arial" w:hAnsi="Arial" w:cs="Arial"/>
          <w:b/>
          <w:sz w:val="24"/>
          <w:szCs w:val="24"/>
          <w:lang w:val="uk-UA"/>
        </w:rPr>
        <w:t xml:space="preserve">2.2.</w:t>
      </w:r>
      <w:r>
        <w:rPr>
          <w:rFonts w:ascii="Arial" w:hAnsi="Arial" w:cs="Arial"/>
          <w:b/>
          <w:sz w:val="24"/>
          <w:szCs w:val="24"/>
          <w:lang w:val="uk-UA"/>
        </w:rPr>
        <w:t xml:space="preserve">2.</w:t>
      </w:r>
      <w:r>
        <w:rPr>
          <w:rFonts w:ascii="Arial" w:hAnsi="Arial" w:cs="Arial"/>
          <w:b/>
          <w:sz w:val="24"/>
          <w:szCs w:val="24"/>
          <w:lang w:val="uk-UA"/>
        </w:rPr>
        <w:t xml:space="preserve"> Теплопостачання</w:t>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426"/>
        <w:jc w:val="both"/>
        <w:spacing w:lineRule="auto" w:line="240" w:after="0"/>
        <w:rPr>
          <w:rFonts w:ascii="Arial" w:hAnsi="Arial" w:cs="Arial"/>
          <w:sz w:val="24"/>
          <w:szCs w:val="24"/>
          <w:lang w:val="uk-UA"/>
        </w:rPr>
      </w:pPr>
      <w:r>
        <w:rPr>
          <w:rFonts w:ascii="Arial" w:hAnsi="Arial" w:cs="Arial"/>
          <w:sz w:val="24"/>
          <w:szCs w:val="24"/>
          <w:lang w:val="uk-UA"/>
        </w:rPr>
        <w:t xml:space="preserve">Теплопостачання в місті здійснює АТ “ОТКЕ” – Менська експлуатаційна дільниця.</w:t>
      </w:r>
      <w:r/>
    </w:p>
    <w:p>
      <w:pPr>
        <w:ind w:right="-1" w:firstLine="426"/>
        <w:jc w:val="both"/>
        <w:spacing w:lineRule="auto" w:line="240" w:after="0"/>
        <w:rPr>
          <w:rFonts w:ascii="Arial" w:hAnsi="Arial" w:cs="Arial"/>
          <w:sz w:val="24"/>
          <w:szCs w:val="24"/>
          <w:lang w:val="uk-UA"/>
        </w:rPr>
      </w:pPr>
      <w:r>
        <w:rPr>
          <w:rFonts w:ascii="Arial" w:hAnsi="Arial" w:cs="Arial"/>
          <w:sz w:val="24"/>
          <w:szCs w:val="24"/>
          <w:lang w:val="uk-UA"/>
        </w:rPr>
        <w:t xml:space="preserve">Кількість </w:t>
      </w:r>
      <w:r>
        <w:rPr>
          <w:rFonts w:ascii="Arial" w:hAnsi="Arial" w:cs="Arial"/>
          <w:sz w:val="24"/>
          <w:szCs w:val="24"/>
          <w:lang w:val="uk-UA"/>
        </w:rPr>
        <w:t xml:space="preserve">котелень</w:t>
      </w:r>
      <w:r>
        <w:rPr>
          <w:rFonts w:ascii="Arial" w:hAnsi="Arial" w:cs="Arial"/>
          <w:sz w:val="24"/>
          <w:szCs w:val="24"/>
          <w:lang w:val="uk-UA"/>
        </w:rPr>
        <w:t xml:space="preserve"> АТ “ОТКЕ” в м. Мена:</w:t>
      </w:r>
      <w:r/>
    </w:p>
    <w:p>
      <w:pPr>
        <w:ind w:right="-1" w:firstLine="426"/>
        <w:jc w:val="both"/>
        <w:spacing w:lineRule="auto" w:line="240" w:after="0"/>
        <w:rPr>
          <w:rFonts w:ascii="Arial" w:hAnsi="Arial" w:cs="Arial"/>
          <w:sz w:val="24"/>
          <w:szCs w:val="24"/>
          <w:lang w:val="uk-UA"/>
        </w:rPr>
      </w:pPr>
      <w:r>
        <w:rPr>
          <w:rFonts w:ascii="Arial" w:hAnsi="Arial" w:cs="Arial"/>
          <w:sz w:val="24"/>
          <w:szCs w:val="24"/>
          <w:lang w:val="uk-UA"/>
        </w:rPr>
        <w:t xml:space="preserve">-</w:t>
      </w:r>
      <w:r>
        <w:rPr>
          <w:rFonts w:ascii="Arial" w:hAnsi="Arial" w:cs="Arial"/>
          <w:sz w:val="24"/>
          <w:szCs w:val="24"/>
          <w:lang w:val="uk-UA"/>
        </w:rPr>
        <w:tab/>
        <w:t xml:space="preserve">котельня по вул. Гімназійна, 1 потужністю 3,32 </w:t>
      </w:r>
      <w:r>
        <w:rPr>
          <w:rFonts w:ascii="Arial" w:hAnsi="Arial" w:cs="Arial"/>
          <w:sz w:val="24"/>
          <w:szCs w:val="24"/>
          <w:lang w:val="uk-UA"/>
        </w:rPr>
        <w:t xml:space="preserve">Гкал</w:t>
      </w:r>
      <w:r>
        <w:rPr>
          <w:rFonts w:ascii="Arial" w:hAnsi="Arial" w:cs="Arial"/>
          <w:sz w:val="24"/>
          <w:szCs w:val="24"/>
          <w:lang w:val="uk-UA"/>
        </w:rPr>
        <w:t xml:space="preserve">/год;</w:t>
      </w:r>
      <w:r/>
    </w:p>
    <w:p>
      <w:pPr>
        <w:ind w:right="-1" w:firstLine="426"/>
        <w:jc w:val="both"/>
        <w:spacing w:lineRule="auto" w:line="240" w:after="0"/>
        <w:rPr>
          <w:rFonts w:ascii="Arial" w:hAnsi="Arial" w:cs="Arial"/>
          <w:sz w:val="24"/>
          <w:szCs w:val="24"/>
          <w:lang w:val="uk-UA"/>
        </w:rPr>
      </w:pPr>
      <w:r>
        <w:rPr>
          <w:rFonts w:ascii="Arial" w:hAnsi="Arial" w:cs="Arial"/>
          <w:sz w:val="24"/>
          <w:szCs w:val="24"/>
          <w:lang w:val="uk-UA"/>
        </w:rPr>
        <w:t xml:space="preserve">-</w:t>
      </w:r>
      <w:r>
        <w:rPr>
          <w:rFonts w:ascii="Arial" w:hAnsi="Arial" w:cs="Arial"/>
          <w:sz w:val="24"/>
          <w:szCs w:val="24"/>
          <w:lang w:val="uk-UA"/>
        </w:rPr>
        <w:tab/>
        <w:t xml:space="preserve">котельня по вул. Суворова, 1 потужністю 5,86 </w:t>
      </w:r>
      <w:r>
        <w:rPr>
          <w:rFonts w:ascii="Arial" w:hAnsi="Arial" w:cs="Arial"/>
          <w:sz w:val="24"/>
          <w:szCs w:val="24"/>
          <w:lang w:val="uk-UA"/>
        </w:rPr>
        <w:t xml:space="preserve">Гкал</w:t>
      </w:r>
      <w:r>
        <w:rPr>
          <w:rFonts w:ascii="Arial" w:hAnsi="Arial" w:cs="Arial"/>
          <w:sz w:val="24"/>
          <w:szCs w:val="24"/>
          <w:lang w:val="uk-UA"/>
        </w:rPr>
        <w:t xml:space="preserve">/год.</w:t>
      </w:r>
      <w:r/>
    </w:p>
    <w:p>
      <w:pPr>
        <w:ind w:right="-1" w:firstLine="426"/>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Фактичне споживання теплової енергії по групах споживачів в </w:t>
      </w:r>
      <w:r>
        <w:rPr>
          <w:rFonts w:ascii="Arial" w:hAnsi="Arial" w:cs="Arial"/>
          <w:b/>
          <w:sz w:val="24"/>
          <w:szCs w:val="24"/>
          <w:lang w:val="uk-UA"/>
        </w:rPr>
        <w:t xml:space="preserve">Гкал</w:t>
      </w:r>
      <w:r>
        <w:rPr>
          <w:rFonts w:ascii="Arial" w:hAnsi="Arial" w:cs="Arial"/>
          <w:b/>
          <w:sz w:val="24"/>
          <w:szCs w:val="24"/>
          <w:vertAlign w:val="superscript"/>
          <w:lang w:val="uk-UA"/>
        </w:rPr>
        <w:t xml:space="preserve"> </w:t>
      </w:r>
      <w:r>
        <w:rPr>
          <w:rFonts w:ascii="Arial" w:hAnsi="Arial" w:cs="Arial"/>
          <w:b/>
          <w:sz w:val="24"/>
          <w:szCs w:val="24"/>
          <w:lang w:val="uk-UA"/>
        </w:rPr>
        <w:t xml:space="preserve">з 2017 по 2019</w:t>
      </w:r>
      <w:r>
        <w:rPr>
          <w:rFonts w:ascii="Arial" w:hAnsi="Arial" w:cs="Arial"/>
          <w:b/>
          <w:sz w:val="24"/>
          <w:szCs w:val="24"/>
          <w:lang w:val="uk-UA"/>
        </w:rPr>
        <w:t xml:space="preserve"> роки</w:t>
      </w:r>
      <w:r/>
    </w:p>
    <w:tbl>
      <w:tblPr>
        <w:tblStyle w:val="521"/>
        <w:tblW w:w="7165" w:type="dxa"/>
        <w:tblInd w:w="-147" w:type="dxa"/>
        <w:tblLook w:val="04A0" w:firstRow="1" w:lastRow="0" w:firstColumn="1" w:lastColumn="0" w:noHBand="0" w:noVBand="1"/>
      </w:tblPr>
      <w:tblGrid>
        <w:gridCol w:w="2730"/>
        <w:gridCol w:w="1519"/>
        <w:gridCol w:w="1519"/>
        <w:gridCol w:w="1397"/>
      </w:tblGrid>
      <w:tr>
        <w:trPr>
          <w:trHeight w:val="555"/>
        </w:trPr>
        <w:tc>
          <w:tcPr>
            <w:shd w:val="clear" w:color="auto" w:fill="00B050" w:themeFill="accent1"/>
            <w:tcW w:w="273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Категорія споживачів</w:t>
            </w:r>
            <w:r/>
          </w:p>
        </w:tc>
        <w:tc>
          <w:tcPr>
            <w:shd w:val="clear" w:color="auto" w:fill="00B050" w:themeFill="accent1"/>
            <w:tcW w:w="1519"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2017</w:t>
            </w:r>
            <w:r/>
          </w:p>
        </w:tc>
        <w:tc>
          <w:tcPr>
            <w:shd w:val="clear" w:color="auto" w:fill="00B050" w:themeFill="accent1"/>
            <w:tcW w:w="1519"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2018</w:t>
            </w:r>
            <w:r/>
          </w:p>
        </w:tc>
        <w:tc>
          <w:tcPr>
            <w:shd w:val="clear" w:color="auto" w:fill="00B050" w:themeFill="accent1"/>
            <w:tcW w:w="1397"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2019</w:t>
            </w:r>
            <w:r/>
          </w:p>
        </w:tc>
      </w:tr>
      <w:tr>
        <w:trPr>
          <w:trHeight w:val="593"/>
        </w:trPr>
        <w:tc>
          <w:tcPr>
            <w:tcW w:w="273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Муніципальні</w:t>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будівлі</w:t>
            </w:r>
            <w:r/>
          </w:p>
        </w:tc>
        <w:tc>
          <w:tcPr>
            <w:tcW w:w="15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2425,96</w:t>
            </w:r>
            <w:r/>
          </w:p>
        </w:tc>
        <w:tc>
          <w:tcPr>
            <w:tcW w:w="15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2895,15</w:t>
            </w:r>
            <w:r/>
          </w:p>
        </w:tc>
        <w:tc>
          <w:tcPr>
            <w:tcW w:w="1397"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2129,44</w:t>
            </w:r>
            <w:r/>
          </w:p>
        </w:tc>
      </w:tr>
      <w:tr>
        <w:trPr>
          <w:trHeight w:val="555"/>
        </w:trPr>
        <w:tc>
          <w:tcPr>
            <w:tcW w:w="273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Населення</w:t>
            </w:r>
            <w:r/>
          </w:p>
        </w:tc>
        <w:tc>
          <w:tcPr>
            <w:tcW w:w="15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r>
            <w:r/>
          </w:p>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1773,64</w:t>
            </w:r>
            <w:r/>
          </w:p>
          <w:p>
            <w:pPr>
              <w:ind w:right="-1"/>
              <w:jc w:val="center"/>
              <w:spacing w:lineRule="auto" w:line="240" w:after="0"/>
              <w:rPr>
                <w:rFonts w:ascii="Arial" w:hAnsi="Arial" w:cs="Arial"/>
                <w:sz w:val="24"/>
                <w:szCs w:val="24"/>
                <w:lang w:val="uk-UA"/>
              </w:rPr>
            </w:pPr>
            <w:r>
              <w:rPr>
                <w:rFonts w:ascii="Arial" w:hAnsi="Arial" w:cs="Arial"/>
                <w:sz w:val="24"/>
                <w:szCs w:val="24"/>
                <w:lang w:val="uk-UA"/>
              </w:rPr>
            </w:r>
            <w:r/>
          </w:p>
        </w:tc>
        <w:tc>
          <w:tcPr>
            <w:tcW w:w="15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1961,40</w:t>
            </w:r>
            <w:r/>
          </w:p>
        </w:tc>
        <w:tc>
          <w:tcPr>
            <w:tcW w:w="1397"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w:t>
            </w:r>
            <w:r>
              <w:rPr>
                <w:rFonts w:ascii="Arial" w:hAnsi="Arial" w:cs="Arial"/>
                <w:sz w:val="24"/>
                <w:szCs w:val="24"/>
                <w:lang w:val="uk-UA"/>
              </w:rPr>
              <w:t xml:space="preserve">422,25</w:t>
            </w:r>
            <w:r/>
          </w:p>
        </w:tc>
      </w:tr>
      <w:tr>
        <w:trPr>
          <w:trHeight w:val="555"/>
        </w:trPr>
        <w:tc>
          <w:tcPr>
            <w:tcW w:w="273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Третинний сектор</w:t>
            </w:r>
            <w:r/>
          </w:p>
        </w:tc>
        <w:tc>
          <w:tcPr>
            <w:tcW w:w="15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482,81</w:t>
            </w:r>
            <w:r/>
          </w:p>
        </w:tc>
        <w:tc>
          <w:tcPr>
            <w:tcW w:w="15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639,42</w:t>
            </w:r>
            <w:r/>
          </w:p>
        </w:tc>
        <w:tc>
          <w:tcPr>
            <w:tcW w:w="1397"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399,54</w:t>
            </w:r>
            <w:r/>
          </w:p>
        </w:tc>
      </w:tr>
    </w:tbl>
    <w:p>
      <w:pPr>
        <w:ind w:right="-1" w:hanging="142"/>
        <w:jc w:val="center"/>
        <w:spacing w:lineRule="auto" w:line="240" w:after="0"/>
        <w:rPr>
          <w:rFonts w:ascii="Arial" w:hAnsi="Arial" w:cs="Arial"/>
          <w:b/>
          <w:sz w:val="24"/>
          <w:szCs w:val="24"/>
          <w:lang w:val="uk-UA"/>
        </w:rPr>
      </w:pPr>
      <w:r>
        <w:rPr>
          <w:rFonts w:ascii="Arial" w:hAnsi="Arial" w:cs="Arial"/>
          <w:b/>
          <w:sz w:val="24"/>
          <w:szCs w:val="24"/>
          <w:lang w:val="uk-UA" w:eastAsia="uk-UA"/>
        </w:rPr>
        <w:drawing>
          <wp:inline distT="0" distB="0" distL="0" distR="0">
            <wp:extent cx="4594860" cy="1943100"/>
            <wp:effectExtent l="0" t="0" r="0" b="0"/>
            <wp:docPr id="20" name="Диаграмма 50"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p>
    <w:p>
      <w:pPr>
        <w:ind w:right="-1"/>
        <w:jc w:val="center"/>
        <w:spacing w:lineRule="auto" w:line="240" w:after="0"/>
        <w:rPr>
          <w:rFonts w:ascii="Arial" w:hAnsi="Arial" w:cs="Arial"/>
          <w:b/>
          <w:sz w:val="24"/>
          <w:szCs w:val="24"/>
          <w:lang w:val="uk-UA"/>
        </w:rPr>
      </w:pPr>
      <w:r>
        <w:rPr>
          <w:rFonts w:ascii="Arial" w:hAnsi="Arial" w:cs="Arial"/>
          <w:b/>
          <w:sz w:val="24"/>
          <w:szCs w:val="24"/>
          <w:lang w:val="uk-UA" w:eastAsia="uk-UA"/>
        </w:rPr>
        <w:drawing>
          <wp:inline distT="0" distB="0" distL="0" distR="0">
            <wp:extent cx="4328160" cy="2186940"/>
            <wp:effectExtent l="0" t="0" r="15240" b="3810"/>
            <wp:docPr id="21" name="Диаграмма 51"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p>
    <w:p>
      <w:pPr>
        <w:ind w:right="-1" w:firstLine="709"/>
        <w:jc w:val="center"/>
        <w:spacing w:lineRule="auto" w:line="240" w:after="0"/>
        <w:rPr>
          <w:rFonts w:ascii="Arial" w:hAnsi="Arial" w:cs="Arial"/>
          <w:b/>
          <w:sz w:val="24"/>
          <w:szCs w:val="24"/>
          <w:lang w:val="uk-UA"/>
        </w:rPr>
      </w:pPr>
      <w:r>
        <w:rPr>
          <w:rFonts w:ascii="Arial" w:hAnsi="Arial" w:cs="Arial"/>
          <w:b/>
          <w:sz w:val="24"/>
          <w:szCs w:val="24"/>
          <w:lang w:val="uk-UA"/>
        </w:rPr>
        <w:t xml:space="preserve">Виробн</w:t>
      </w:r>
      <w:r>
        <w:rPr>
          <w:rFonts w:ascii="Arial" w:hAnsi="Arial" w:cs="Arial"/>
          <w:b/>
          <w:sz w:val="24"/>
          <w:szCs w:val="24"/>
          <w:lang w:val="uk-UA"/>
        </w:rPr>
        <w:t xml:space="preserve">ичі показники теплопостачального </w:t>
      </w:r>
      <w:r>
        <w:rPr>
          <w:rFonts w:ascii="Arial" w:hAnsi="Arial" w:cs="Arial"/>
          <w:b/>
          <w:sz w:val="24"/>
          <w:szCs w:val="24"/>
          <w:lang w:val="uk-UA"/>
        </w:rPr>
        <w:t xml:space="preserve">підприємств</w:t>
      </w:r>
      <w:r>
        <w:rPr>
          <w:rFonts w:ascii="Arial" w:hAnsi="Arial" w:cs="Arial"/>
          <w:b/>
          <w:sz w:val="24"/>
          <w:szCs w:val="24"/>
          <w:lang w:val="uk-UA"/>
        </w:rPr>
        <w:t xml:space="preserve">а</w:t>
      </w:r>
      <w:r/>
    </w:p>
    <w:tbl>
      <w:tblPr>
        <w:tblStyle w:val="521"/>
        <w:tblW w:w="0" w:type="auto"/>
        <w:tblInd w:w="-5" w:type="dxa"/>
        <w:tblLook w:val="04A0" w:firstRow="1" w:lastRow="0" w:firstColumn="1" w:lastColumn="0" w:noHBand="0" w:noVBand="1"/>
      </w:tblPr>
      <w:tblGrid>
        <w:gridCol w:w="3372"/>
        <w:gridCol w:w="1085"/>
        <w:gridCol w:w="1085"/>
        <w:gridCol w:w="1220"/>
      </w:tblGrid>
      <w:tr>
        <w:trPr>
          <w:trHeight w:val="679"/>
        </w:trPr>
        <w:tc>
          <w:tcPr>
            <w:shd w:val="clear" w:color="auto" w:fill="00B050" w:themeFill="accent1"/>
            <w:tcW w:w="3372" w:type="dxa"/>
            <w:vAlign w:val="center"/>
            <w:textDirection w:val="lrTb"/>
            <w:noWrap w:val="false"/>
          </w:tcPr>
          <w:p>
            <w:pPr>
              <w:jc w:val="center"/>
              <w:rPr>
                <w:rFonts w:ascii="Arial" w:hAnsi="Arial" w:cs="Arial"/>
                <w:b/>
                <w:sz w:val="24"/>
                <w:szCs w:val="24"/>
                <w:lang w:val="uk-UA"/>
              </w:rPr>
            </w:pPr>
            <w:r>
              <w:rPr>
                <w:rFonts w:ascii="Arial" w:hAnsi="Arial" w:cs="Arial"/>
                <w:b/>
                <w:sz w:val="24"/>
                <w:szCs w:val="24"/>
                <w:lang w:val="uk-UA"/>
              </w:rPr>
              <w:t xml:space="preserve">Найменування</w:t>
            </w:r>
            <w:r/>
          </w:p>
        </w:tc>
        <w:tc>
          <w:tcPr>
            <w:shd w:val="clear" w:color="auto" w:fill="00B050" w:themeFill="accent1"/>
            <w:tcW w:w="1085" w:type="dxa"/>
            <w:vAlign w:val="center"/>
            <w:textDirection w:val="lrTb"/>
            <w:noWrap w:val="false"/>
          </w:tcPr>
          <w:p>
            <w:pPr>
              <w:jc w:val="center"/>
              <w:rPr>
                <w:rFonts w:ascii="Arial" w:hAnsi="Arial" w:cs="Arial"/>
                <w:b/>
                <w:sz w:val="24"/>
                <w:szCs w:val="24"/>
                <w:lang w:val="uk-UA"/>
              </w:rPr>
            </w:pPr>
            <w:r>
              <w:rPr>
                <w:rFonts w:ascii="Arial" w:hAnsi="Arial" w:cs="Arial"/>
                <w:b/>
                <w:sz w:val="24"/>
                <w:szCs w:val="24"/>
                <w:lang w:val="uk-UA"/>
              </w:rPr>
              <w:t xml:space="preserve">2017</w:t>
            </w:r>
            <w:r/>
          </w:p>
        </w:tc>
        <w:tc>
          <w:tcPr>
            <w:shd w:val="clear" w:color="auto" w:fill="00B050" w:themeFill="accent1"/>
            <w:tcW w:w="1085" w:type="dxa"/>
            <w:vAlign w:val="center"/>
            <w:textDirection w:val="lrTb"/>
            <w:noWrap w:val="false"/>
          </w:tcPr>
          <w:p>
            <w:pPr>
              <w:jc w:val="center"/>
              <w:rPr>
                <w:rFonts w:ascii="Arial" w:hAnsi="Arial" w:cs="Arial"/>
                <w:b/>
                <w:sz w:val="24"/>
                <w:szCs w:val="24"/>
                <w:lang w:val="uk-UA"/>
              </w:rPr>
            </w:pPr>
            <w:r>
              <w:rPr>
                <w:rFonts w:ascii="Arial" w:hAnsi="Arial" w:cs="Arial"/>
                <w:b/>
                <w:sz w:val="24"/>
                <w:szCs w:val="24"/>
                <w:lang w:val="uk-UA"/>
              </w:rPr>
              <w:t xml:space="preserve">2018</w:t>
            </w:r>
            <w:r/>
          </w:p>
        </w:tc>
        <w:tc>
          <w:tcPr>
            <w:shd w:val="clear" w:color="auto" w:fill="00B050" w:themeFill="accent1"/>
            <w:tcW w:w="1220" w:type="dxa"/>
            <w:vAlign w:val="center"/>
            <w:textDirection w:val="lrTb"/>
            <w:noWrap w:val="false"/>
          </w:tcPr>
          <w:p>
            <w:pPr>
              <w:jc w:val="center"/>
              <w:rPr>
                <w:rFonts w:ascii="Arial" w:hAnsi="Arial" w:cs="Arial"/>
                <w:b/>
                <w:sz w:val="24"/>
                <w:szCs w:val="24"/>
                <w:lang w:val="uk-UA"/>
              </w:rPr>
            </w:pPr>
            <w:r>
              <w:rPr>
                <w:rFonts w:ascii="Arial" w:hAnsi="Arial" w:cs="Arial"/>
                <w:b/>
                <w:sz w:val="24"/>
                <w:szCs w:val="24"/>
                <w:lang w:val="uk-UA"/>
              </w:rPr>
              <w:t xml:space="preserve">2019</w:t>
            </w:r>
            <w:r/>
          </w:p>
        </w:tc>
      </w:tr>
      <w:tr>
        <w:trPr>
          <w:trHeight w:val="478"/>
        </w:trPr>
        <w:tc>
          <w:tcPr>
            <w:tcW w:w="3372" w:type="dxa"/>
            <w:vAlign w:val="center"/>
            <w:textDirection w:val="lrTb"/>
            <w:noWrap w:val="false"/>
          </w:tcPr>
          <w:p>
            <w:pPr>
              <w:rPr>
                <w:rFonts w:ascii="Arial" w:hAnsi="Arial" w:cs="Arial"/>
                <w:sz w:val="24"/>
                <w:szCs w:val="24"/>
                <w:lang w:val="uk-UA"/>
              </w:rPr>
            </w:pPr>
            <w:r>
              <w:rPr>
                <w:rFonts w:ascii="Arial" w:hAnsi="Arial" w:cs="Arial"/>
                <w:sz w:val="24"/>
                <w:szCs w:val="24"/>
                <w:lang w:val="uk-UA"/>
              </w:rPr>
              <w:t xml:space="preserve">Виробництво теплової енергії, всього, </w:t>
            </w:r>
            <w:r>
              <w:rPr>
                <w:rFonts w:ascii="Arial" w:hAnsi="Arial" w:cs="Arial"/>
                <w:sz w:val="24"/>
                <w:szCs w:val="24"/>
                <w:lang w:val="uk-UA"/>
              </w:rPr>
              <w:t xml:space="preserve">Гкал</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5273,04</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5915,38</w:t>
            </w:r>
            <w:r/>
          </w:p>
        </w:tc>
        <w:tc>
          <w:tcPr>
            <w:tcW w:w="1220"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4510,72</w:t>
            </w:r>
            <w:r/>
          </w:p>
        </w:tc>
      </w:tr>
      <w:tr>
        <w:trPr>
          <w:trHeight w:val="491"/>
        </w:trPr>
        <w:tc>
          <w:tcPr>
            <w:tcW w:w="3372" w:type="dxa"/>
            <w:vAlign w:val="center"/>
            <w:textDirection w:val="lrTb"/>
            <w:noWrap w:val="false"/>
          </w:tcPr>
          <w:p>
            <w:pPr>
              <w:rPr>
                <w:rFonts w:ascii="Arial" w:hAnsi="Arial" w:cs="Arial"/>
                <w:sz w:val="24"/>
                <w:szCs w:val="24"/>
                <w:lang w:val="uk-UA"/>
              </w:rPr>
            </w:pPr>
            <w:r>
              <w:rPr>
                <w:rFonts w:ascii="Arial" w:hAnsi="Arial" w:cs="Arial"/>
                <w:sz w:val="24"/>
                <w:szCs w:val="24"/>
                <w:lang w:val="uk-UA"/>
              </w:rPr>
              <w:t xml:space="preserve">Витрати на власні потреби, </w:t>
            </w:r>
            <w:r>
              <w:rPr>
                <w:rFonts w:ascii="Arial" w:hAnsi="Arial" w:cs="Arial"/>
                <w:sz w:val="24"/>
                <w:szCs w:val="24"/>
                <w:lang w:val="uk-UA"/>
              </w:rPr>
              <w:t xml:space="preserve">Гкал</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116,01</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130,15</w:t>
            </w:r>
            <w:r/>
          </w:p>
        </w:tc>
        <w:tc>
          <w:tcPr>
            <w:tcW w:w="1220"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99,24</w:t>
            </w:r>
            <w:r/>
          </w:p>
        </w:tc>
      </w:tr>
      <w:tr>
        <w:trPr>
          <w:trHeight w:val="478"/>
        </w:trPr>
        <w:tc>
          <w:tcPr>
            <w:tcW w:w="3372" w:type="dxa"/>
            <w:vAlign w:val="center"/>
            <w:textDirection w:val="lrTb"/>
            <w:noWrap w:val="false"/>
          </w:tcPr>
          <w:p>
            <w:pPr>
              <w:rPr>
                <w:rFonts w:ascii="Arial" w:hAnsi="Arial" w:cs="Arial"/>
                <w:sz w:val="24"/>
                <w:szCs w:val="24"/>
                <w:lang w:val="uk-UA"/>
              </w:rPr>
            </w:pPr>
            <w:r>
              <w:rPr>
                <w:rFonts w:ascii="Arial" w:hAnsi="Arial" w:cs="Arial"/>
                <w:sz w:val="24"/>
                <w:szCs w:val="24"/>
                <w:lang w:val="uk-UA"/>
              </w:rPr>
              <w:t xml:space="preserve">Відпуск теплової енергії з колекторів, </w:t>
            </w:r>
            <w:r>
              <w:rPr>
                <w:rFonts w:ascii="Arial" w:hAnsi="Arial" w:cs="Arial"/>
                <w:sz w:val="24"/>
                <w:szCs w:val="24"/>
                <w:lang w:val="uk-UA"/>
              </w:rPr>
              <w:t xml:space="preserve">Гкал</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5157,03</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5785,23</w:t>
            </w:r>
            <w:r/>
          </w:p>
        </w:tc>
        <w:tc>
          <w:tcPr>
            <w:tcW w:w="1220"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4411,48</w:t>
            </w:r>
            <w:r/>
          </w:p>
        </w:tc>
      </w:tr>
      <w:tr>
        <w:trPr>
          <w:trHeight w:val="478"/>
        </w:trPr>
        <w:tc>
          <w:tcPr>
            <w:tcW w:w="3372" w:type="dxa"/>
            <w:vAlign w:val="center"/>
            <w:textDirection w:val="lrTb"/>
            <w:noWrap w:val="false"/>
          </w:tcPr>
          <w:p>
            <w:pPr>
              <w:rPr>
                <w:rFonts w:ascii="Arial" w:hAnsi="Arial" w:cs="Arial"/>
                <w:sz w:val="24"/>
                <w:szCs w:val="24"/>
                <w:lang w:val="uk-UA"/>
              </w:rPr>
            </w:pPr>
            <w:r>
              <w:rPr>
                <w:rFonts w:ascii="Arial" w:hAnsi="Arial" w:cs="Arial"/>
                <w:sz w:val="24"/>
                <w:szCs w:val="24"/>
                <w:lang w:val="uk-UA"/>
              </w:rPr>
              <w:t xml:space="preserve">Втрати в мережах, </w:t>
            </w:r>
            <w:r>
              <w:rPr>
                <w:rFonts w:ascii="Arial" w:hAnsi="Arial" w:cs="Arial"/>
                <w:sz w:val="24"/>
                <w:szCs w:val="24"/>
                <w:lang w:val="uk-UA"/>
              </w:rPr>
              <w:t xml:space="preserve">Гкал</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474,62</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289,26</w:t>
            </w:r>
            <w:r/>
          </w:p>
        </w:tc>
        <w:tc>
          <w:tcPr>
            <w:tcW w:w="1220"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460,2527</w:t>
            </w:r>
            <w:r/>
          </w:p>
        </w:tc>
      </w:tr>
      <w:tr>
        <w:trPr>
          <w:trHeight w:val="478"/>
        </w:trPr>
        <w:tc>
          <w:tcPr>
            <w:tcW w:w="3372" w:type="dxa"/>
            <w:vAlign w:val="center"/>
            <w:textDirection w:val="lrTb"/>
            <w:noWrap w:val="false"/>
          </w:tcPr>
          <w:p>
            <w:pPr>
              <w:rPr>
                <w:rFonts w:ascii="Arial" w:hAnsi="Arial" w:cs="Arial"/>
                <w:sz w:val="24"/>
                <w:szCs w:val="24"/>
                <w:lang w:val="uk-UA"/>
              </w:rPr>
            </w:pPr>
            <w:r>
              <w:rPr>
                <w:rFonts w:ascii="Arial" w:hAnsi="Arial" w:cs="Arial"/>
                <w:sz w:val="24"/>
                <w:szCs w:val="24"/>
                <w:lang w:val="uk-UA"/>
              </w:rPr>
              <w:t xml:space="preserve">Споживання газу, т.м</w:t>
            </w:r>
            <w:r>
              <w:rPr>
                <w:rFonts w:ascii="Arial" w:hAnsi="Arial" w:cs="Arial"/>
                <w:sz w:val="24"/>
                <w:szCs w:val="24"/>
                <w:vertAlign w:val="superscript"/>
                <w:lang w:val="uk-UA"/>
              </w:rPr>
              <w:t xml:space="preserve">3</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723,572</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816,463</w:t>
            </w:r>
            <w:r/>
          </w:p>
        </w:tc>
        <w:tc>
          <w:tcPr>
            <w:tcW w:w="1220"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618,991</w:t>
            </w:r>
            <w:r/>
          </w:p>
        </w:tc>
      </w:tr>
      <w:tr>
        <w:trPr>
          <w:trHeight w:val="478"/>
        </w:trPr>
        <w:tc>
          <w:tcPr>
            <w:tcW w:w="3372" w:type="dxa"/>
            <w:vAlign w:val="center"/>
            <w:textDirection w:val="lrTb"/>
            <w:noWrap w:val="false"/>
          </w:tcPr>
          <w:p>
            <w:pPr>
              <w:rPr>
                <w:rFonts w:ascii="Arial" w:hAnsi="Arial" w:cs="Arial"/>
                <w:sz w:val="24"/>
                <w:szCs w:val="24"/>
                <w:lang w:val="uk-UA"/>
              </w:rPr>
            </w:pPr>
            <w:r>
              <w:rPr>
                <w:rFonts w:ascii="Arial" w:hAnsi="Arial" w:cs="Arial"/>
                <w:sz w:val="24"/>
                <w:szCs w:val="24"/>
                <w:lang w:val="uk-UA"/>
              </w:rPr>
              <w:t xml:space="preserve">Споживання електроенергії, МВт*год</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125,363</w:t>
            </w:r>
            <w:r/>
          </w:p>
        </w:tc>
        <w:tc>
          <w:tcPr>
            <w:tcW w:w="1085"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145,667</w:t>
            </w:r>
            <w:r/>
          </w:p>
        </w:tc>
        <w:tc>
          <w:tcPr>
            <w:tcW w:w="1220" w:type="dxa"/>
            <w:vAlign w:val="center"/>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136,331</w:t>
            </w:r>
            <w:r/>
          </w:p>
        </w:tc>
      </w:tr>
    </w:tbl>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spacing w:lineRule="auto" w:line="240" w:after="0"/>
        <w:rPr>
          <w:rFonts w:ascii="Arial" w:hAnsi="Arial" w:cs="Arial"/>
          <w:b/>
          <w:sz w:val="24"/>
          <w:szCs w:val="24"/>
          <w:lang w:val="uk-UA"/>
        </w:rPr>
      </w:pPr>
      <w:r>
        <w:rPr>
          <w:rFonts w:ascii="Arial" w:hAnsi="Arial" w:cs="Arial"/>
          <w:b/>
          <w:sz w:val="24"/>
          <w:szCs w:val="24"/>
          <w:lang w:val="uk-UA"/>
        </w:rPr>
        <w:t xml:space="preserve">2.</w:t>
      </w:r>
      <w:r>
        <w:rPr>
          <w:rFonts w:ascii="Arial" w:hAnsi="Arial" w:cs="Arial"/>
          <w:b/>
          <w:sz w:val="24"/>
          <w:szCs w:val="24"/>
          <w:lang w:val="uk-UA"/>
        </w:rPr>
        <w:t xml:space="preserve">2.</w:t>
      </w:r>
      <w:r>
        <w:rPr>
          <w:rFonts w:ascii="Arial" w:hAnsi="Arial" w:cs="Arial"/>
          <w:b/>
          <w:sz w:val="24"/>
          <w:szCs w:val="24"/>
          <w:lang w:val="uk-UA"/>
        </w:rPr>
        <w:t xml:space="preserve">3. Електропостачання</w:t>
      </w:r>
      <w:r/>
    </w:p>
    <w:p>
      <w:pPr>
        <w:ind w:right="-1"/>
        <w:spacing w:lineRule="auto" w:line="240" w:after="0"/>
        <w:rPr>
          <w:rFonts w:ascii="Arial" w:hAnsi="Arial" w:cs="Arial"/>
          <w:color w:val="7030A0"/>
          <w:sz w:val="24"/>
          <w:szCs w:val="24"/>
          <w:lang w:val="uk-UA"/>
        </w:rPr>
      </w:pPr>
      <w:r>
        <w:rPr>
          <w:rFonts w:ascii="Arial" w:hAnsi="Arial" w:cs="Arial"/>
          <w:b/>
          <w:color w:val="7030A0"/>
          <w:sz w:val="24"/>
          <w:szCs w:val="24"/>
          <w:lang w:val="uk-UA"/>
        </w:rPr>
        <w:tab/>
      </w:r>
      <w:r/>
    </w:p>
    <w:p>
      <w:pPr>
        <w:pStyle w:val="558"/>
        <w:ind w:firstLine="567"/>
        <w:jc w:val="both"/>
        <w:rPr>
          <w:rFonts w:ascii="Arial" w:hAnsi="Arial" w:cs="Arial"/>
          <w:sz w:val="24"/>
          <w:szCs w:val="24"/>
          <w:lang w:val="uk-UA"/>
        </w:rPr>
      </w:pPr>
      <w:r>
        <w:rPr>
          <w:rFonts w:ascii="Arial" w:hAnsi="Arial" w:cs="Arial"/>
          <w:sz w:val="24"/>
          <w:szCs w:val="24"/>
          <w:lang w:val="uk-UA"/>
        </w:rPr>
        <w:t xml:space="preserve">Е</w:t>
      </w:r>
      <w:r>
        <w:rPr>
          <w:rFonts w:ascii="Arial" w:hAnsi="Arial" w:cs="Arial"/>
          <w:sz w:val="24"/>
          <w:szCs w:val="24"/>
          <w:lang w:val="uk-UA"/>
        </w:rPr>
        <w:t xml:space="preserve">лектропостачання </w:t>
      </w:r>
      <w:r>
        <w:rPr>
          <w:rFonts w:ascii="Arial" w:hAnsi="Arial" w:cs="Arial"/>
          <w:sz w:val="24"/>
          <w:szCs w:val="24"/>
          <w:lang w:val="uk-UA"/>
        </w:rPr>
        <w:t xml:space="preserve">громади здійснює </w:t>
      </w:r>
      <w:r>
        <w:rPr>
          <w:rFonts w:ascii="Arial" w:hAnsi="Arial" w:cs="Arial"/>
          <w:sz w:val="24"/>
          <w:szCs w:val="24"/>
          <w:lang w:val="uk-UA"/>
        </w:rPr>
        <w:t xml:space="preserve">ТОВ «</w:t>
      </w:r>
      <w:r>
        <w:rPr>
          <w:rFonts w:ascii="Arial" w:hAnsi="Arial" w:cs="Arial"/>
          <w:sz w:val="24"/>
          <w:szCs w:val="24"/>
          <w:lang w:val="uk-UA"/>
        </w:rPr>
        <w:t xml:space="preserve">Енера</w:t>
      </w:r>
      <w:r>
        <w:rPr>
          <w:rFonts w:ascii="Arial" w:hAnsi="Arial" w:cs="Arial"/>
          <w:sz w:val="24"/>
          <w:szCs w:val="24"/>
          <w:lang w:val="uk-UA"/>
        </w:rPr>
        <w:t xml:space="preserve"> Чернігів»</w:t>
      </w:r>
      <w:r>
        <w:rPr>
          <w:rFonts w:ascii="Arial" w:hAnsi="Arial" w:cs="Arial"/>
          <w:sz w:val="24"/>
          <w:szCs w:val="24"/>
          <w:lang w:val="uk-UA"/>
        </w:rPr>
        <w:t xml:space="preserve">.</w:t>
      </w:r>
      <w:r/>
    </w:p>
    <w:p>
      <w:pPr>
        <w:ind w:right="-1" w:firstLine="567"/>
        <w:jc w:val="both"/>
        <w:spacing w:lineRule="auto" w:line="240" w:after="0"/>
        <w:rPr>
          <w:rFonts w:ascii="Arial" w:hAnsi="Arial" w:cs="Arial"/>
          <w:sz w:val="24"/>
          <w:szCs w:val="24"/>
          <w:lang w:val="uk-UA"/>
        </w:rPr>
      </w:pPr>
      <w:r>
        <w:rPr>
          <w:rFonts w:ascii="Arial" w:hAnsi="Arial" w:cs="Arial"/>
          <w:sz w:val="24"/>
          <w:szCs w:val="24"/>
          <w:lang w:val="uk-UA"/>
        </w:rPr>
        <w:t xml:space="preserve">Протяжність кабельних та повітряних ліній електропередач: </w:t>
      </w:r>
      <w:r/>
    </w:p>
    <w:p>
      <w:pPr>
        <w:pStyle w:val="557"/>
        <w:numPr>
          <w:ilvl w:val="0"/>
          <w:numId w:val="23"/>
        </w:numPr>
        <w:ind w:left="851" w:right="-1"/>
        <w:jc w:val="both"/>
        <w:spacing w:lineRule="auto" w:line="240" w:after="0"/>
        <w:rPr>
          <w:rFonts w:ascii="Arial" w:hAnsi="Arial" w:cs="Arial"/>
          <w:sz w:val="24"/>
          <w:szCs w:val="24"/>
          <w:lang w:val="uk-UA"/>
        </w:rPr>
      </w:pPr>
      <w:r>
        <w:rPr>
          <w:rFonts w:ascii="Arial" w:hAnsi="Arial" w:cs="Arial"/>
          <w:sz w:val="24"/>
          <w:szCs w:val="24"/>
          <w:lang w:val="uk-UA"/>
        </w:rPr>
        <w:t xml:space="preserve">ПЛ-10 кВ-325,867 км., </w:t>
      </w:r>
      <w:r/>
    </w:p>
    <w:p>
      <w:pPr>
        <w:pStyle w:val="557"/>
        <w:numPr>
          <w:ilvl w:val="0"/>
          <w:numId w:val="23"/>
        </w:numPr>
        <w:ind w:left="851" w:right="-1"/>
        <w:jc w:val="both"/>
        <w:spacing w:lineRule="auto" w:line="240" w:after="0"/>
        <w:rPr>
          <w:rFonts w:ascii="Arial" w:hAnsi="Arial" w:cs="Arial"/>
          <w:sz w:val="24"/>
          <w:szCs w:val="24"/>
          <w:lang w:val="uk-UA"/>
        </w:rPr>
      </w:pPr>
      <w:r>
        <w:rPr>
          <w:rFonts w:ascii="Arial" w:hAnsi="Arial" w:cs="Arial"/>
          <w:sz w:val="24"/>
          <w:szCs w:val="24"/>
          <w:lang w:val="uk-UA"/>
        </w:rPr>
        <w:t xml:space="preserve">КЛ-10 кВ-0,830 км.,</w:t>
      </w:r>
      <w:r/>
    </w:p>
    <w:p>
      <w:pPr>
        <w:pStyle w:val="557"/>
        <w:numPr>
          <w:ilvl w:val="0"/>
          <w:numId w:val="23"/>
        </w:numPr>
        <w:ind w:left="851" w:right="-1"/>
        <w:jc w:val="both"/>
        <w:spacing w:lineRule="auto" w:line="240" w:after="0"/>
        <w:rPr>
          <w:rFonts w:ascii="Arial" w:hAnsi="Arial" w:cs="Arial"/>
          <w:sz w:val="24"/>
          <w:szCs w:val="24"/>
          <w:lang w:val="uk-UA"/>
        </w:rPr>
      </w:pPr>
      <w:r>
        <w:rPr>
          <w:rFonts w:ascii="Arial" w:hAnsi="Arial" w:cs="Arial"/>
          <w:sz w:val="24"/>
          <w:szCs w:val="24"/>
          <w:lang w:val="uk-UA"/>
        </w:rPr>
        <w:t xml:space="preserve">ПЛ-0,4 кВ-610,893 км.</w:t>
      </w:r>
      <w:r/>
    </w:p>
    <w:p>
      <w:pPr>
        <w:ind w:right="-1"/>
        <w:jc w:val="both"/>
        <w:spacing w:lineRule="auto" w:line="240" w:after="0"/>
        <w:rPr>
          <w:rFonts w:ascii="Arial" w:hAnsi="Arial" w:cs="Arial"/>
          <w:sz w:val="24"/>
          <w:szCs w:val="24"/>
          <w:lang w:val="uk-UA"/>
        </w:rPr>
      </w:pPr>
      <w:r>
        <w:rPr>
          <w:rFonts w:ascii="Arial" w:hAnsi="Arial" w:cs="Arial"/>
          <w:sz w:val="24"/>
          <w:szCs w:val="24"/>
          <w:lang w:val="uk-UA"/>
        </w:rPr>
        <w:t xml:space="preserve">Т</w:t>
      </w:r>
      <w:r>
        <w:rPr>
          <w:rFonts w:ascii="Arial" w:hAnsi="Arial" w:cs="Arial"/>
          <w:sz w:val="24"/>
          <w:szCs w:val="24"/>
          <w:lang w:val="uk-UA"/>
        </w:rPr>
        <w:t xml:space="preserve">рансформаторних підстанцій 10/0,4 кВ 258 шт., загальною потужністю – 43069 </w:t>
      </w:r>
      <w:r>
        <w:rPr>
          <w:rFonts w:ascii="Arial" w:hAnsi="Arial" w:cs="Arial"/>
          <w:sz w:val="24"/>
          <w:szCs w:val="24"/>
          <w:lang w:val="uk-UA"/>
        </w:rPr>
        <w:t xml:space="preserve">кВА</w:t>
      </w:r>
      <w:r>
        <w:rPr>
          <w:rFonts w:ascii="Arial" w:hAnsi="Arial" w:cs="Arial"/>
          <w:sz w:val="24"/>
          <w:szCs w:val="24"/>
          <w:lang w:val="uk-UA"/>
        </w:rPr>
        <w:t xml:space="preserve">. 2 – аварійних бригад Менської дільниці. Загальна кількість працівників – 81 чол.</w:t>
      </w:r>
      <w:r/>
    </w:p>
    <w:p>
      <w:pPr>
        <w:ind w:right="-1" w:firstLine="567"/>
        <w:spacing w:lineRule="auto" w:line="240" w:after="0"/>
        <w:rPr>
          <w:rFonts w:ascii="Arial" w:hAnsi="Arial" w:cs="Arial"/>
          <w:b/>
          <w:sz w:val="24"/>
          <w:szCs w:val="24"/>
          <w:lang w:val="uk-UA"/>
        </w:rPr>
      </w:pPr>
      <w:r>
        <w:rPr>
          <w:rFonts w:ascii="Arial" w:hAnsi="Arial" w:cs="Arial"/>
          <w:b/>
          <w:sz w:val="24"/>
          <w:szCs w:val="24"/>
          <w:lang w:val="uk-UA"/>
        </w:rPr>
      </w:r>
      <w:r/>
    </w:p>
    <w:p>
      <w:pPr>
        <w:ind w:right="-1" w:firstLine="567"/>
        <w:spacing w:lineRule="auto" w:line="240" w:after="0"/>
        <w:rPr>
          <w:rFonts w:ascii="Arial" w:hAnsi="Arial" w:cs="Arial"/>
          <w:b/>
          <w:sz w:val="24"/>
          <w:szCs w:val="24"/>
          <w:lang w:val="uk-UA"/>
        </w:rPr>
      </w:pPr>
      <w:r>
        <w:rPr>
          <w:rFonts w:ascii="Arial" w:hAnsi="Arial" w:cs="Arial"/>
          <w:b/>
          <w:sz w:val="24"/>
          <w:szCs w:val="24"/>
          <w:lang w:val="uk-UA"/>
        </w:rPr>
        <w:t xml:space="preserve">Фактичне споживання електроенергії </w:t>
      </w:r>
      <w:r>
        <w:rPr>
          <w:rFonts w:ascii="Arial" w:hAnsi="Arial" w:cs="Arial"/>
          <w:b/>
          <w:sz w:val="24"/>
          <w:szCs w:val="24"/>
          <w:lang w:val="uk-UA"/>
        </w:rPr>
        <w:t xml:space="preserve">за категоріями споживачів в </w:t>
      </w:r>
      <w:r>
        <w:rPr>
          <w:rFonts w:ascii="Arial" w:hAnsi="Arial" w:cs="Arial"/>
          <w:b/>
          <w:sz w:val="24"/>
          <w:szCs w:val="24"/>
          <w:lang w:val="uk-UA"/>
        </w:rPr>
        <w:t xml:space="preserve">МВ</w:t>
      </w:r>
      <w:r>
        <w:rPr>
          <w:rFonts w:ascii="Arial" w:hAnsi="Arial" w:cs="Arial"/>
          <w:b/>
          <w:sz w:val="24"/>
          <w:szCs w:val="24"/>
          <w:lang w:val="uk-UA"/>
        </w:rPr>
        <w:t xml:space="preserve">т*</w:t>
      </w:r>
      <w:r>
        <w:rPr>
          <w:rFonts w:ascii="Arial" w:hAnsi="Arial" w:cs="Arial"/>
          <w:b/>
          <w:sz w:val="24"/>
          <w:szCs w:val="24"/>
          <w:lang w:val="uk-UA"/>
        </w:rPr>
        <w:t xml:space="preserve">год з 2017 по 2019 роки</w:t>
      </w:r>
      <w:r/>
    </w:p>
    <w:tbl>
      <w:tblPr>
        <w:tblStyle w:val="521"/>
        <w:tblW w:w="6912" w:type="dxa"/>
        <w:jc w:val="center"/>
        <w:tblLook w:val="04A0" w:firstRow="1" w:lastRow="0" w:firstColumn="1" w:lastColumn="0" w:noHBand="0" w:noVBand="1"/>
      </w:tblPr>
      <w:tblGrid>
        <w:gridCol w:w="2964"/>
        <w:gridCol w:w="1316"/>
        <w:gridCol w:w="1316"/>
        <w:gridCol w:w="1316"/>
      </w:tblGrid>
      <w:tr>
        <w:trPr>
          <w:jc w:val="center"/>
          <w:trHeight w:val="551"/>
        </w:trPr>
        <w:tc>
          <w:tcPr>
            <w:shd w:val="clear" w:color="auto" w:fill="00B050" w:themeFill="accent1"/>
            <w:tcW w:w="2964"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Категорія споживачів</w:t>
            </w:r>
            <w:r/>
          </w:p>
        </w:tc>
        <w:tc>
          <w:tcPr>
            <w:shd w:val="clear" w:color="auto" w:fill="00B050" w:themeFill="accent1"/>
            <w:tcW w:w="1316"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2017</w:t>
            </w:r>
            <w:r/>
          </w:p>
        </w:tc>
        <w:tc>
          <w:tcPr>
            <w:shd w:val="clear" w:color="auto" w:fill="00B050" w:themeFill="accent1"/>
            <w:tcW w:w="1316"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2018</w:t>
            </w:r>
            <w:r/>
          </w:p>
        </w:tc>
        <w:tc>
          <w:tcPr>
            <w:shd w:val="clear" w:color="auto" w:fill="00B050" w:themeFill="accent1"/>
            <w:tcW w:w="1316"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2019</w:t>
            </w:r>
            <w:r/>
          </w:p>
        </w:tc>
      </w:tr>
      <w:tr>
        <w:trPr>
          <w:jc w:val="center"/>
          <w:trHeight w:val="729"/>
        </w:trPr>
        <w:tc>
          <w:tcPr>
            <w:tcW w:w="2964" w:type="dxa"/>
            <w:vAlign w:val="center"/>
            <w:textDirection w:val="lrTb"/>
            <w:noWrap w:val="false"/>
          </w:tcPr>
          <w:p>
            <w:pPr>
              <w:ind w:right="-1"/>
              <w:jc w:val="center"/>
              <w:spacing w:lineRule="auto" w:line="240" w:after="0"/>
              <w:rPr>
                <w:rFonts w:ascii="Arial" w:hAnsi="Arial" w:cs="Arial"/>
                <w:b/>
                <w:color w:val="000000"/>
                <w:sz w:val="24"/>
                <w:szCs w:val="24"/>
                <w:lang w:val="uk-UA"/>
              </w:rPr>
            </w:pPr>
            <w:r>
              <w:rPr>
                <w:rFonts w:ascii="Arial" w:hAnsi="Arial" w:cs="Arial"/>
                <w:b/>
                <w:color w:val="000000"/>
                <w:sz w:val="24"/>
                <w:szCs w:val="24"/>
                <w:lang w:val="uk-UA"/>
              </w:rPr>
              <w:t xml:space="preserve">Муніципальний сектор</w:t>
            </w:r>
            <w:r>
              <w:rPr>
                <w:rFonts w:ascii="Arial" w:hAnsi="Arial" w:cs="Arial"/>
                <w:b/>
                <w:color w:val="000000"/>
                <w:sz w:val="24"/>
                <w:szCs w:val="24"/>
                <w:lang w:val="uk-UA"/>
              </w:rPr>
              <w:t xml:space="preserve"> в </w:t>
            </w:r>
            <w:r>
              <w:rPr>
                <w:rFonts w:ascii="Arial" w:hAnsi="Arial" w:cs="Arial"/>
                <w:b/>
                <w:color w:val="000000"/>
                <w:sz w:val="24"/>
                <w:szCs w:val="24"/>
                <w:lang w:val="uk-UA"/>
              </w:rPr>
              <w:t xml:space="preserve">т.ч</w:t>
            </w:r>
            <w:r>
              <w:rPr>
                <w:rFonts w:ascii="Arial" w:hAnsi="Arial" w:cs="Arial"/>
                <w:b/>
                <w:color w:val="000000"/>
                <w:sz w:val="24"/>
                <w:szCs w:val="24"/>
                <w:lang w:val="uk-UA"/>
              </w:rPr>
              <w:t xml:space="preserve">:</w:t>
            </w:r>
            <w:r/>
          </w:p>
        </w:tc>
        <w:tc>
          <w:tcPr>
            <w:tcW w:w="1316"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1325</w:t>
            </w:r>
            <w:r/>
          </w:p>
        </w:tc>
        <w:tc>
          <w:tcPr>
            <w:tcW w:w="1316"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888</w:t>
            </w:r>
            <w:r/>
          </w:p>
        </w:tc>
        <w:tc>
          <w:tcPr>
            <w:tcW w:w="1316" w:type="dxa"/>
            <w:vAlign w:val="center"/>
            <w:textDirection w:val="lrTb"/>
            <w:noWrap w:val="false"/>
          </w:tcPr>
          <w:p>
            <w:pPr>
              <w:ind w:right="-1"/>
              <w:jc w:val="center"/>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885</w:t>
            </w:r>
            <w:r/>
          </w:p>
        </w:tc>
      </w:tr>
      <w:tr>
        <w:trPr>
          <w:jc w:val="center"/>
          <w:trHeight w:val="551"/>
        </w:trPr>
        <w:tc>
          <w:tcPr>
            <w:shd w:val="clear" w:color="auto" w:fill="auto"/>
            <w:tcW w:w="2964" w:type="dxa"/>
            <w:vAlign w:val="center"/>
            <w:textDirection w:val="lrTb"/>
            <w:noWrap w:val="false"/>
          </w:tcPr>
          <w:p>
            <w:pPr>
              <w:pStyle w:val="557"/>
              <w:numPr>
                <w:ilvl w:val="0"/>
                <w:numId w:val="16"/>
              </w:numPr>
              <w:ind w:left="171"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муніципальні будівлі</w:t>
            </w:r>
            <w:r/>
          </w:p>
        </w:tc>
        <w:tc>
          <w:tcPr>
            <w:shd w:val="clear" w:color="auto" w:fill="auto"/>
            <w:tcW w:w="1316"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1191</w:t>
            </w:r>
            <w:r/>
          </w:p>
        </w:tc>
        <w:tc>
          <w:tcPr>
            <w:shd w:val="clear" w:color="auto" w:fill="auto"/>
            <w:tcW w:w="1316"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753</w:t>
            </w:r>
            <w:r/>
          </w:p>
        </w:tc>
        <w:tc>
          <w:tcPr>
            <w:shd w:val="clear" w:color="auto" w:fill="auto"/>
            <w:tcW w:w="1316"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749</w:t>
            </w:r>
            <w:r/>
          </w:p>
        </w:tc>
      </w:tr>
      <w:tr>
        <w:trPr>
          <w:jc w:val="center"/>
          <w:trHeight w:val="551"/>
        </w:trPr>
        <w:tc>
          <w:tcPr>
            <w:tcW w:w="2964" w:type="dxa"/>
            <w:vAlign w:val="center"/>
            <w:textDirection w:val="lrTb"/>
            <w:noWrap w:val="false"/>
          </w:tcPr>
          <w:p>
            <w:pPr>
              <w:pStyle w:val="557"/>
              <w:numPr>
                <w:ilvl w:val="0"/>
                <w:numId w:val="16"/>
              </w:numPr>
              <w:ind w:left="313" w:right="-1"/>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комунальні підприємства</w:t>
            </w:r>
            <w:r/>
          </w:p>
        </w:tc>
        <w:tc>
          <w:tcPr>
            <w:tcW w:w="1316"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134</w:t>
            </w:r>
            <w:r/>
          </w:p>
        </w:tc>
        <w:tc>
          <w:tcPr>
            <w:tcW w:w="1316"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135</w:t>
            </w:r>
            <w:r/>
          </w:p>
        </w:tc>
        <w:tc>
          <w:tcPr>
            <w:tcW w:w="1316" w:type="dxa"/>
            <w:vAlign w:val="center"/>
            <w:textDirection w:val="lrTb"/>
            <w:noWrap w:val="false"/>
          </w:tcPr>
          <w:p>
            <w:pPr>
              <w:ind w:right="-1"/>
              <w:jc w:val="center"/>
              <w:spacing w:lineRule="auto" w:line="240" w:after="0"/>
              <w:rPr>
                <w:rFonts w:ascii="Arial" w:hAnsi="Arial" w:cs="Arial"/>
                <w:i/>
                <w:color w:val="000000"/>
                <w:sz w:val="24"/>
                <w:szCs w:val="24"/>
                <w:lang w:val="uk-UA"/>
              </w:rPr>
            </w:pPr>
            <w:r>
              <w:rPr>
                <w:rFonts w:ascii="Arial" w:hAnsi="Arial" w:cs="Arial"/>
                <w:i/>
                <w:color w:val="000000"/>
                <w:sz w:val="24"/>
                <w:szCs w:val="24"/>
                <w:lang w:val="uk-UA"/>
              </w:rPr>
              <w:t xml:space="preserve">136</w:t>
            </w:r>
            <w:r/>
          </w:p>
        </w:tc>
      </w:tr>
      <w:tr>
        <w:trPr>
          <w:jc w:val="center"/>
          <w:trHeight w:val="537"/>
        </w:trPr>
        <w:tc>
          <w:tcPr>
            <w:tcW w:w="2964"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Населення</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r>
            <w:r/>
          </w:p>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7685</w:t>
            </w:r>
            <w:r/>
          </w:p>
          <w:p>
            <w:pPr>
              <w:ind w:right="-1"/>
              <w:jc w:val="center"/>
              <w:spacing w:lineRule="auto" w:line="240" w:after="0"/>
              <w:rPr>
                <w:rFonts w:ascii="Arial" w:hAnsi="Arial" w:cs="Arial"/>
                <w:sz w:val="24"/>
                <w:szCs w:val="24"/>
                <w:lang w:val="uk-UA"/>
              </w:rPr>
            </w:pPr>
            <w:r>
              <w:rPr>
                <w:rFonts w:ascii="Arial" w:hAnsi="Arial" w:cs="Arial"/>
                <w:sz w:val="24"/>
                <w:szCs w:val="24"/>
                <w:lang w:val="uk-UA"/>
              </w:rPr>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7707</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7706</w:t>
            </w:r>
            <w:r/>
          </w:p>
        </w:tc>
      </w:tr>
      <w:tr>
        <w:trPr>
          <w:jc w:val="center"/>
          <w:trHeight w:val="551"/>
        </w:trPr>
        <w:tc>
          <w:tcPr>
            <w:tcW w:w="2964"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Третинний сектор</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2272</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2267</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2268</w:t>
            </w:r>
            <w:r/>
          </w:p>
        </w:tc>
      </w:tr>
      <w:tr>
        <w:trPr>
          <w:jc w:val="center"/>
          <w:trHeight w:val="551"/>
        </w:trPr>
        <w:tc>
          <w:tcPr>
            <w:tcW w:w="2964"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Промисловість</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8001</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7997</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8015</w:t>
            </w:r>
            <w:r/>
          </w:p>
        </w:tc>
      </w:tr>
      <w:tr>
        <w:trPr>
          <w:jc w:val="center"/>
          <w:trHeight w:val="551"/>
        </w:trPr>
        <w:tc>
          <w:tcPr>
            <w:tcW w:w="2964"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Інші</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2270</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2270</w:t>
            </w:r>
            <w:r/>
          </w:p>
        </w:tc>
        <w:tc>
          <w:tcPr>
            <w:tcW w:w="1316"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2269</w:t>
            </w:r>
            <w:r/>
          </w:p>
        </w:tc>
      </w:tr>
    </w:tbl>
    <w:p>
      <w:pPr>
        <w:ind w:right="-1"/>
        <w:spacing w:lineRule="auto" w:line="240" w:after="0"/>
        <w:rPr>
          <w:rFonts w:ascii="Arial" w:hAnsi="Arial" w:cs="Arial"/>
          <w:b/>
          <w:sz w:val="24"/>
          <w:szCs w:val="24"/>
          <w:lang w:val="uk-UA"/>
        </w:rPr>
      </w:pPr>
      <w:r>
        <w:rPr>
          <w:rFonts w:ascii="Arial" w:hAnsi="Arial" w:cs="Arial"/>
          <w:b/>
          <w:sz w:val="24"/>
          <w:szCs w:val="24"/>
          <w:lang w:val="uk-UA" w:eastAsia="uk-UA"/>
        </w:rPr>
        <w:drawing>
          <wp:inline distT="0" distB="0" distL="0" distR="0">
            <wp:extent cx="4434840" cy="2484120"/>
            <wp:effectExtent l="0" t="0" r="3810" b="11430"/>
            <wp:docPr id="22" name="Диаграмма 2"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p>
    <w:p>
      <w:pPr>
        <w:ind w:right="-1"/>
        <w:spacing w:lineRule="auto" w:line="240" w:after="0"/>
        <w:rPr>
          <w:rFonts w:ascii="Arial" w:hAnsi="Arial" w:cs="Arial"/>
          <w:b/>
          <w:sz w:val="24"/>
          <w:szCs w:val="24"/>
          <w:lang w:val="uk-UA"/>
        </w:rPr>
      </w:pPr>
      <w:r>
        <w:rPr>
          <w:rFonts w:ascii="Arial" w:hAnsi="Arial" w:cs="Arial"/>
          <w:b/>
          <w:sz w:val="24"/>
          <w:szCs w:val="24"/>
          <w:lang w:val="uk-UA" w:eastAsia="uk-UA"/>
        </w:rPr>
        <w:drawing>
          <wp:inline distT="0" distB="0" distL="0" distR="0">
            <wp:extent cx="4442460" cy="3048000"/>
            <wp:effectExtent l="0" t="0" r="15240" b="0"/>
            <wp:docPr id="23" name="Диаграмма 7"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t xml:space="preserve">2.</w:t>
      </w:r>
      <w:r>
        <w:rPr>
          <w:rFonts w:ascii="Arial" w:hAnsi="Arial" w:cs="Arial"/>
          <w:b/>
          <w:sz w:val="24"/>
          <w:szCs w:val="24"/>
          <w:lang w:val="uk-UA"/>
        </w:rPr>
        <w:t xml:space="preserve">2.</w:t>
      </w:r>
      <w:r>
        <w:rPr>
          <w:rFonts w:ascii="Arial" w:hAnsi="Arial" w:cs="Arial"/>
          <w:b/>
          <w:sz w:val="24"/>
          <w:szCs w:val="24"/>
          <w:lang w:val="uk-UA"/>
        </w:rPr>
        <w:t xml:space="preserve">4</w:t>
      </w:r>
      <w:r>
        <w:rPr>
          <w:rFonts w:ascii="Arial" w:hAnsi="Arial" w:cs="Arial"/>
          <w:b/>
          <w:sz w:val="24"/>
          <w:szCs w:val="24"/>
          <w:lang w:val="uk-UA"/>
        </w:rPr>
        <w:t xml:space="preserve">. Водопостачання та водовідведення</w:t>
      </w:r>
      <w:r/>
    </w:p>
    <w:p>
      <w:pPr>
        <w:ind w:right="-1"/>
        <w:jc w:val="both"/>
        <w:spacing w:lineRule="auto" w:line="240" w:after="0"/>
        <w:rPr>
          <w:rFonts w:ascii="Arial" w:hAnsi="Arial" w:cs="Arial"/>
          <w:b/>
          <w:color w:val="00B0F0"/>
          <w:sz w:val="24"/>
          <w:szCs w:val="24"/>
          <w:lang w:val="uk-UA"/>
        </w:rPr>
      </w:pPr>
      <w:r>
        <w:rPr>
          <w:rFonts w:ascii="Arial" w:hAnsi="Arial" w:cs="Arial"/>
          <w:b/>
          <w:color w:val="00B0F0"/>
          <w:sz w:val="24"/>
          <w:szCs w:val="24"/>
          <w:lang w:val="uk-UA"/>
        </w:rPr>
      </w:r>
      <w:r/>
    </w:p>
    <w:p>
      <w:pPr>
        <w:ind w:firstLine="709"/>
        <w:jc w:val="both"/>
        <w:spacing w:after="0"/>
        <w:rPr>
          <w:rFonts w:ascii="Arial" w:hAnsi="Arial" w:cs="Arial"/>
          <w:iCs/>
          <w:sz w:val="24"/>
          <w:szCs w:val="24"/>
          <w:lang w:val="uk-UA"/>
        </w:rPr>
      </w:pPr>
      <w:r>
        <w:rPr>
          <w:rFonts w:ascii="Arial" w:hAnsi="Arial" w:cs="Arial"/>
          <w:sz w:val="24"/>
          <w:szCs w:val="24"/>
          <w:lang w:val="uk-UA"/>
        </w:rPr>
        <w:t xml:space="preserve">На сьогоднішній день послуги з водопостачання та водовідведення у місті Мена надає ТОВ «Менський комунальник», який створено 07.04.2011 року і є єдиним правонаступником всіх майнових прав та обов’язкі</w:t>
      </w:r>
      <w:r>
        <w:rPr>
          <w:rFonts w:ascii="Arial" w:hAnsi="Arial" w:cs="Arial"/>
          <w:sz w:val="24"/>
          <w:szCs w:val="24"/>
          <w:lang w:val="uk-UA"/>
        </w:rPr>
        <w:t xml:space="preserve">в ЗАТ «Менський комунальник». </w:t>
      </w:r>
      <w:r>
        <w:rPr>
          <w:rFonts w:ascii="Arial" w:hAnsi="Arial" w:cs="Arial"/>
          <w:sz w:val="24"/>
          <w:szCs w:val="24"/>
          <w:lang w:val="uk-UA"/>
        </w:rPr>
        <w:t xml:space="preserve">Централізованим водопостачанням міста охоплено 3890 абонентів, з них 130 організацій. Питна вода в м. Мена подається цілодобово. </w:t>
      </w:r>
      <w:r>
        <w:rPr>
          <w:rFonts w:ascii="Arial" w:hAnsi="Arial" w:cs="Arial"/>
          <w:iCs/>
          <w:sz w:val="24"/>
          <w:szCs w:val="24"/>
          <w:lang w:val="uk-UA"/>
        </w:rPr>
        <w:t xml:space="preserve">На даний час м. Мена забезпечується водою з 6-ти артезіанських свердловин </w:t>
      </w:r>
      <w:r>
        <w:rPr>
          <w:rFonts w:ascii="Arial" w:hAnsi="Arial" w:cs="Arial"/>
          <w:iCs/>
          <w:sz w:val="24"/>
          <w:szCs w:val="24"/>
          <w:lang w:val="uk-UA"/>
        </w:rPr>
        <w:t xml:space="preserve">сеноман-нижньокрейдового</w:t>
      </w:r>
      <w:r>
        <w:rPr>
          <w:rFonts w:ascii="Arial" w:hAnsi="Arial" w:cs="Arial"/>
          <w:iCs/>
          <w:sz w:val="24"/>
          <w:szCs w:val="24"/>
          <w:lang w:val="uk-UA"/>
        </w:rPr>
        <w:t xml:space="preserve"> та бутанського водоносних горизонтів, побудованих у 1963-1993 роках. Значна частина водопровідної мережі побудована без проекту та гідравлічних розрахунків. </w:t>
      </w:r>
      <w:r/>
    </w:p>
    <w:p>
      <w:pPr>
        <w:pStyle w:val="532"/>
        <w:ind w:firstLine="709"/>
        <w:jc w:val="both"/>
        <w:rPr>
          <w:rFonts w:ascii="Arial" w:hAnsi="Arial" w:cs="Arial"/>
          <w:sz w:val="24"/>
          <w:szCs w:val="24"/>
          <w:lang w:val="uk-UA"/>
        </w:rPr>
      </w:pPr>
      <w:r>
        <w:rPr>
          <w:rFonts w:ascii="Arial" w:hAnsi="Arial" w:cs="Arial"/>
          <w:sz w:val="24"/>
          <w:szCs w:val="24"/>
          <w:lang w:val="uk-UA"/>
        </w:rPr>
        <w:t xml:space="preserve">Загальна протяжність водопровідної мережі в м. Мена становить 48,05 км., каналізаційної - 12,815 км. ТОВ</w:t>
      </w:r>
      <w:r>
        <w:rPr>
          <w:rFonts w:ascii="Arial" w:hAnsi="Arial" w:cs="Arial"/>
          <w:sz w:val="24"/>
          <w:szCs w:val="24"/>
          <w:lang w:val="uk-UA"/>
        </w:rPr>
        <w:t xml:space="preserve"> «Менський комунальник» обслуговує водогін загальною протяжністю 28,9 км. та каналізаційну мережу - 10,05 км, що знаходиться у комунальній власності громади. Але фактично по місту протяжність водогону є більшою і нагальним є питанням взяття його на баланс.</w:t>
      </w:r>
      <w:r/>
    </w:p>
    <w:p>
      <w:pPr>
        <w:pStyle w:val="532"/>
        <w:ind w:firstLine="709"/>
        <w:jc w:val="both"/>
        <w:rPr>
          <w:rFonts w:ascii="Arial" w:hAnsi="Arial" w:cs="Arial"/>
          <w:sz w:val="24"/>
          <w:szCs w:val="24"/>
          <w:lang w:val="uk-UA"/>
        </w:rPr>
      </w:pPr>
      <w:r>
        <w:rPr>
          <w:rFonts w:ascii="Arial" w:hAnsi="Arial" w:cs="Arial"/>
          <w:sz w:val="24"/>
          <w:szCs w:val="24"/>
          <w:lang w:val="uk-UA"/>
        </w:rPr>
        <w:t xml:space="preserve">В селищі Макошине послуги з водопостачання та водовідведення надає КП «Макошинське». На даний момент підключено 99 абонентів з водопостачання та 79  з водовідведення. Загальна протяжність водогону 6,8км, каналізаційних мереж – 7км.</w:t>
      </w:r>
      <w:r/>
    </w:p>
    <w:p>
      <w:pPr>
        <w:ind w:right="-1"/>
        <w:jc w:val="both"/>
        <w:spacing w:lineRule="auto" w:line="240" w:after="0"/>
        <w:rPr>
          <w:rFonts w:ascii="Arial" w:hAnsi="Arial" w:cs="Arial"/>
          <w:sz w:val="24"/>
          <w:szCs w:val="24"/>
          <w:lang w:val="uk-UA"/>
        </w:rPr>
      </w:pPr>
      <w:r>
        <w:rPr>
          <w:rFonts w:ascii="Arial" w:hAnsi="Arial" w:cs="Arial"/>
          <w:b/>
          <w:sz w:val="24"/>
          <w:szCs w:val="24"/>
          <w:lang w:val="uk-UA"/>
        </w:rPr>
        <w:tab/>
      </w:r>
      <w:r>
        <w:rPr>
          <w:rFonts w:ascii="Arial" w:hAnsi="Arial" w:cs="Arial"/>
          <w:sz w:val="24"/>
          <w:szCs w:val="24"/>
          <w:lang w:val="uk-UA"/>
        </w:rPr>
        <w:t xml:space="preserve">Кількість каналізаційних-насосних станцій </w:t>
      </w:r>
      <w:r>
        <w:rPr>
          <w:rFonts w:ascii="Arial" w:hAnsi="Arial" w:cs="Arial"/>
          <w:sz w:val="24"/>
          <w:szCs w:val="24"/>
          <w:lang w:val="uk-UA"/>
        </w:rPr>
        <w:t xml:space="preserve">– 2 </w:t>
      </w:r>
      <w:r>
        <w:rPr>
          <w:rFonts w:ascii="Arial" w:hAnsi="Arial" w:cs="Arial"/>
          <w:sz w:val="24"/>
          <w:szCs w:val="24"/>
          <w:lang w:val="uk-UA"/>
        </w:rPr>
        <w:t xml:space="preserve">шт</w:t>
      </w:r>
      <w:r>
        <w:rPr>
          <w:rFonts w:ascii="Arial" w:hAnsi="Arial" w:cs="Arial"/>
          <w:sz w:val="24"/>
          <w:szCs w:val="24"/>
          <w:lang w:val="uk-UA"/>
        </w:rPr>
        <w:t xml:space="preserve">: </w:t>
      </w:r>
      <w:r/>
    </w:p>
    <w:p>
      <w:pPr>
        <w:ind w:right="-1"/>
        <w:jc w:val="both"/>
        <w:spacing w:lineRule="auto" w:line="240" w:after="0"/>
        <w:rPr>
          <w:rFonts w:ascii="Arial" w:hAnsi="Arial" w:cs="Arial"/>
          <w:sz w:val="24"/>
          <w:szCs w:val="24"/>
          <w:lang w:val="uk-UA"/>
        </w:rPr>
      </w:pPr>
      <w:r>
        <w:rPr>
          <w:rFonts w:ascii="Arial" w:hAnsi="Arial" w:cs="Arial"/>
          <w:sz w:val="24"/>
          <w:szCs w:val="24"/>
          <w:lang w:val="uk-UA"/>
        </w:rPr>
        <w:t xml:space="preserve">КНС №1 ,КНС №2</w:t>
      </w:r>
      <w:r/>
    </w:p>
    <w:p>
      <w:pPr>
        <w:ind w:right="-1"/>
        <w:jc w:val="both"/>
        <w:spacing w:lineRule="auto" w:line="240" w:after="0"/>
        <w:rPr>
          <w:rFonts w:ascii="Arial" w:hAnsi="Arial" w:cs="Arial"/>
          <w:sz w:val="24"/>
          <w:szCs w:val="24"/>
          <w:lang w:val="uk-UA"/>
        </w:rPr>
      </w:pPr>
      <w:r>
        <w:rPr>
          <w:rFonts w:ascii="Arial" w:hAnsi="Arial" w:cs="Arial"/>
          <w:sz w:val="24"/>
          <w:szCs w:val="24"/>
          <w:lang w:val="uk-UA"/>
        </w:rPr>
        <w:t xml:space="preserve">Об’єм резервуарів </w:t>
      </w:r>
      <w:r>
        <w:rPr>
          <w:rFonts w:ascii="Arial" w:hAnsi="Arial" w:cs="Arial"/>
          <w:sz w:val="24"/>
          <w:szCs w:val="24"/>
          <w:lang w:val="uk-UA"/>
        </w:rPr>
        <w:t xml:space="preserve">- </w:t>
      </w:r>
      <w:r>
        <w:rPr>
          <w:rFonts w:ascii="Arial" w:hAnsi="Arial" w:cs="Arial"/>
          <w:sz w:val="24"/>
          <w:szCs w:val="24"/>
          <w:lang w:val="uk-UA"/>
        </w:rPr>
        <w:t xml:space="preserve">КНС №1-60 м3 ,КНС №2-10м3                                                    </w:t>
      </w:r>
      <w:r/>
    </w:p>
    <w:p>
      <w:pPr>
        <w:ind w:right="-1"/>
        <w:jc w:val="both"/>
        <w:spacing w:lineRule="auto" w:line="240" w:after="0"/>
        <w:rPr>
          <w:rFonts w:ascii="Arial" w:hAnsi="Arial" w:cs="Arial"/>
          <w:sz w:val="24"/>
          <w:szCs w:val="24"/>
          <w:lang w:val="uk-UA"/>
        </w:rPr>
      </w:pPr>
      <w:r>
        <w:rPr>
          <w:rFonts w:ascii="Arial" w:hAnsi="Arial" w:cs="Arial"/>
          <w:sz w:val="24"/>
          <w:szCs w:val="24"/>
          <w:lang w:val="uk-UA"/>
        </w:rPr>
        <w:t xml:space="preserve">Установлена виробнича потужність - 720 м3\добу                      </w:t>
      </w:r>
      <w:r/>
    </w:p>
    <w:p>
      <w:pPr>
        <w:ind w:right="-1"/>
        <w:jc w:val="both"/>
        <w:spacing w:lineRule="auto" w:line="240" w:after="0"/>
        <w:rPr>
          <w:rFonts w:ascii="Arial" w:hAnsi="Arial" w:cs="Arial"/>
          <w:sz w:val="24"/>
          <w:szCs w:val="24"/>
          <w:lang w:val="uk-UA"/>
        </w:rPr>
      </w:pPr>
      <w:r>
        <w:rPr>
          <w:rFonts w:ascii="Arial" w:hAnsi="Arial" w:cs="Arial"/>
          <w:sz w:val="24"/>
          <w:szCs w:val="24"/>
          <w:lang w:val="uk-UA"/>
        </w:rPr>
        <w:t xml:space="preserve">Кількість скидових стічних вод 2017р-59,6 тис.м3 ,2018р-62,7 тис.м3,2019р-57,6 тис.м3</w:t>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Водопостачання</w:t>
      </w:r>
      <w:r>
        <w:rPr>
          <w:rFonts w:ascii="Arial" w:hAnsi="Arial" w:cs="Arial"/>
          <w:b/>
          <w:sz w:val="24"/>
          <w:szCs w:val="24"/>
          <w:lang w:val="uk-UA"/>
        </w:rPr>
        <w:t xml:space="preserve"> за категоріями споживачів в </w:t>
      </w:r>
      <w:r>
        <w:rPr>
          <w:rFonts w:ascii="Arial" w:hAnsi="Arial" w:cs="Arial"/>
          <w:b/>
          <w:sz w:val="24"/>
          <w:szCs w:val="24"/>
          <w:lang w:val="uk-UA"/>
        </w:rPr>
        <w:t xml:space="preserve">тис </w:t>
      </w:r>
      <w:r>
        <w:rPr>
          <w:rFonts w:ascii="Arial" w:hAnsi="Arial" w:cs="Arial"/>
          <w:b/>
          <w:sz w:val="24"/>
          <w:szCs w:val="24"/>
          <w:lang w:val="uk-UA"/>
        </w:rPr>
        <w:t xml:space="preserve">м</w:t>
      </w:r>
      <w:r>
        <w:rPr>
          <w:rFonts w:ascii="Arial" w:hAnsi="Arial" w:cs="Arial"/>
          <w:b/>
          <w:sz w:val="24"/>
          <w:szCs w:val="24"/>
          <w:vertAlign w:val="superscript"/>
          <w:lang w:val="uk-UA"/>
        </w:rPr>
        <w:t xml:space="preserve">3</w:t>
      </w:r>
      <w:r>
        <w:rPr>
          <w:rFonts w:ascii="Arial" w:hAnsi="Arial" w:cs="Arial"/>
          <w:b/>
          <w:sz w:val="24"/>
          <w:szCs w:val="24"/>
          <w:lang w:val="uk-UA"/>
        </w:rPr>
        <w:t xml:space="preserve"> з 2017 по 2019</w:t>
      </w:r>
      <w:r>
        <w:rPr>
          <w:rFonts w:ascii="Arial" w:hAnsi="Arial" w:cs="Arial"/>
          <w:b/>
          <w:sz w:val="24"/>
          <w:szCs w:val="24"/>
          <w:lang w:val="uk-UA"/>
        </w:rPr>
        <w:t xml:space="preserve"> роки</w:t>
      </w:r>
      <w:r/>
    </w:p>
    <w:p>
      <w:pPr>
        <w:ind w:right="-1" w:firstLine="709"/>
        <w:jc w:val="right"/>
        <w:spacing w:lineRule="auto" w:line="240" w:after="0"/>
        <w:rPr>
          <w:rFonts w:ascii="Arial" w:hAnsi="Arial" w:cs="Arial"/>
          <w:b/>
          <w:sz w:val="24"/>
          <w:szCs w:val="24"/>
          <w:lang w:val="uk-UA"/>
        </w:rPr>
      </w:pPr>
      <w:r>
        <w:rPr>
          <w:rFonts w:ascii="Arial" w:hAnsi="Arial" w:cs="Arial"/>
          <w:b/>
          <w:sz w:val="24"/>
          <w:szCs w:val="24"/>
          <w:lang w:val="uk-UA"/>
        </w:rPr>
      </w:r>
      <w:r/>
    </w:p>
    <w:tbl>
      <w:tblPr>
        <w:tblStyle w:val="521"/>
        <w:tblW w:w="6782" w:type="dxa"/>
        <w:tblLook w:val="04A0" w:firstRow="1" w:lastRow="0" w:firstColumn="1" w:lastColumn="0" w:noHBand="0" w:noVBand="1"/>
      </w:tblPr>
      <w:tblGrid>
        <w:gridCol w:w="2743"/>
        <w:gridCol w:w="1401"/>
        <w:gridCol w:w="1319"/>
        <w:gridCol w:w="1319"/>
      </w:tblGrid>
      <w:tr>
        <w:trPr>
          <w:trHeight w:val="912"/>
        </w:trPr>
        <w:tc>
          <w:tcPr>
            <w:shd w:val="clear" w:color="auto" w:fill="00B050" w:themeFill="accent1"/>
            <w:tcW w:w="2743"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Категорія споживачів</w:t>
            </w:r>
            <w:r/>
          </w:p>
        </w:tc>
        <w:tc>
          <w:tcPr>
            <w:shd w:val="clear" w:color="auto" w:fill="00B050" w:themeFill="accent1"/>
            <w:tcW w:w="1401"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rPr>
              <w:t xml:space="preserve">2017</w:t>
            </w:r>
            <w:r/>
          </w:p>
        </w:tc>
        <w:tc>
          <w:tcPr>
            <w:shd w:val="clear" w:color="auto" w:fill="00B050" w:themeFill="accent1"/>
            <w:tcW w:w="1319"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rPr>
              <w:t xml:space="preserve">2018</w:t>
            </w:r>
            <w:r/>
          </w:p>
        </w:tc>
        <w:tc>
          <w:tcPr>
            <w:shd w:val="clear" w:color="auto" w:fill="00B050" w:themeFill="accent1"/>
            <w:tcW w:w="1319"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rPr>
              <w:t xml:space="preserve">2019</w:t>
            </w:r>
            <w:r/>
          </w:p>
        </w:tc>
      </w:tr>
      <w:tr>
        <w:trPr>
          <w:trHeight w:val="742"/>
        </w:trPr>
        <w:tc>
          <w:tcPr>
            <w:tcW w:w="2743" w:type="dxa"/>
            <w:vAlign w:val="center"/>
            <w:textDirection w:val="lrTb"/>
            <w:noWrap w:val="false"/>
          </w:tcPr>
          <w:p>
            <w:pPr>
              <w:ind w:right="-1"/>
              <w:spacing w:lineRule="auto" w:line="240" w:after="0"/>
              <w:rPr>
                <w:rFonts w:ascii="Arial" w:hAnsi="Arial" w:cs="Arial"/>
                <w:b/>
                <w:sz w:val="24"/>
                <w:szCs w:val="24"/>
                <w:lang w:val="uk-UA"/>
              </w:rPr>
            </w:pPr>
            <w:r>
              <w:rPr>
                <w:rFonts w:ascii="Arial" w:hAnsi="Arial" w:cs="Arial"/>
                <w:sz w:val="24"/>
                <w:szCs w:val="24"/>
                <w:lang w:val="uk-UA"/>
              </w:rPr>
              <w:t xml:space="preserve">Муніципальні будівлі</w:t>
            </w:r>
            <w:r/>
          </w:p>
        </w:tc>
        <w:tc>
          <w:tcPr>
            <w:tcW w:w="1401"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rPr>
              <w:t xml:space="preserve">26</w:t>
            </w:r>
            <w:r/>
          </w:p>
        </w:tc>
        <w:tc>
          <w:tcPr>
            <w:tcW w:w="13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rPr>
              <w:t xml:space="preserve">24</w:t>
            </w:r>
            <w:r/>
          </w:p>
        </w:tc>
        <w:tc>
          <w:tcPr>
            <w:tcW w:w="13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rPr>
              <w:t xml:space="preserve">24</w:t>
            </w:r>
            <w:r/>
          </w:p>
        </w:tc>
      </w:tr>
      <w:tr>
        <w:trPr>
          <w:trHeight w:val="925"/>
        </w:trPr>
        <w:tc>
          <w:tcPr>
            <w:tcW w:w="2743" w:type="dxa"/>
            <w:vAlign w:val="center"/>
            <w:textDirection w:val="lrTb"/>
            <w:noWrap w:val="false"/>
          </w:tcPr>
          <w:p>
            <w:pPr>
              <w:ind w:right="-1"/>
              <w:spacing w:lineRule="auto" w:line="240" w:after="0"/>
              <w:rPr>
                <w:rFonts w:ascii="Arial" w:hAnsi="Arial" w:cs="Arial"/>
                <w:b/>
                <w:sz w:val="24"/>
                <w:szCs w:val="24"/>
                <w:lang w:val="uk-UA"/>
              </w:rPr>
            </w:pPr>
            <w:r>
              <w:rPr>
                <w:rFonts w:ascii="Arial" w:hAnsi="Arial" w:cs="Arial"/>
                <w:sz w:val="24"/>
                <w:szCs w:val="24"/>
                <w:lang w:val="uk-UA"/>
              </w:rPr>
              <w:t xml:space="preserve">Населення</w:t>
            </w:r>
            <w:r/>
          </w:p>
        </w:tc>
        <w:tc>
          <w:tcPr>
            <w:tcW w:w="1401"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rPr>
              <w:t xml:space="preserve">3760</w:t>
            </w:r>
            <w:r/>
          </w:p>
        </w:tc>
        <w:tc>
          <w:tcPr>
            <w:tcW w:w="13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rPr>
              <w:t xml:space="preserve">3580</w:t>
            </w:r>
            <w:r/>
          </w:p>
        </w:tc>
        <w:tc>
          <w:tcPr>
            <w:tcW w:w="13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rPr>
              <w:t xml:space="preserve">3533</w:t>
            </w:r>
            <w:r/>
          </w:p>
        </w:tc>
      </w:tr>
      <w:tr>
        <w:trPr>
          <w:trHeight w:val="845"/>
        </w:trPr>
        <w:tc>
          <w:tcPr>
            <w:tcW w:w="2743" w:type="dxa"/>
            <w:vAlign w:val="center"/>
            <w:textDirection w:val="lrTb"/>
            <w:noWrap w:val="false"/>
          </w:tcPr>
          <w:p>
            <w:pPr>
              <w:ind w:right="-1"/>
              <w:spacing w:lineRule="auto" w:line="240" w:after="0"/>
              <w:rPr>
                <w:rFonts w:ascii="Arial" w:hAnsi="Arial" w:cs="Arial"/>
                <w:b/>
                <w:sz w:val="24"/>
                <w:szCs w:val="24"/>
                <w:lang w:val="uk-UA"/>
              </w:rPr>
            </w:pPr>
            <w:r>
              <w:rPr>
                <w:rFonts w:ascii="Arial" w:hAnsi="Arial" w:cs="Arial"/>
                <w:sz w:val="24"/>
                <w:szCs w:val="24"/>
                <w:lang w:val="uk-UA"/>
              </w:rPr>
              <w:t xml:space="preserve">Промисловість </w:t>
            </w:r>
            <w:r/>
          </w:p>
        </w:tc>
        <w:tc>
          <w:tcPr>
            <w:tcW w:w="1401"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rPr>
              <w:t xml:space="preserve">113</w:t>
            </w:r>
            <w:r/>
          </w:p>
        </w:tc>
        <w:tc>
          <w:tcPr>
            <w:tcW w:w="13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rPr>
              <w:t xml:space="preserve">96</w:t>
            </w:r>
            <w:r/>
          </w:p>
        </w:tc>
        <w:tc>
          <w:tcPr>
            <w:tcW w:w="1319"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rPr>
              <w:t xml:space="preserve">97</w:t>
            </w:r>
            <w:r/>
          </w:p>
        </w:tc>
      </w:tr>
    </w:tbl>
    <w:p>
      <w:pPr>
        <w:ind w:right="-1"/>
        <w:jc w:val="center"/>
        <w:spacing w:lineRule="auto" w:line="240" w:after="0"/>
        <w:rPr>
          <w:rFonts w:ascii="Arial" w:hAnsi="Arial" w:cs="Arial"/>
          <w:b/>
          <w:sz w:val="24"/>
          <w:szCs w:val="24"/>
          <w:lang w:val="uk-UA"/>
        </w:rPr>
      </w:pPr>
      <w:r>
        <w:rPr>
          <w:rFonts w:ascii="Arial" w:hAnsi="Arial" w:cs="Arial"/>
          <w:b/>
          <w:sz w:val="24"/>
          <w:szCs w:val="24"/>
          <w:lang w:val="uk-UA" w:eastAsia="uk-UA"/>
        </w:rPr>
        <w:drawing>
          <wp:inline distT="0" distB="0" distL="0" distR="0">
            <wp:extent cx="4328160" cy="2773680"/>
            <wp:effectExtent l="0" t="0" r="15240" b="7620"/>
            <wp:docPr id="24" name="Диаграмма 8"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p>
    <w:p>
      <w:pPr>
        <w:ind w:right="-1" w:firstLine="709"/>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center"/>
        <w:spacing w:lineRule="auto" w:line="240" w:after="0"/>
        <w:rPr>
          <w:rFonts w:ascii="Arial" w:hAnsi="Arial" w:cs="Arial"/>
          <w:b/>
          <w:sz w:val="24"/>
          <w:szCs w:val="24"/>
          <w:lang w:val="uk-UA"/>
        </w:rPr>
      </w:pPr>
      <w:r>
        <w:rPr>
          <w:rFonts w:ascii="Arial" w:hAnsi="Arial" w:cs="Arial"/>
          <w:b/>
          <w:sz w:val="24"/>
          <w:szCs w:val="24"/>
          <w:lang w:val="uk-UA"/>
        </w:rPr>
        <w:t xml:space="preserve">Водовідведення за категоріями споживачів в тис м</w:t>
      </w:r>
      <w:r>
        <w:rPr>
          <w:rFonts w:ascii="Arial" w:hAnsi="Arial" w:cs="Arial"/>
          <w:b/>
          <w:sz w:val="24"/>
          <w:szCs w:val="24"/>
          <w:vertAlign w:val="superscript"/>
          <w:lang w:val="uk-UA"/>
        </w:rPr>
        <w:t xml:space="preserve">3</w:t>
      </w:r>
      <w:r>
        <w:rPr>
          <w:rFonts w:ascii="Arial" w:hAnsi="Arial" w:cs="Arial"/>
          <w:b/>
          <w:sz w:val="24"/>
          <w:szCs w:val="24"/>
          <w:lang w:val="uk-UA"/>
        </w:rPr>
        <w:t xml:space="preserve"> з 2017 по 2019</w:t>
      </w:r>
      <w:r>
        <w:rPr>
          <w:rFonts w:ascii="Arial" w:hAnsi="Arial" w:cs="Arial"/>
          <w:b/>
          <w:sz w:val="24"/>
          <w:szCs w:val="24"/>
          <w:lang w:val="uk-UA"/>
        </w:rPr>
        <w:t xml:space="preserve"> роки</w:t>
      </w:r>
      <w:r/>
    </w:p>
    <w:p>
      <w:pPr>
        <w:ind w:right="-1" w:firstLine="709"/>
        <w:jc w:val="right"/>
        <w:spacing w:lineRule="auto" w:line="240" w:after="0"/>
        <w:rPr>
          <w:rFonts w:ascii="Arial" w:hAnsi="Arial" w:cs="Arial"/>
          <w:b/>
          <w:sz w:val="24"/>
          <w:szCs w:val="24"/>
          <w:lang w:val="uk-UA"/>
        </w:rPr>
      </w:pPr>
      <w:r>
        <w:rPr>
          <w:rFonts w:ascii="Arial" w:hAnsi="Arial" w:cs="Arial"/>
          <w:b/>
          <w:sz w:val="24"/>
          <w:szCs w:val="24"/>
          <w:lang w:val="uk-UA"/>
        </w:rPr>
      </w:r>
      <w:r/>
    </w:p>
    <w:tbl>
      <w:tblPr>
        <w:tblStyle w:val="521"/>
        <w:tblW w:w="6976" w:type="dxa"/>
        <w:tblLook w:val="04A0" w:firstRow="1" w:lastRow="0" w:firstColumn="1" w:lastColumn="0" w:noHBand="0" w:noVBand="1"/>
      </w:tblPr>
      <w:tblGrid>
        <w:gridCol w:w="2683"/>
        <w:gridCol w:w="1450"/>
        <w:gridCol w:w="1450"/>
        <w:gridCol w:w="1393"/>
      </w:tblGrid>
      <w:tr>
        <w:trPr>
          <w:trHeight w:val="853"/>
        </w:trPr>
        <w:tc>
          <w:tcPr>
            <w:shd w:val="clear" w:color="auto" w:fill="00B050" w:themeFill="accent1"/>
            <w:tcW w:w="2683"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Категорія споживачів</w:t>
            </w:r>
            <w:r/>
          </w:p>
        </w:tc>
        <w:tc>
          <w:tcPr>
            <w:shd w:val="clear" w:color="auto" w:fill="00B050" w:themeFill="accent1"/>
            <w:tcW w:w="145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2017</w:t>
            </w:r>
            <w:r/>
          </w:p>
        </w:tc>
        <w:tc>
          <w:tcPr>
            <w:shd w:val="clear" w:color="auto" w:fill="00B050" w:themeFill="accent1"/>
            <w:tcW w:w="145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2018</w:t>
            </w:r>
            <w:r/>
          </w:p>
        </w:tc>
        <w:tc>
          <w:tcPr>
            <w:shd w:val="clear" w:color="auto" w:fill="00B050" w:themeFill="accent1"/>
            <w:tcW w:w="1393"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2019</w:t>
            </w:r>
            <w:r/>
          </w:p>
        </w:tc>
      </w:tr>
      <w:tr>
        <w:trPr>
          <w:trHeight w:val="686"/>
        </w:trPr>
        <w:tc>
          <w:tcPr>
            <w:tcW w:w="2683" w:type="dxa"/>
            <w:vAlign w:val="center"/>
            <w:textDirection w:val="lrTb"/>
            <w:noWrap w:val="false"/>
          </w:tcPr>
          <w:p>
            <w:pPr>
              <w:ind w:right="-1"/>
              <w:spacing w:lineRule="auto" w:line="240" w:after="0"/>
              <w:rPr>
                <w:rFonts w:ascii="Arial" w:hAnsi="Arial" w:cs="Arial"/>
                <w:b/>
                <w:sz w:val="24"/>
                <w:szCs w:val="24"/>
                <w:lang w:val="uk-UA"/>
              </w:rPr>
            </w:pPr>
            <w:r>
              <w:rPr>
                <w:rFonts w:ascii="Arial" w:hAnsi="Arial" w:cs="Arial"/>
                <w:sz w:val="24"/>
                <w:szCs w:val="24"/>
                <w:lang w:val="uk-UA"/>
              </w:rPr>
              <w:t xml:space="preserve">Муніципальні будівлі</w:t>
            </w:r>
            <w:r/>
          </w:p>
        </w:tc>
        <w:tc>
          <w:tcPr>
            <w:tcW w:w="145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10</w:t>
            </w:r>
            <w:r/>
          </w:p>
        </w:tc>
        <w:tc>
          <w:tcPr>
            <w:tcW w:w="145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10</w:t>
            </w:r>
            <w:r/>
          </w:p>
        </w:tc>
        <w:tc>
          <w:tcPr>
            <w:tcW w:w="1393"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10</w:t>
            </w:r>
            <w:r/>
          </w:p>
        </w:tc>
      </w:tr>
      <w:tr>
        <w:trPr>
          <w:trHeight w:val="861"/>
        </w:trPr>
        <w:tc>
          <w:tcPr>
            <w:tcW w:w="2683" w:type="dxa"/>
            <w:vAlign w:val="center"/>
            <w:textDirection w:val="lrTb"/>
            <w:noWrap w:val="false"/>
          </w:tcPr>
          <w:p>
            <w:pPr>
              <w:ind w:right="-1"/>
              <w:spacing w:lineRule="auto" w:line="240" w:after="0"/>
              <w:rPr>
                <w:rFonts w:ascii="Arial" w:hAnsi="Arial" w:cs="Arial"/>
                <w:b/>
                <w:sz w:val="24"/>
                <w:szCs w:val="24"/>
                <w:lang w:val="uk-UA"/>
              </w:rPr>
            </w:pPr>
            <w:r>
              <w:rPr>
                <w:rFonts w:ascii="Arial" w:hAnsi="Arial" w:cs="Arial"/>
                <w:sz w:val="24"/>
                <w:szCs w:val="24"/>
                <w:lang w:val="uk-UA"/>
              </w:rPr>
              <w:t xml:space="preserve">Населення</w:t>
            </w:r>
            <w:r/>
          </w:p>
        </w:tc>
        <w:tc>
          <w:tcPr>
            <w:tcW w:w="145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889</w:t>
            </w:r>
            <w:r/>
          </w:p>
        </w:tc>
        <w:tc>
          <w:tcPr>
            <w:tcW w:w="145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880</w:t>
            </w:r>
            <w:r/>
          </w:p>
        </w:tc>
        <w:tc>
          <w:tcPr>
            <w:tcW w:w="1393"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895</w:t>
            </w:r>
            <w:r/>
          </w:p>
        </w:tc>
      </w:tr>
      <w:tr>
        <w:trPr>
          <w:trHeight w:val="935"/>
        </w:trPr>
        <w:tc>
          <w:tcPr>
            <w:tcW w:w="2683" w:type="dxa"/>
            <w:vAlign w:val="center"/>
            <w:textDirection w:val="lrTb"/>
            <w:noWrap w:val="false"/>
          </w:tcPr>
          <w:p>
            <w:pPr>
              <w:ind w:right="-1"/>
              <w:spacing w:lineRule="auto" w:line="240" w:after="0"/>
              <w:rPr>
                <w:rFonts w:ascii="Arial" w:hAnsi="Arial" w:cs="Arial"/>
                <w:b/>
                <w:sz w:val="24"/>
                <w:szCs w:val="24"/>
                <w:lang w:val="uk-UA"/>
              </w:rPr>
            </w:pPr>
            <w:r>
              <w:rPr>
                <w:rFonts w:ascii="Arial" w:hAnsi="Arial" w:cs="Arial"/>
                <w:sz w:val="24"/>
                <w:szCs w:val="24"/>
                <w:lang w:val="uk-UA"/>
              </w:rPr>
              <w:t xml:space="preserve">Промисловість </w:t>
            </w:r>
            <w:r/>
          </w:p>
        </w:tc>
        <w:tc>
          <w:tcPr>
            <w:tcW w:w="145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46</w:t>
            </w:r>
            <w:r/>
          </w:p>
        </w:tc>
        <w:tc>
          <w:tcPr>
            <w:tcW w:w="145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43</w:t>
            </w:r>
            <w:r/>
          </w:p>
        </w:tc>
        <w:tc>
          <w:tcPr>
            <w:tcW w:w="1393"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44</w:t>
            </w:r>
            <w:r/>
          </w:p>
        </w:tc>
      </w:tr>
    </w:tbl>
    <w:p>
      <w:pPr>
        <w:ind w:right="-1"/>
        <w:jc w:val="both"/>
        <w:spacing w:lineRule="auto" w:line="240" w:after="0"/>
        <w:rPr>
          <w:rFonts w:ascii="Arial" w:hAnsi="Arial" w:cs="Arial"/>
          <w:b/>
          <w:color w:val="00B0F0"/>
          <w:sz w:val="24"/>
          <w:szCs w:val="24"/>
          <w:lang w:val="uk-UA"/>
        </w:rPr>
      </w:pPr>
      <w:r>
        <w:rPr>
          <w:rFonts w:ascii="Arial" w:hAnsi="Arial" w:cs="Arial"/>
          <w:b/>
          <w:sz w:val="24"/>
          <w:szCs w:val="24"/>
          <w:lang w:val="uk-UA" w:eastAsia="uk-UA"/>
        </w:rPr>
        <w:drawing>
          <wp:inline distT="0" distB="0" distL="0" distR="0">
            <wp:extent cx="4465320" cy="2644140"/>
            <wp:effectExtent l="0" t="0" r="11430" b="3810"/>
            <wp:docPr id="25" name="Диаграмма 11"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Arial" w:hAnsi="Arial" w:cs="Arial"/>
          <w:b/>
          <w:color w:val="00B0F0"/>
          <w:sz w:val="24"/>
          <w:szCs w:val="24"/>
          <w:lang w:val="uk-UA"/>
        </w:rPr>
        <w:t xml:space="preserve"> </w:t>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t xml:space="preserve">2.</w:t>
      </w:r>
      <w:r>
        <w:rPr>
          <w:rFonts w:ascii="Arial" w:hAnsi="Arial" w:cs="Arial"/>
          <w:b/>
          <w:sz w:val="24"/>
          <w:szCs w:val="24"/>
          <w:lang w:val="uk-UA"/>
        </w:rPr>
        <w:t xml:space="preserve">2.</w:t>
      </w:r>
      <w:r>
        <w:rPr>
          <w:rFonts w:ascii="Arial" w:hAnsi="Arial" w:cs="Arial"/>
          <w:b/>
          <w:sz w:val="24"/>
          <w:szCs w:val="24"/>
          <w:lang w:val="uk-UA"/>
        </w:rPr>
        <w:t xml:space="preserve">5</w:t>
      </w:r>
      <w:r>
        <w:rPr>
          <w:rFonts w:ascii="Arial" w:hAnsi="Arial" w:cs="Arial"/>
          <w:b/>
          <w:sz w:val="24"/>
          <w:szCs w:val="24"/>
          <w:lang w:val="uk-UA"/>
        </w:rPr>
        <w:t xml:space="preserve">. Муніципальне</w:t>
      </w:r>
      <w:r>
        <w:rPr>
          <w:rFonts w:ascii="Arial" w:hAnsi="Arial" w:cs="Arial"/>
          <w:b/>
          <w:sz w:val="24"/>
          <w:szCs w:val="24"/>
          <w:lang w:val="uk-UA"/>
        </w:rPr>
        <w:t xml:space="preserve"> освітлення</w:t>
      </w:r>
      <w:r/>
    </w:p>
    <w:p>
      <w:pPr>
        <w:ind w:right="-1" w:firstLine="709"/>
        <w:jc w:val="both"/>
        <w:spacing w:lineRule="auto" w:line="240" w:after="0"/>
        <w:rPr>
          <w:rFonts w:ascii="Arial" w:hAnsi="Arial" w:cs="Arial"/>
          <w:b/>
          <w:color w:val="00B0F0"/>
          <w:sz w:val="24"/>
          <w:szCs w:val="24"/>
          <w:lang w:val="uk-UA"/>
        </w:rPr>
      </w:pPr>
      <w:r>
        <w:rPr>
          <w:rFonts w:ascii="Arial" w:hAnsi="Arial" w:cs="Arial"/>
          <w:b/>
          <w:color w:val="00B0F0"/>
          <w:sz w:val="24"/>
          <w:szCs w:val="24"/>
          <w:lang w:val="uk-UA"/>
        </w:rPr>
      </w:r>
      <w:r/>
    </w:p>
    <w:tbl>
      <w:tblPr>
        <w:tblStyle w:val="521"/>
        <w:tblW w:w="7366" w:type="dxa"/>
        <w:jc w:val="center"/>
        <w:tblLayout w:type="fixed"/>
        <w:tblLook w:val="04A0" w:firstRow="1" w:lastRow="0" w:firstColumn="1" w:lastColumn="0" w:noHBand="0" w:noVBand="1"/>
      </w:tblPr>
      <w:tblGrid>
        <w:gridCol w:w="522"/>
        <w:gridCol w:w="5569"/>
        <w:gridCol w:w="1275"/>
      </w:tblGrid>
      <w:tr>
        <w:trPr>
          <w:jc w:val="center"/>
          <w:trHeight w:val="769"/>
        </w:trPr>
        <w:tc>
          <w:tcPr>
            <w:shd w:val="clear" w:color="auto" w:fill="00B050" w:themeFill="accent1"/>
            <w:tcW w:w="522" w:type="dxa"/>
            <w:vAlign w:val="center"/>
            <w:textDirection w:val="lrTb"/>
            <w:noWrap w:val="false"/>
          </w:tcPr>
          <w:p>
            <w:pPr>
              <w:jc w:val="center"/>
              <w:rPr>
                <w:rFonts w:ascii="Arial" w:hAnsi="Arial" w:cs="Arial"/>
                <w:b/>
                <w:lang w:val="uk-UA"/>
              </w:rPr>
            </w:pPr>
            <w:r>
              <w:rPr>
                <w:rFonts w:ascii="Arial" w:hAnsi="Arial" w:cs="Arial"/>
                <w:b/>
                <w:lang w:val="uk-UA"/>
              </w:rPr>
              <w:t xml:space="preserve">№</w:t>
            </w:r>
            <w:r/>
          </w:p>
        </w:tc>
        <w:tc>
          <w:tcPr>
            <w:shd w:val="clear" w:color="auto" w:fill="00B050" w:themeFill="accent1"/>
            <w:tcW w:w="5569" w:type="dxa"/>
            <w:vAlign w:val="center"/>
            <w:textDirection w:val="lrTb"/>
            <w:noWrap w:val="false"/>
          </w:tcPr>
          <w:p>
            <w:pPr>
              <w:jc w:val="center"/>
              <w:rPr>
                <w:rFonts w:ascii="Arial" w:hAnsi="Arial" w:cs="Arial"/>
                <w:b/>
                <w:lang w:val="uk-UA"/>
              </w:rPr>
            </w:pPr>
            <w:r>
              <w:rPr>
                <w:rFonts w:ascii="Arial" w:hAnsi="Arial" w:cs="Arial"/>
                <w:b/>
                <w:lang w:val="uk-UA"/>
              </w:rPr>
              <w:t xml:space="preserve">Параметр</w:t>
            </w:r>
            <w:r/>
          </w:p>
        </w:tc>
        <w:tc>
          <w:tcPr>
            <w:shd w:val="clear" w:color="auto" w:fill="00B050" w:themeFill="accent1"/>
            <w:tcW w:w="1275" w:type="dxa"/>
            <w:vAlign w:val="center"/>
            <w:textDirection w:val="lrTb"/>
            <w:noWrap w:val="false"/>
          </w:tcPr>
          <w:p>
            <w:pPr>
              <w:jc w:val="center"/>
              <w:rPr>
                <w:rFonts w:ascii="Arial" w:hAnsi="Arial" w:cs="Arial"/>
                <w:b/>
                <w:lang w:val="uk-UA"/>
              </w:rPr>
            </w:pPr>
            <w:r>
              <w:rPr>
                <w:rFonts w:ascii="Arial" w:hAnsi="Arial" w:cs="Arial"/>
                <w:b/>
                <w:lang w:val="uk-UA"/>
              </w:rPr>
              <w:t xml:space="preserve">Значення</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1</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Загальна кількість існуючих ліхтарів вуличного освітлення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2547</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2.1</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Тип існуючих ліхтарів вуличного освітлення тип</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ЛСП</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2.2</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Тип існуючих ліхтарів вуличного освітлення тип</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«Атілос»</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2.n</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Тип існуючих ліхтарів вуличного освітлення тип</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«Інші»</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3.1</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Кількість існуючих ліхтарів типу 2.1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970</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3.2</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Кількість існуючих ліхтарів типу 2.2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1422</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3.n</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Кількість існуючих ліхтарів типу 2.n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155</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4</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Кількість існуючих розподільчих шаф вуличного освітлення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44</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5</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Кількість власних (муніципальних) опор вуличного освітлення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50</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6</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Кількість ліхтарів спільної підвіски на опорах обленерго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2497</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7</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Загальна протяжність ліній вуличного освітлення км</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171,02</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7.1</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Протяжність власних (муніципальних) ліній вуличного освітлення км</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5</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7.2</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Протяжність ліній вуличного освітлення спільної підвіски по опорах обленерго км</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166,02</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8</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Бракуюча</w:t>
            </w:r>
            <w:r>
              <w:rPr>
                <w:rFonts w:ascii="Arial" w:hAnsi="Arial" w:cs="Arial"/>
                <w:lang w:val="uk-UA"/>
              </w:rPr>
              <w:t xml:space="preserve"> кількість ліхтарів вуличного освітлення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300</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9</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Бракуюча</w:t>
            </w:r>
            <w:r>
              <w:rPr>
                <w:rFonts w:ascii="Arial" w:hAnsi="Arial" w:cs="Arial"/>
                <w:lang w:val="uk-UA"/>
              </w:rPr>
              <w:t xml:space="preserve"> кількість розподільчих шаф вуличного освітлення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10</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10</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Бракуюча</w:t>
            </w:r>
            <w:r>
              <w:rPr>
                <w:rFonts w:ascii="Arial" w:hAnsi="Arial" w:cs="Arial"/>
                <w:lang w:val="uk-UA"/>
              </w:rPr>
              <w:t xml:space="preserve"> кількість опор вуличного освітлення шт.</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50</w:t>
            </w:r>
            <w:r/>
          </w:p>
        </w:tc>
      </w:tr>
      <w:tr>
        <w:trPr>
          <w:jc w:val="center"/>
          <w:trHeight w:val="20"/>
        </w:trPr>
        <w:tc>
          <w:tcPr>
            <w:tcW w:w="522" w:type="dxa"/>
            <w:textDirection w:val="lrTb"/>
            <w:noWrap w:val="false"/>
          </w:tcPr>
          <w:p>
            <w:pPr>
              <w:jc w:val="right"/>
              <w:rPr>
                <w:rFonts w:ascii="Arial" w:hAnsi="Arial" w:cs="Arial"/>
                <w:lang w:val="uk-UA"/>
              </w:rPr>
            </w:pPr>
            <w:r>
              <w:rPr>
                <w:rFonts w:ascii="Arial" w:hAnsi="Arial" w:cs="Arial"/>
                <w:lang w:val="uk-UA"/>
              </w:rPr>
              <w:t xml:space="preserve">11</w:t>
            </w:r>
            <w:r/>
          </w:p>
        </w:tc>
        <w:tc>
          <w:tcPr>
            <w:tcW w:w="5569" w:type="dxa"/>
            <w:vAlign w:val="center"/>
            <w:textDirection w:val="lrTb"/>
            <w:noWrap w:val="false"/>
          </w:tcPr>
          <w:p>
            <w:pPr>
              <w:rPr>
                <w:rFonts w:ascii="Arial" w:hAnsi="Arial" w:cs="Arial"/>
                <w:lang w:val="uk-UA"/>
              </w:rPr>
            </w:pPr>
            <w:r>
              <w:rPr>
                <w:rFonts w:ascii="Arial" w:hAnsi="Arial" w:cs="Arial"/>
                <w:lang w:val="uk-UA"/>
              </w:rPr>
              <w:t xml:space="preserve">Бракуюча</w:t>
            </w:r>
            <w:r>
              <w:rPr>
                <w:rFonts w:ascii="Arial" w:hAnsi="Arial" w:cs="Arial"/>
                <w:lang w:val="uk-UA"/>
              </w:rPr>
              <w:t xml:space="preserve"> протяжність кабелю вуличного освітлення км</w:t>
            </w:r>
            <w:r/>
          </w:p>
        </w:tc>
        <w:tc>
          <w:tcPr>
            <w:tcW w:w="1275" w:type="dxa"/>
            <w:vAlign w:val="bottom"/>
            <w:textDirection w:val="lrTb"/>
            <w:noWrap w:val="false"/>
          </w:tcPr>
          <w:p>
            <w:pPr>
              <w:jc w:val="right"/>
              <w:rPr>
                <w:rFonts w:ascii="Arial" w:hAnsi="Arial" w:cs="Arial"/>
                <w:lang w:val="uk-UA"/>
              </w:rPr>
            </w:pPr>
            <w:r>
              <w:rPr>
                <w:rFonts w:ascii="Arial" w:hAnsi="Arial" w:cs="Arial"/>
                <w:lang w:val="uk-UA"/>
              </w:rPr>
              <w:t xml:space="preserve">15</w:t>
            </w:r>
            <w:r/>
          </w:p>
        </w:tc>
      </w:tr>
    </w:tbl>
    <w:p>
      <w:pPr>
        <w:ind w:right="-1"/>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t xml:space="preserve">Загальне використання електроенергії на муніципальне освіт</w:t>
      </w:r>
      <w:r>
        <w:rPr>
          <w:rFonts w:ascii="Arial" w:hAnsi="Arial" w:cs="Arial"/>
          <w:b/>
          <w:sz w:val="24"/>
          <w:szCs w:val="24"/>
          <w:lang w:val="uk-UA"/>
        </w:rPr>
        <w:t xml:space="preserve">лення з 2018 по 2019</w:t>
      </w:r>
      <w:r>
        <w:rPr>
          <w:rFonts w:ascii="Arial" w:hAnsi="Arial" w:cs="Arial"/>
          <w:b/>
          <w:sz w:val="24"/>
          <w:szCs w:val="24"/>
          <w:lang w:val="uk-UA"/>
        </w:rPr>
        <w:t xml:space="preserve"> роки в МВ</w:t>
      </w:r>
      <w:r>
        <w:rPr>
          <w:rFonts w:ascii="Arial" w:hAnsi="Arial" w:cs="Arial"/>
          <w:b/>
          <w:sz w:val="24"/>
          <w:szCs w:val="24"/>
          <w:lang w:val="uk-UA"/>
        </w:rPr>
        <w:t xml:space="preserve">т*</w:t>
      </w:r>
      <w:r>
        <w:rPr>
          <w:rFonts w:ascii="Arial" w:hAnsi="Arial" w:cs="Arial"/>
          <w:b/>
          <w:sz w:val="24"/>
          <w:szCs w:val="24"/>
          <w:lang w:val="uk-UA"/>
        </w:rPr>
        <w:t xml:space="preserve">год</w:t>
      </w:r>
      <w:r/>
    </w:p>
    <w:p>
      <w:pPr>
        <w:ind w:right="-1"/>
        <w:jc w:val="right"/>
        <w:spacing w:lineRule="auto" w:line="240" w:after="0"/>
        <w:rPr>
          <w:rFonts w:ascii="Arial" w:hAnsi="Arial" w:cs="Arial"/>
          <w:b/>
          <w:color w:val="7030A0"/>
          <w:sz w:val="24"/>
          <w:szCs w:val="24"/>
          <w:lang w:val="uk-UA"/>
        </w:rPr>
      </w:pPr>
      <w:r>
        <w:rPr>
          <w:rFonts w:ascii="Arial" w:hAnsi="Arial" w:cs="Arial"/>
          <w:b/>
          <w:color w:val="7030A0"/>
          <w:sz w:val="24"/>
          <w:szCs w:val="24"/>
          <w:lang w:val="uk-UA"/>
        </w:rPr>
      </w:r>
      <w:r/>
    </w:p>
    <w:tbl>
      <w:tblPr>
        <w:tblStyle w:val="521"/>
        <w:tblW w:w="6884" w:type="dxa"/>
        <w:tblLook w:val="04A0" w:firstRow="1" w:lastRow="0" w:firstColumn="1" w:lastColumn="0" w:noHBand="0" w:noVBand="1"/>
      </w:tblPr>
      <w:tblGrid>
        <w:gridCol w:w="3442"/>
        <w:gridCol w:w="3442"/>
      </w:tblGrid>
      <w:tr>
        <w:trPr>
          <w:trHeight w:val="572"/>
        </w:trPr>
        <w:tc>
          <w:tcPr>
            <w:shd w:val="clear" w:color="auto" w:fill="00B050" w:themeFill="accent1"/>
            <w:tcW w:w="3442"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2018</w:t>
            </w:r>
            <w:r/>
          </w:p>
        </w:tc>
        <w:tc>
          <w:tcPr>
            <w:shd w:val="clear" w:color="auto" w:fill="00B050" w:themeFill="accent1"/>
            <w:tcW w:w="3442"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2019</w:t>
            </w:r>
            <w:r/>
          </w:p>
        </w:tc>
      </w:tr>
      <w:tr>
        <w:trPr>
          <w:trHeight w:val="547"/>
        </w:trPr>
        <w:tc>
          <w:tcPr>
            <w:tcW w:w="3442"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282</w:t>
            </w:r>
            <w:r/>
          </w:p>
        </w:tc>
        <w:tc>
          <w:tcPr>
            <w:tcW w:w="3442"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278</w:t>
            </w:r>
            <w:r/>
          </w:p>
        </w:tc>
      </w:tr>
    </w:tbl>
    <w:p>
      <w:pPr>
        <w:ind w:right="-1"/>
        <w:jc w:val="both"/>
        <w:spacing w:lineRule="auto" w:line="240" w:after="0"/>
        <w:rPr>
          <w:rFonts w:ascii="Arial" w:hAnsi="Arial" w:cs="Arial"/>
          <w:b/>
          <w:color w:val="00B0F0"/>
          <w:sz w:val="24"/>
          <w:szCs w:val="24"/>
          <w:lang w:val="uk-UA"/>
        </w:rPr>
      </w:pPr>
      <w:r>
        <w:rPr>
          <w:rFonts w:ascii="Arial" w:hAnsi="Arial" w:cs="Arial"/>
          <w:b/>
          <w:color w:val="00B0F0"/>
          <w:sz w:val="24"/>
          <w:szCs w:val="24"/>
          <w:lang w:val="uk-UA"/>
        </w:rPr>
      </w:r>
      <w:r/>
    </w:p>
    <w:p>
      <w:pPr>
        <w:ind w:right="-1"/>
        <w:jc w:val="both"/>
        <w:spacing w:lineRule="auto" w:line="240" w:after="0"/>
        <w:rPr>
          <w:rFonts w:ascii="Arial" w:hAnsi="Arial" w:cs="Arial"/>
          <w:b/>
          <w:color w:val="00B0F0"/>
          <w:sz w:val="24"/>
          <w:szCs w:val="24"/>
          <w:lang w:val="uk-UA"/>
        </w:rPr>
      </w:pPr>
      <w:r>
        <w:rPr>
          <w:rFonts w:ascii="Arial" w:hAnsi="Arial" w:cs="Arial"/>
          <w:b/>
          <w:color w:val="00B050"/>
          <w:sz w:val="24"/>
          <w:szCs w:val="24"/>
          <w:lang w:val="uk-UA" w:eastAsia="uk-UA"/>
        </w:rPr>
        <w:drawing>
          <wp:anchor xmlns:wp="http://schemas.openxmlformats.org/drawingml/2006/wordprocessingDrawing" distT="0" distB="0" distL="114300" distR="114300" simplePos="0" relativeHeight="251681792" behindDoc="1" locked="0" layoutInCell="1" allowOverlap="1">
            <wp:simplePos x="0" y="0"/>
            <wp:positionH relativeFrom="column">
              <wp:posOffset>23495</wp:posOffset>
            </wp:positionH>
            <wp:positionV relativeFrom="paragraph">
              <wp:posOffset>182880</wp:posOffset>
            </wp:positionV>
            <wp:extent cx="4301490" cy="1638300"/>
            <wp:effectExtent l="0" t="0" r="3810" b="0"/>
            <wp:wrapTight wrapText="bothSides">
              <wp:wrapPolygon edited="1">
                <wp:start x="0" y="0"/>
                <wp:lineTo x="0" y="21349"/>
                <wp:lineTo x="21523" y="21349"/>
                <wp:lineTo x="21523" y="0"/>
                <wp:lineTo x="0" y="0"/>
              </wp:wrapPolygon>
            </wp:wrapTight>
            <wp:docPr id="26" name="Диаграмма 15"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t xml:space="preserve">2.2.6.</w:t>
      </w:r>
      <w:r>
        <w:rPr>
          <w:b/>
        </w:rPr>
        <w:t xml:space="preserve"> </w:t>
      </w:r>
      <w:r>
        <w:rPr>
          <w:rFonts w:ascii="Arial" w:hAnsi="Arial" w:cs="Arial"/>
          <w:b/>
          <w:sz w:val="24"/>
          <w:szCs w:val="24"/>
          <w:lang w:val="uk-UA"/>
        </w:rPr>
        <w:t xml:space="preserve">Біопаливо та вугілля</w:t>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t xml:space="preserve">В частині муніципальних будівель встановлені котли для спалення вугілля та деревини</w:t>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9"/>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9"/>
        <w:jc w:val="center"/>
        <w:spacing w:lineRule="auto" w:line="240" w:after="0"/>
        <w:rPr>
          <w:rFonts w:ascii="Arial" w:hAnsi="Arial" w:cs="Arial"/>
          <w:b/>
          <w:sz w:val="24"/>
          <w:szCs w:val="24"/>
          <w:lang w:val="uk-UA"/>
        </w:rPr>
      </w:pPr>
      <w:r>
        <w:rPr>
          <w:rFonts w:ascii="Arial" w:hAnsi="Arial" w:cs="Arial"/>
          <w:b/>
          <w:sz w:val="24"/>
          <w:szCs w:val="24"/>
          <w:lang w:val="uk-UA"/>
        </w:rPr>
        <w:t xml:space="preserve">Споживання вугілля та деревини муніципальними об’єктами громади  за 2018 – 2019 роки</w:t>
      </w:r>
      <w:r/>
    </w:p>
    <w:p>
      <w:pPr>
        <w:ind w:right="-1" w:firstLine="709"/>
        <w:jc w:val="center"/>
        <w:spacing w:lineRule="auto" w:line="240" w:after="0"/>
        <w:rPr>
          <w:rFonts w:ascii="Arial" w:hAnsi="Arial" w:cs="Arial"/>
          <w:b/>
          <w:sz w:val="24"/>
          <w:szCs w:val="24"/>
          <w:lang w:val="uk-UA"/>
        </w:rPr>
      </w:pPr>
      <w:r>
        <w:rPr>
          <w:rFonts w:ascii="Arial" w:hAnsi="Arial" w:cs="Arial"/>
          <w:b/>
          <w:sz w:val="24"/>
          <w:szCs w:val="24"/>
          <w:lang w:val="uk-UA"/>
        </w:rPr>
      </w:r>
      <w:r/>
    </w:p>
    <w:tbl>
      <w:tblPr>
        <w:tblStyle w:val="521"/>
        <w:tblW w:w="6848" w:type="dxa"/>
        <w:tblLook w:val="04A0" w:firstRow="1" w:lastRow="0" w:firstColumn="1" w:lastColumn="0" w:noHBand="0" w:noVBand="1"/>
      </w:tblPr>
      <w:tblGrid>
        <w:gridCol w:w="2282"/>
        <w:gridCol w:w="2283"/>
        <w:gridCol w:w="2283"/>
      </w:tblGrid>
      <w:tr>
        <w:trPr>
          <w:trHeight w:val="604"/>
        </w:trPr>
        <w:tc>
          <w:tcPr>
            <w:shd w:val="clear" w:color="auto" w:fill="00B050" w:themeFill="accent1"/>
            <w:tcW w:w="2282"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r>
            <w:r/>
          </w:p>
        </w:tc>
        <w:tc>
          <w:tcPr>
            <w:shd w:val="clear" w:color="auto" w:fill="00B050" w:themeFill="accent1"/>
            <w:tcW w:w="2283"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2018</w:t>
            </w:r>
            <w:r/>
          </w:p>
        </w:tc>
        <w:tc>
          <w:tcPr>
            <w:shd w:val="clear" w:color="auto" w:fill="00B050" w:themeFill="accent1"/>
            <w:tcW w:w="2283"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2019</w:t>
            </w:r>
            <w:r/>
          </w:p>
        </w:tc>
      </w:tr>
      <w:tr>
        <w:trPr>
          <w:trHeight w:val="577"/>
        </w:trPr>
        <w:tc>
          <w:tcPr>
            <w:tcW w:w="2282" w:type="dxa"/>
            <w:vAlign w:val="center"/>
            <w:textDirection w:val="lrTb"/>
            <w:noWrap w:val="false"/>
          </w:tcPr>
          <w:p>
            <w:pPr>
              <w:ind w:right="-1"/>
              <w:spacing w:lineRule="auto" w:line="240" w:after="0"/>
              <w:rPr>
                <w:rFonts w:ascii="Arial" w:hAnsi="Arial" w:cs="Arial"/>
                <w:b/>
                <w:sz w:val="24"/>
                <w:szCs w:val="24"/>
                <w:vertAlign w:val="superscript"/>
                <w:lang w:val="uk-UA"/>
              </w:rPr>
            </w:pPr>
            <w:r>
              <w:rPr>
                <w:rFonts w:ascii="Arial" w:hAnsi="Arial" w:cs="Arial"/>
                <w:b/>
                <w:sz w:val="24"/>
                <w:szCs w:val="24"/>
                <w:lang w:val="uk-UA"/>
              </w:rPr>
              <w:t xml:space="preserve">Дрова, м</w:t>
            </w:r>
            <w:r>
              <w:rPr>
                <w:rFonts w:ascii="Arial" w:hAnsi="Arial" w:cs="Arial"/>
                <w:b/>
                <w:sz w:val="24"/>
                <w:szCs w:val="24"/>
                <w:vertAlign w:val="superscript"/>
                <w:lang w:val="uk-UA"/>
              </w:rPr>
              <w:t xml:space="preserve">3</w:t>
            </w:r>
            <w:r/>
          </w:p>
        </w:tc>
        <w:tc>
          <w:tcPr>
            <w:tcW w:w="2283"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935,4</w:t>
            </w:r>
            <w:r/>
          </w:p>
        </w:tc>
        <w:tc>
          <w:tcPr>
            <w:tcW w:w="2283"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1361,68</w:t>
            </w:r>
            <w:r/>
          </w:p>
        </w:tc>
      </w:tr>
      <w:tr>
        <w:trPr>
          <w:trHeight w:val="577"/>
        </w:trPr>
        <w:tc>
          <w:tcPr>
            <w:tcW w:w="2282" w:type="dxa"/>
            <w:vAlign w:val="center"/>
            <w:textDirection w:val="lrTb"/>
            <w:noWrap w:val="false"/>
          </w:tcPr>
          <w:p>
            <w:pPr>
              <w:ind w:right="-1"/>
              <w:spacing w:lineRule="auto" w:line="240" w:after="0"/>
              <w:rPr>
                <w:rFonts w:ascii="Arial" w:hAnsi="Arial" w:cs="Arial"/>
                <w:b/>
                <w:sz w:val="24"/>
                <w:szCs w:val="24"/>
                <w:lang w:val="uk-UA"/>
              </w:rPr>
            </w:pPr>
            <w:r>
              <w:rPr>
                <w:rFonts w:ascii="Arial" w:hAnsi="Arial" w:cs="Arial"/>
                <w:b/>
                <w:sz w:val="24"/>
                <w:szCs w:val="24"/>
                <w:lang w:val="uk-UA"/>
              </w:rPr>
              <w:t xml:space="preserve">Вугілля, т</w:t>
            </w:r>
            <w:r/>
          </w:p>
        </w:tc>
        <w:tc>
          <w:tcPr>
            <w:tcW w:w="2283"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243,73</w:t>
            </w:r>
            <w:r/>
          </w:p>
        </w:tc>
        <w:tc>
          <w:tcPr>
            <w:tcW w:w="2283"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310,34</w:t>
            </w:r>
            <w:r/>
          </w:p>
        </w:tc>
      </w:tr>
    </w:tbl>
    <w:p>
      <w:pPr>
        <w:ind w:right="-1" w:firstLine="709"/>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9"/>
        <w:jc w:val="both"/>
        <w:spacing w:lineRule="auto" w:line="240" w:after="0"/>
        <w:rPr>
          <w:rFonts w:ascii="Arial" w:hAnsi="Arial" w:cs="Arial"/>
          <w:b/>
          <w:sz w:val="24"/>
          <w:szCs w:val="24"/>
          <w:lang w:val="uk-UA"/>
        </w:rPr>
      </w:pPr>
      <w:r>
        <w:rPr>
          <w:rFonts w:ascii="Arial" w:hAnsi="Arial" w:cs="Arial"/>
          <w:b/>
          <w:sz w:val="24"/>
          <w:szCs w:val="24"/>
          <w:lang w:val="uk-UA"/>
        </w:rPr>
        <w:t xml:space="preserve">2.2.7</w:t>
      </w:r>
      <w:r>
        <w:rPr>
          <w:rFonts w:ascii="Arial" w:hAnsi="Arial" w:cs="Arial"/>
          <w:b/>
          <w:sz w:val="24"/>
          <w:szCs w:val="24"/>
          <w:lang w:val="uk-UA"/>
        </w:rPr>
        <w:t xml:space="preserve">.</w:t>
      </w:r>
      <w:r>
        <w:rPr>
          <w:b/>
        </w:rPr>
        <w:t xml:space="preserve"> </w:t>
      </w:r>
      <w:r>
        <w:rPr>
          <w:rFonts w:ascii="Arial" w:hAnsi="Arial" w:cs="Arial"/>
          <w:b/>
          <w:sz w:val="24"/>
          <w:szCs w:val="24"/>
          <w:lang w:val="uk-UA"/>
        </w:rPr>
        <w:t xml:space="preserve">Полігон твердих побутових відходів</w:t>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9"/>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2" w:sep="0" w:space="708" w:equalWidth="1"/>
          <w:docGrid w:linePitch="360"/>
          <w:titlePg/>
        </w:sectPr>
      </w:pPr>
      <w:r>
        <w:rPr>
          <w:rFonts w:ascii="Arial" w:hAnsi="Arial" w:cs="Arial"/>
          <w:sz w:val="24"/>
          <w:szCs w:val="24"/>
          <w:lang w:val="uk-UA"/>
        </w:rPr>
        <w:t xml:space="preserve">На території міста в наявності полігон твердих побутових відходів</w:t>
      </w:r>
      <w:r>
        <w:rPr>
          <w:rFonts w:ascii="Arial" w:hAnsi="Arial" w:cs="Arial"/>
          <w:sz w:val="24"/>
          <w:szCs w:val="24"/>
          <w:lang w:val="uk-UA"/>
        </w:rPr>
        <w:t xml:space="preserve"> </w:t>
      </w:r>
      <w:r>
        <w:rPr>
          <w:rFonts w:ascii="Arial" w:hAnsi="Arial" w:cs="Arial"/>
          <w:sz w:val="24"/>
          <w:szCs w:val="24"/>
          <w:lang w:val="uk-UA"/>
        </w:rPr>
        <w:t xml:space="preserve">площею 6 га. Послуги по утриманню </w:t>
      </w:r>
      <w:r>
        <w:rPr>
          <w:rFonts w:ascii="Arial" w:hAnsi="Arial" w:cs="Arial"/>
          <w:sz w:val="24"/>
          <w:szCs w:val="24"/>
          <w:lang w:val="uk-UA"/>
        </w:rPr>
        <w:t xml:space="preserve">полігону та з вивезенню твердих </w:t>
      </w:r>
      <w:r>
        <w:rPr>
          <w:rFonts w:ascii="Arial" w:hAnsi="Arial" w:cs="Arial"/>
          <w:sz w:val="24"/>
          <w:szCs w:val="24"/>
          <w:lang w:val="uk-UA"/>
        </w:rPr>
        <w:t xml:space="preserve">побутових відходів надає КП «Менакомун</w:t>
      </w:r>
      <w:r>
        <w:rPr>
          <w:rFonts w:ascii="Arial" w:hAnsi="Arial" w:cs="Arial"/>
          <w:sz w:val="24"/>
          <w:szCs w:val="24"/>
          <w:lang w:val="uk-UA"/>
        </w:rPr>
        <w:t xml:space="preserve">послуга» Менської міської ради. </w:t>
      </w:r>
      <w:r>
        <w:rPr>
          <w:rFonts w:ascii="Arial" w:hAnsi="Arial" w:cs="Arial"/>
          <w:sz w:val="24"/>
          <w:szCs w:val="24"/>
          <w:lang w:val="uk-UA"/>
        </w:rPr>
        <w:t xml:space="preserve">Триває розробка паспорта на полігон твердих побутових відходів в м. Мена.</w:t>
      </w:r>
      <w:r/>
    </w:p>
    <w:p>
      <w:pPr>
        <w:ind w:right="-1"/>
        <w:spacing w:lineRule="auto" w:line="240" w:after="0"/>
        <w:rPr>
          <w:rFonts w:ascii="Arial" w:hAnsi="Arial" w:cs="Arial"/>
          <w:b/>
          <w:sz w:val="40"/>
          <w:szCs w:val="40"/>
          <w:lang w:val="uk-UA"/>
        </w:rPr>
      </w:pPr>
      <w:r>
        <w:rPr>
          <w:rFonts w:ascii="Arial" w:hAnsi="Arial" w:cs="Arial"/>
          <w:b/>
          <w:sz w:val="40"/>
          <w:szCs w:val="40"/>
          <w:lang w:val="uk-UA"/>
        </w:rPr>
      </w:r>
      <w:r/>
    </w:p>
    <w:p>
      <w:pPr>
        <w:ind w:right="-1"/>
        <w:spacing w:lineRule="auto" w:line="240" w:after="0"/>
        <w:rPr>
          <w:rFonts w:ascii="Arial" w:hAnsi="Arial" w:cs="Arial"/>
          <w:b/>
          <w:sz w:val="40"/>
          <w:szCs w:val="40"/>
          <w:lang w:val="uk-UA"/>
        </w:rPr>
      </w:pPr>
      <w:r>
        <w:rPr>
          <w:rFonts w:ascii="Arial" w:hAnsi="Arial" w:cs="Arial"/>
          <w:b/>
          <w:sz w:val="40"/>
          <w:szCs w:val="40"/>
          <w:lang w:val="uk-UA"/>
        </w:rPr>
      </w:r>
      <w:r/>
    </w:p>
    <w:p>
      <w:pPr>
        <w:ind w:right="-1"/>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t xml:space="preserve">РОЗДІЛ 3. БАЗОВИЙ КАДАСТР ВИКИДІВ</w:t>
      </w:r>
      <w:r/>
    </w:p>
    <w:p>
      <w:pPr>
        <w:ind w:right="-1" w:firstLine="720"/>
        <w:spacing w:lineRule="auto" w:line="240" w:after="0"/>
        <w:rPr>
          <w:rFonts w:ascii="Arial" w:hAnsi="Arial" w:cs="Arial"/>
          <w:b/>
          <w:sz w:val="24"/>
          <w:szCs w:val="24"/>
          <w:lang w:val="uk-UA" w:eastAsia="ru-RU"/>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sz w:val="24"/>
          <w:szCs w:val="24"/>
          <w:lang w:val="uk-UA" w:eastAsia="ru-RU"/>
        </w:rPr>
      </w:r>
      <w:r/>
    </w:p>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r>
      <w:r/>
    </w:p>
    <w:p>
      <w:pPr>
        <w:ind w:right="-1" w:firstLine="720"/>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3.1 В</w:t>
      </w:r>
      <w:r>
        <w:rPr>
          <w:rFonts w:ascii="Arial" w:hAnsi="Arial" w:cs="Arial"/>
          <w:b/>
          <w:sz w:val="24"/>
          <w:szCs w:val="24"/>
          <w:lang w:val="uk-UA" w:eastAsia="ru-RU"/>
        </w:rPr>
        <w:t xml:space="preserve">ступ</w:t>
      </w:r>
      <w:r/>
    </w:p>
    <w:p>
      <w:pPr>
        <w:ind w:right="-1" w:firstLine="720"/>
        <w:jc w:val="both"/>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С</w:t>
      </w:r>
      <w:r>
        <w:rPr>
          <w:rFonts w:ascii="Arial" w:hAnsi="Arial" w:cs="Arial"/>
          <w:color w:val="000000"/>
          <w:sz w:val="24"/>
          <w:szCs w:val="24"/>
          <w:lang w:val="uk-UA" w:eastAsia="ru-RU"/>
        </w:rPr>
        <w:t xml:space="preserve">поживання енергії й викиди CO</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н</w:t>
      </w:r>
      <w:r>
        <w:rPr>
          <w:rFonts w:ascii="Arial" w:hAnsi="Arial" w:cs="Arial"/>
          <w:color w:val="000000"/>
          <w:sz w:val="24"/>
          <w:szCs w:val="24"/>
          <w:lang w:val="uk-UA" w:eastAsia="ru-RU"/>
        </w:rPr>
        <w:t xml:space="preserve">а місцевому рівні залежать від багатьох факторів: економічної структури, рівня економічної активності, чисельності й щільності населення, характеристик фонду будівель, використання та рівня розвитку різних видів транспорту, позиції громадян, клімату, тощо.</w:t>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На деякі фактори можна вплинути за короткий проміжок часу (наприклад, на позицію громадян), у той час як інші піддаються впливу лише у середньостроковій а</w:t>
      </w:r>
      <w:r>
        <w:rPr>
          <w:rFonts w:ascii="Arial" w:hAnsi="Arial" w:cs="Arial"/>
          <w:color w:val="000000"/>
          <w:sz w:val="24"/>
          <w:szCs w:val="24"/>
          <w:lang w:val="uk-UA" w:eastAsia="ru-RU"/>
        </w:rPr>
        <w:t xml:space="preserve">бо довгостроковій перспективі (</w:t>
      </w:r>
      <w:r>
        <w:rPr>
          <w:rFonts w:ascii="Arial" w:hAnsi="Arial" w:cs="Arial"/>
          <w:color w:val="000000"/>
          <w:sz w:val="24"/>
          <w:szCs w:val="24"/>
          <w:lang w:val="uk-UA" w:eastAsia="ru-RU"/>
        </w:rPr>
        <w:t xml:space="preserve">енергетичне функціонування фонду будів</w:t>
      </w:r>
      <w:r>
        <w:rPr>
          <w:rFonts w:ascii="Arial" w:hAnsi="Arial" w:cs="Arial"/>
          <w:color w:val="000000"/>
          <w:sz w:val="24"/>
          <w:szCs w:val="24"/>
          <w:lang w:val="uk-UA" w:eastAsia="ru-RU"/>
        </w:rPr>
        <w:t xml:space="preserve">ель ). Корисно зрозуміти вплив цих параметрів, те, як вони змінюються у часі, й визначити, на які з них можуть впливати місцеві органи влади (в короткостроковій, середньостроковій та довгостроковій перспективі). Базовий кадастр викидів (БКВ) визначає кільк</w:t>
      </w:r>
      <w:r>
        <w:rPr>
          <w:rFonts w:ascii="Arial" w:hAnsi="Arial" w:cs="Arial"/>
          <w:color w:val="000000"/>
          <w:sz w:val="24"/>
          <w:szCs w:val="24"/>
          <w:lang w:val="uk-UA" w:eastAsia="ru-RU"/>
        </w:rPr>
        <w:t xml:space="preserve">ість викидів СО</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(або в СО</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еквіваленті), пов’язаних із споживанням енергії на території підписанта Угоди. Він вия</w:t>
      </w:r>
      <w:r>
        <w:rPr>
          <w:rFonts w:ascii="Arial" w:hAnsi="Arial" w:cs="Arial"/>
          <w:color w:val="000000"/>
          <w:sz w:val="24"/>
          <w:szCs w:val="24"/>
          <w:lang w:val="uk-UA" w:eastAsia="ru-RU"/>
        </w:rPr>
        <w:t xml:space="preserve">вляє основні джерела викидів CO</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та відповідні потенціали їх скорочення.</w:t>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БКВ є відправною точкою для розробки ПДСЕРК, так як він забезпечує розуміння природи сект</w:t>
      </w:r>
      <w:r>
        <w:rPr>
          <w:rFonts w:ascii="Arial" w:hAnsi="Arial" w:cs="Arial"/>
          <w:color w:val="000000"/>
          <w:sz w:val="24"/>
          <w:szCs w:val="24"/>
          <w:lang w:val="uk-UA" w:eastAsia="ru-RU"/>
        </w:rPr>
        <w:t xml:space="preserve">орів, що є джерелами викидів CO</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і, таким чином, допомагає обрати відповідні дії.</w:t>
      </w:r>
      <w:r/>
    </w:p>
    <w:p>
      <w:pPr>
        <w:ind w:right="-1" w:firstLine="720"/>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r>
      <w:r/>
    </w:p>
    <w:p>
      <w:pPr>
        <w:ind w:right="-1" w:firstLine="720"/>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3.2. </w:t>
      </w:r>
      <w:r>
        <w:rPr>
          <w:rFonts w:ascii="Arial" w:hAnsi="Arial" w:cs="Arial"/>
          <w:b/>
          <w:sz w:val="24"/>
          <w:szCs w:val="24"/>
          <w:lang w:val="uk-UA" w:eastAsia="ru-RU"/>
        </w:rPr>
        <w:t xml:space="preserve">Інвентаризація та </w:t>
      </w:r>
      <w:r>
        <w:rPr>
          <w:rFonts w:ascii="Arial" w:hAnsi="Arial" w:cs="Arial"/>
          <w:b/>
          <w:sz w:val="24"/>
          <w:szCs w:val="24"/>
          <w:lang w:val="uk-UA" w:eastAsia="ru-RU"/>
        </w:rPr>
        <w:t xml:space="preserve"> коефіцієнти</w:t>
      </w:r>
      <w:r>
        <w:rPr>
          <w:rFonts w:ascii="Arial" w:hAnsi="Arial" w:cs="Arial"/>
          <w:b/>
          <w:sz w:val="24"/>
          <w:szCs w:val="24"/>
          <w:lang w:val="uk-UA" w:eastAsia="ru-RU"/>
        </w:rPr>
        <w:t xml:space="preserve"> викидів</w:t>
      </w:r>
      <w:r/>
    </w:p>
    <w:p>
      <w:pPr>
        <w:ind w:right="-1" w:firstLine="720"/>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У відповідності з методологією Угоди мерів БКВ визначає наступні типи викидів, котрі пов`язані з енергоспоживанням на території місцевих органів влади: </w:t>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r>
      <w:r/>
    </w:p>
    <w:p>
      <w:pPr>
        <w:pStyle w:val="557"/>
        <w:numPr>
          <w:ilvl w:val="0"/>
          <w:numId w:val="15"/>
        </w:numPr>
        <w:ind w:left="709" w:right="-1"/>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прямі викиди через спалювання палива; </w:t>
      </w:r>
      <w:r/>
    </w:p>
    <w:p>
      <w:pPr>
        <w:pStyle w:val="557"/>
        <w:numPr>
          <w:ilvl w:val="0"/>
          <w:numId w:val="15"/>
        </w:numPr>
        <w:ind w:left="709" w:right="-1"/>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непрямі викиди, пов’язані з виробництвом електроенергії, теплової енергії, але котрі споживаються на території громади. </w:t>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Непрямі або прямі викиди парникових газів підраховуються для кожного енергоносія шляхом множення кінцевого енергоспоживання на відповідний коефіцієнт викидів. Два підходу можна застосовув</w:t>
      </w:r>
      <w:r>
        <w:rPr>
          <w:rFonts w:ascii="Arial" w:hAnsi="Arial" w:cs="Arial"/>
          <w:color w:val="000000"/>
          <w:sz w:val="24"/>
          <w:szCs w:val="24"/>
          <w:lang w:val="uk-UA" w:eastAsia="ru-RU"/>
        </w:rPr>
        <w:t xml:space="preserve">ати в рамках Угоди мерів для підрахунку цих викидів: підхід, що базується на діяльності, і ОЖЦ (Оцінка життєвого циклу). За рішенням органу місцевої влади про застосування або підходу, що базується на діяльності, або підходу ОЖЦ, може стояти кілька причин.</w:t>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Підхід, що базується на діяльності, який, як правило, використовується в рамках Угоди. В рамках такого пі</w:t>
      </w:r>
      <w:r>
        <w:rPr>
          <w:rFonts w:ascii="Arial" w:hAnsi="Arial" w:cs="Arial"/>
          <w:color w:val="000000"/>
          <w:sz w:val="24"/>
          <w:szCs w:val="24"/>
          <w:lang w:val="uk-UA" w:eastAsia="ru-RU"/>
        </w:rPr>
        <w:t xml:space="preserve">дходу включаються всі викиди CO</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(або парникових газів (ПГ) що з'являються внаслідок енергоспоживання на території, або безпосередньо (спалювання палива), або побічно (</w:t>
      </w:r>
      <w:r>
        <w:rPr>
          <w:rFonts w:ascii="Arial" w:hAnsi="Arial" w:cs="Arial"/>
          <w:color w:val="000000"/>
          <w:sz w:val="24"/>
          <w:szCs w:val="24"/>
          <w:lang w:val="uk-UA" w:eastAsia="ru-RU"/>
        </w:rPr>
        <w:t xml:space="preserve">споживання електроенергії і тепла / холоду). викиди ПГ підраховуються безпосередньо на підставі вмісту вуглецю в паливі, хоча невелика кількість вуглецю є неокислену (менше 1%). Цей підхід використовується для національної звітності в рамках РКЗК ООН. Біль</w:t>
      </w:r>
      <w:r>
        <w:rPr>
          <w:rFonts w:ascii="Arial" w:hAnsi="Arial" w:cs="Arial"/>
          <w:color w:val="000000"/>
          <w:sz w:val="24"/>
          <w:szCs w:val="24"/>
          <w:lang w:val="uk-UA" w:eastAsia="ru-RU"/>
        </w:rPr>
        <w:t xml:space="preserve">шість викидів ПГ - це викиди CO</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в той час як викиди CH</w:t>
      </w:r>
      <w:r>
        <w:rPr>
          <w:rFonts w:ascii="Arial" w:hAnsi="Arial" w:cs="Arial"/>
          <w:color w:val="000000"/>
          <w:sz w:val="24"/>
          <w:szCs w:val="24"/>
          <w:vertAlign w:val="subscript"/>
          <w:lang w:val="uk-UA" w:eastAsia="ru-RU"/>
        </w:rPr>
        <w:t xml:space="preserve">4</w:t>
      </w:r>
      <w:r>
        <w:rPr>
          <w:rFonts w:ascii="Arial" w:hAnsi="Arial" w:cs="Arial"/>
          <w:color w:val="000000"/>
          <w:sz w:val="24"/>
          <w:szCs w:val="24"/>
          <w:lang w:val="uk-UA" w:eastAsia="ru-RU"/>
        </w:rPr>
        <w:t xml:space="preserve"> і N2O -не так важливі для процесів згоряння в житловому секторі та транспортному секторі.</w:t>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У деяких країнах підписанти Угоди мерів застосують підхід ОЖЦ. Цей підхід також є міжнародним стандартом, початково розробленим щодо екологічного сліду продукції. Він, зокрема, підходить для оцінки потенційного </w:t>
      </w:r>
      <w:r>
        <w:rPr>
          <w:rFonts w:ascii="Arial" w:hAnsi="Arial" w:cs="Arial"/>
          <w:color w:val="000000"/>
          <w:sz w:val="24"/>
          <w:szCs w:val="24"/>
          <w:lang w:val="uk-UA" w:eastAsia="ru-RU"/>
        </w:rPr>
        <w:t xml:space="preserve">взаємовпливу між різними видами екологічного впливу, асоційованими з конкретними політичними та управлінськими рішеннями, оскільки він в</w:t>
      </w:r>
      <w:r>
        <w:rPr>
          <w:rFonts w:ascii="Arial" w:hAnsi="Arial" w:cs="Arial"/>
          <w:color w:val="000000"/>
          <w:sz w:val="24"/>
          <w:szCs w:val="24"/>
          <w:lang w:val="uk-UA" w:eastAsia="ru-RU"/>
        </w:rPr>
        <w:t xml:space="preserve">ключає викиди з цілого ланцюжка поставок, а не тільки кінцевого згоряння. Ще один важливий аспект, який необхідно врахувати при виборі підходу до інвентаризації, - це наявність даних для заповнення БКВ. Підхід, що базується на діяльності, включає викиди ві</w:t>
      </w:r>
      <w:r>
        <w:rPr>
          <w:rFonts w:ascii="Arial" w:hAnsi="Arial" w:cs="Arial"/>
          <w:color w:val="000000"/>
          <w:sz w:val="24"/>
          <w:szCs w:val="24"/>
          <w:lang w:val="uk-UA" w:eastAsia="ru-RU"/>
        </w:rPr>
        <w:t xml:space="preserve">д спалювання палива і базується на використанні коефіцієнтів викидів за МГЕЗК, які легко отримати. Підхід ОЖЦ включає і викиди від спалювання палива, і інші викиди, що з'являються внаслідок виробництва / від ланцюжка поставок, які дуже складно підтвердити.</w:t>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Відповідно до обраного підходу до інвентаризації викидів та ключових секторів діяльності, на які спрямована увага, місцевий орган влади далі </w:t>
      </w:r>
      <w:r>
        <w:rPr>
          <w:rFonts w:ascii="Arial" w:hAnsi="Arial" w:cs="Arial"/>
          <w:color w:val="000000"/>
          <w:sz w:val="24"/>
          <w:szCs w:val="24"/>
          <w:lang w:val="uk-UA" w:eastAsia="ru-RU"/>
        </w:rPr>
        <w:t xml:space="preserve">повинен визначити ПГ (тільки CO</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або також CH4 і N2O), що підлягають включенню до кадастру викидів, і коефіцієнти викидів, що підлягають застосуванню.</w:t>
      </w:r>
      <w:r/>
    </w:p>
    <w:p>
      <w:pPr>
        <w:ind w:right="-1" w:firstLine="720"/>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Якщо місцевий орган влади буде використовувати методику / інструмент, </w:t>
      </w:r>
      <w:r>
        <w:rPr>
          <w:rFonts w:ascii="Arial" w:hAnsi="Arial" w:cs="Arial"/>
          <w:color w:val="000000"/>
          <w:sz w:val="24"/>
          <w:szCs w:val="24"/>
          <w:lang w:val="uk-UA" w:eastAsia="ru-RU"/>
        </w:rPr>
        <w:t xml:space="preserve">що не включає інші ПГ, окрім СО</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то тоді кадастр</w:t>
      </w:r>
      <w:r>
        <w:rPr>
          <w:rFonts w:ascii="Arial" w:hAnsi="Arial" w:cs="Arial"/>
          <w:color w:val="000000"/>
          <w:sz w:val="24"/>
          <w:szCs w:val="24"/>
          <w:lang w:val="uk-UA" w:eastAsia="ru-RU"/>
        </w:rPr>
        <w:t xml:space="preserve"> буде базуватися виключно на СО</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 і необхідно вибрати одиницю зв</w:t>
      </w:r>
      <w:r>
        <w:rPr>
          <w:rFonts w:ascii="Arial" w:hAnsi="Arial" w:cs="Arial"/>
          <w:color w:val="000000"/>
          <w:sz w:val="24"/>
          <w:szCs w:val="24"/>
          <w:lang w:val="uk-UA" w:eastAsia="ru-RU"/>
        </w:rPr>
        <w:t xml:space="preserve">ітності за викидами - «</w:t>
      </w:r>
      <w:r>
        <w:rPr>
          <w:rFonts w:ascii="Arial" w:hAnsi="Arial" w:cs="Arial"/>
          <w:color w:val="000000"/>
          <w:sz w:val="24"/>
          <w:szCs w:val="24"/>
          <w:lang w:val="uk-UA" w:eastAsia="ru-RU"/>
        </w:rPr>
        <w:t xml:space="preserve">тонни</w:t>
      </w:r>
      <w:r>
        <w:rPr>
          <w:rFonts w:ascii="Arial" w:hAnsi="Arial" w:cs="Arial"/>
          <w:color w:val="000000"/>
          <w:sz w:val="24"/>
          <w:szCs w:val="24"/>
          <w:lang w:val="uk-UA" w:eastAsia="ru-RU"/>
        </w:rPr>
        <w:t xml:space="preserve"> СО</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Викиди</w:t>
      </w:r>
      <w:r>
        <w:rPr>
          <w:rFonts w:ascii="Arial" w:hAnsi="Arial" w:cs="Arial"/>
          <w:color w:val="000000"/>
          <w:sz w:val="24"/>
          <w:szCs w:val="24"/>
          <w:lang w:val="uk-UA" w:eastAsia="ru-RU"/>
        </w:rPr>
        <w:t xml:space="preserve"> інших парникових газів крім СО</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 конвертуються в СО</w:t>
      </w:r>
      <w:r>
        <w:rPr>
          <w:rFonts w:ascii="Arial" w:hAnsi="Arial" w:cs="Arial"/>
          <w:color w:val="000000"/>
          <w:sz w:val="24"/>
          <w:szCs w:val="24"/>
          <w:vertAlign w:val="subscript"/>
          <w:lang w:val="uk-UA" w:eastAsia="ru-RU"/>
        </w:rPr>
        <w:t xml:space="preserve">2</w:t>
      </w:r>
      <w:r>
        <w:rPr>
          <w:rFonts w:ascii="Arial" w:hAnsi="Arial" w:cs="Arial"/>
          <w:color w:val="000000"/>
          <w:sz w:val="24"/>
          <w:szCs w:val="24"/>
          <w:lang w:val="uk-UA" w:eastAsia="ru-RU"/>
        </w:rPr>
        <w:t xml:space="preserve">-еквіваленти шляхом використання значень потенціалу глобального потепління (ПГП), які необхідно утримувати на одному і тому ж рівні під час всього процесу реалізації ПДСЕРК.</w:t>
      </w:r>
      <w:r/>
    </w:p>
    <w:p>
      <w:pPr>
        <w:pStyle w:val="544"/>
        <w:jc w:val="both"/>
        <w:rPr>
          <w:rFonts w:ascii="Arial" w:hAnsi="Arial" w:cs="Arial"/>
          <w:lang w:val="uk-UA"/>
        </w:rPr>
      </w:pPr>
      <w:r>
        <w:rPr>
          <w:lang w:val="uk-UA"/>
        </w:rPr>
        <w:tab/>
      </w:r>
      <w:r>
        <w:rPr>
          <w:rFonts w:ascii="Arial" w:hAnsi="Arial" w:cs="Arial"/>
          <w:lang w:val="uk-UA"/>
        </w:rPr>
        <w:t xml:space="preserve">З метою визначення викидів СО</w:t>
      </w:r>
      <w:r>
        <w:rPr>
          <w:rFonts w:ascii="Arial" w:hAnsi="Arial" w:cs="Arial"/>
          <w:vertAlign w:val="subscript"/>
          <w:lang w:val="uk-UA"/>
        </w:rPr>
        <w:t xml:space="preserve">2</w:t>
      </w:r>
      <w:r>
        <w:rPr>
          <w:rFonts w:ascii="Arial" w:hAnsi="Arial" w:cs="Arial"/>
          <w:lang w:val="uk-UA"/>
        </w:rPr>
        <w:t xml:space="preserve"> для спожитих енергоресурсів, наведених у таблиці, зроблено перерахунок всіх енергоресурсів у натуральному</w:t>
      </w:r>
      <w:r>
        <w:rPr>
          <w:rFonts w:ascii="Arial" w:hAnsi="Arial" w:cs="Arial"/>
          <w:lang w:val="uk-UA"/>
        </w:rPr>
        <w:t xml:space="preserve"> виразі до однієї одиниці – МВт*</w:t>
      </w:r>
      <w:r>
        <w:rPr>
          <w:rFonts w:ascii="Arial" w:hAnsi="Arial" w:cs="Arial"/>
          <w:lang w:val="uk-UA"/>
        </w:rPr>
        <w:t xml:space="preserve">год.</w:t>
      </w:r>
      <w:r/>
    </w:p>
    <w:p>
      <w:pPr>
        <w:pStyle w:val="544"/>
        <w:ind w:firstLine="709"/>
        <w:jc w:val="both"/>
        <w:rPr>
          <w:rFonts w:ascii="Arial" w:hAnsi="Arial" w:cs="Arial"/>
          <w:lang w:val="uk-UA"/>
        </w:rPr>
      </w:pPr>
      <w:r>
        <w:rPr>
          <w:rFonts w:ascii="Arial" w:hAnsi="Arial" w:cs="Arial"/>
          <w:lang w:val="uk-UA"/>
        </w:rPr>
        <w:t xml:space="preserve">Для перерахунку спожитих енергоресурс</w:t>
      </w:r>
      <w:r>
        <w:rPr>
          <w:rFonts w:ascii="Arial" w:hAnsi="Arial" w:cs="Arial"/>
          <w:lang w:val="uk-UA"/>
        </w:rPr>
        <w:t xml:space="preserve">ів у натуральних одиницях у МВт*</w:t>
      </w:r>
      <w:r>
        <w:rPr>
          <w:rFonts w:ascii="Arial" w:hAnsi="Arial" w:cs="Arial"/>
          <w:lang w:val="uk-UA"/>
        </w:rPr>
        <w:t xml:space="preserve">год використовувалися наступні коефіцієнти:</w:t>
      </w:r>
      <w:r/>
    </w:p>
    <w:p>
      <w:pPr>
        <w:pStyle w:val="544"/>
        <w:ind w:firstLine="709"/>
        <w:jc w:val="both"/>
        <w:rPr>
          <w:rFonts w:ascii="Arial" w:hAnsi="Arial" w:cs="Arial"/>
          <w:lang w:val="uk-UA"/>
        </w:rPr>
      </w:pPr>
      <w:r>
        <w:rPr>
          <w:rFonts w:ascii="Arial" w:hAnsi="Arial" w:cs="Arial"/>
          <w:lang w:val="uk-UA"/>
        </w:rPr>
      </w:r>
      <w:r/>
    </w:p>
    <w:tbl>
      <w:tblPr>
        <w:tblW w:w="6850" w:type="dxa"/>
        <w:tblInd w:w="108"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0A0" w:firstRow="1" w:lastRow="0" w:firstColumn="1" w:lastColumn="0" w:noHBand="0" w:noVBand="0"/>
      </w:tblPr>
      <w:tblGrid>
        <w:gridCol w:w="2192"/>
        <w:gridCol w:w="2268"/>
        <w:gridCol w:w="2390"/>
      </w:tblGrid>
      <w:tr>
        <w:trPr>
          <w:trHeight w:val="977"/>
        </w:trPr>
        <w:tc>
          <w:tcPr>
            <w:shd w:val="clear" w:color="auto" w:fill="00B050" w:themeFill="accent1"/>
            <w:tcW w:w="2192"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Тип енергоресурсу</w:t>
            </w:r>
            <w:r/>
          </w:p>
        </w:tc>
        <w:tc>
          <w:tcPr>
            <w:shd w:val="clear" w:color="auto" w:fill="00B050" w:themeFill="accent1"/>
            <w:tcW w:w="2268"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Натуральна одиниця виміру</w:t>
            </w:r>
            <w:r/>
          </w:p>
        </w:tc>
        <w:tc>
          <w:tcPr>
            <w:shd w:val="clear" w:color="auto" w:fill="00B050" w:themeFill="accent1"/>
            <w:tcW w:w="239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Коефіцієнт переводу в МВт*</w:t>
            </w:r>
            <w:r>
              <w:rPr>
                <w:rFonts w:ascii="Arial" w:hAnsi="Arial" w:cs="Arial"/>
                <w:b/>
                <w:sz w:val="24"/>
                <w:szCs w:val="24"/>
                <w:lang w:val="uk-UA"/>
              </w:rPr>
              <w:t xml:space="preserve">год</w:t>
            </w:r>
            <w:r/>
          </w:p>
        </w:tc>
      </w:tr>
      <w:tr>
        <w:trPr>
          <w:trHeight w:val="453"/>
        </w:trPr>
        <w:tc>
          <w:tcPr>
            <w:shd w:val="clear" w:color="auto" w:fill="FFFFFF"/>
            <w:tcW w:w="2192"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Теплова енергія</w:t>
            </w:r>
            <w:r/>
          </w:p>
        </w:tc>
        <w:tc>
          <w:tcPr>
            <w:shd w:val="clear" w:color="auto" w:fill="FFFFFF"/>
            <w:tcW w:w="2268"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 </w:t>
            </w:r>
            <w:r>
              <w:rPr>
                <w:rFonts w:ascii="Arial" w:hAnsi="Arial" w:cs="Arial"/>
                <w:sz w:val="24"/>
                <w:szCs w:val="24"/>
                <w:lang w:val="uk-UA"/>
              </w:rPr>
              <w:t xml:space="preserve">Гкал</w:t>
            </w:r>
            <w:r/>
          </w:p>
        </w:tc>
        <w:tc>
          <w:tcPr>
            <w:shd w:val="clear" w:color="auto" w:fill="FFFFFF"/>
            <w:tcW w:w="239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1,163</w:t>
            </w:r>
            <w:r/>
          </w:p>
        </w:tc>
      </w:tr>
      <w:tr>
        <w:trPr>
          <w:trHeight w:val="453"/>
        </w:trPr>
        <w:tc>
          <w:tcPr>
            <w:shd w:val="clear" w:color="auto" w:fill="FFFFFF"/>
            <w:tcW w:w="2192"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Природний газ</w:t>
            </w:r>
            <w:r/>
          </w:p>
        </w:tc>
        <w:tc>
          <w:tcPr>
            <w:shd w:val="clear" w:color="auto" w:fill="FFFFFF"/>
            <w:tcW w:w="2268" w:type="dxa"/>
            <w:vAlign w:val="center"/>
            <w:textDirection w:val="lrTb"/>
            <w:noWrap w:val="false"/>
          </w:tcPr>
          <w:p>
            <w:pPr>
              <w:ind w:right="-1"/>
              <w:jc w:val="center"/>
              <w:spacing w:lineRule="auto" w:line="240" w:after="0"/>
              <w:rPr>
                <w:rFonts w:ascii="Arial" w:hAnsi="Arial" w:cs="Arial"/>
                <w:sz w:val="24"/>
                <w:szCs w:val="24"/>
                <w:vertAlign w:val="superscript"/>
                <w:lang w:val="uk-UA"/>
              </w:rPr>
            </w:pPr>
            <w:r>
              <w:rPr>
                <w:rFonts w:ascii="Arial" w:hAnsi="Arial" w:cs="Arial"/>
                <w:sz w:val="24"/>
                <w:szCs w:val="24"/>
                <w:lang w:val="uk-UA"/>
              </w:rPr>
              <w:t xml:space="preserve">М</w:t>
            </w:r>
            <w:r>
              <w:rPr>
                <w:rFonts w:ascii="Arial" w:hAnsi="Arial" w:cs="Arial"/>
                <w:sz w:val="24"/>
                <w:szCs w:val="24"/>
                <w:vertAlign w:val="superscript"/>
                <w:lang w:val="uk-UA"/>
              </w:rPr>
              <w:t xml:space="preserve">3</w:t>
            </w:r>
            <w:r/>
          </w:p>
        </w:tc>
        <w:tc>
          <w:tcPr>
            <w:shd w:val="clear" w:color="auto" w:fill="FFFFFF"/>
            <w:tcW w:w="2390" w:type="dxa"/>
            <w:vAlign w:val="center"/>
            <w:textDirection w:val="lrTb"/>
            <w:noWrap w:val="false"/>
          </w:tcPr>
          <w:p>
            <w:pPr>
              <w:ind w:right="-1"/>
              <w:jc w:val="center"/>
              <w:spacing w:lineRule="auto" w:line="240" w:after="0"/>
              <w:rPr>
                <w:rFonts w:ascii="Arial" w:hAnsi="Arial" w:cs="Arial"/>
                <w:sz w:val="24"/>
                <w:szCs w:val="24"/>
                <w:vertAlign w:val="superscript"/>
                <w:lang w:val="uk-UA"/>
              </w:rPr>
            </w:pPr>
            <w:r>
              <w:rPr>
                <w:rFonts w:ascii="Arial" w:hAnsi="Arial" w:cs="Arial"/>
                <w:sz w:val="24"/>
                <w:szCs w:val="24"/>
                <w:lang w:val="uk-UA"/>
              </w:rPr>
              <w:t xml:space="preserve">9,77</w:t>
            </w:r>
            <w:r/>
          </w:p>
        </w:tc>
      </w:tr>
      <w:tr>
        <w:trPr>
          <w:trHeight w:val="453"/>
        </w:trPr>
        <w:tc>
          <w:tcPr>
            <w:shd w:val="clear" w:color="auto" w:fill="FFFFFF"/>
            <w:tcW w:w="2192"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Вугілля</w:t>
            </w:r>
            <w:r/>
          </w:p>
        </w:tc>
        <w:tc>
          <w:tcPr>
            <w:shd w:val="clear" w:color="auto" w:fill="FFFFFF"/>
            <w:tcW w:w="2268"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Т</w:t>
            </w:r>
            <w:r>
              <w:rPr>
                <w:rFonts w:ascii="Arial" w:hAnsi="Arial" w:cs="Arial"/>
                <w:sz w:val="24"/>
                <w:szCs w:val="24"/>
                <w:lang w:val="uk-UA"/>
              </w:rPr>
              <w:t xml:space="preserve">н</w:t>
            </w:r>
            <w:r/>
          </w:p>
        </w:tc>
        <w:tc>
          <w:tcPr>
            <w:shd w:val="clear" w:color="auto" w:fill="FFFFFF"/>
            <w:tcW w:w="239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7,2</w:t>
            </w:r>
            <w:r/>
          </w:p>
        </w:tc>
      </w:tr>
      <w:tr>
        <w:trPr>
          <w:trHeight w:val="489"/>
        </w:trPr>
        <w:tc>
          <w:tcPr>
            <w:shd w:val="clear" w:color="auto" w:fill="FFFFFF"/>
            <w:tcW w:w="2192"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Дрова</w:t>
            </w:r>
            <w:r/>
          </w:p>
        </w:tc>
        <w:tc>
          <w:tcPr>
            <w:shd w:val="clear" w:color="auto" w:fill="FFFFFF"/>
            <w:tcW w:w="2268"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Т</w:t>
            </w:r>
            <w:r>
              <w:rPr>
                <w:rFonts w:ascii="Arial" w:hAnsi="Arial" w:cs="Arial"/>
                <w:sz w:val="24"/>
                <w:szCs w:val="24"/>
                <w:lang w:val="uk-UA"/>
              </w:rPr>
              <w:t xml:space="preserve">н</w:t>
            </w:r>
            <w:r/>
          </w:p>
        </w:tc>
        <w:tc>
          <w:tcPr>
            <w:shd w:val="clear" w:color="auto" w:fill="FFFFFF"/>
            <w:tcW w:w="239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3,484</w:t>
            </w:r>
            <w:r/>
          </w:p>
        </w:tc>
      </w:tr>
      <w:tr>
        <w:trPr>
          <w:trHeight w:val="489"/>
        </w:trPr>
        <w:tc>
          <w:tcPr>
            <w:shd w:val="clear" w:color="auto" w:fill="FFFFFF"/>
            <w:tcW w:w="2192"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Дизельне паливо</w:t>
            </w:r>
            <w:r/>
          </w:p>
        </w:tc>
        <w:tc>
          <w:tcPr>
            <w:shd w:val="clear" w:color="auto" w:fill="FFFFFF"/>
            <w:tcW w:w="2268"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1000 л</w:t>
            </w:r>
            <w:r/>
          </w:p>
        </w:tc>
        <w:tc>
          <w:tcPr>
            <w:shd w:val="clear" w:color="auto" w:fill="FFFFFF"/>
            <w:tcW w:w="239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10,0</w:t>
            </w:r>
            <w:r/>
          </w:p>
        </w:tc>
      </w:tr>
      <w:tr>
        <w:trPr>
          <w:trHeight w:val="489"/>
        </w:trPr>
        <w:tc>
          <w:tcPr>
            <w:shd w:val="clear" w:color="auto" w:fill="FFFFFF"/>
            <w:tcW w:w="2192"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Бензин </w:t>
            </w:r>
            <w:r/>
          </w:p>
        </w:tc>
        <w:tc>
          <w:tcPr>
            <w:shd w:val="clear" w:color="auto" w:fill="FFFFFF"/>
            <w:tcW w:w="2268"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1000 л</w:t>
            </w:r>
            <w:r/>
          </w:p>
        </w:tc>
        <w:tc>
          <w:tcPr>
            <w:shd w:val="clear" w:color="auto" w:fill="FFFFFF"/>
            <w:tcW w:w="239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9,2</w:t>
            </w:r>
            <w:r/>
          </w:p>
        </w:tc>
      </w:tr>
      <w:tr>
        <w:trPr>
          <w:trHeight w:val="489"/>
        </w:trPr>
        <w:tc>
          <w:tcPr>
            <w:shd w:val="clear" w:color="auto" w:fill="FFFFFF"/>
            <w:tcW w:w="2192"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Зріджений газ</w:t>
            </w:r>
            <w:r/>
          </w:p>
        </w:tc>
        <w:tc>
          <w:tcPr>
            <w:shd w:val="clear" w:color="auto" w:fill="FFFFFF"/>
            <w:tcW w:w="2268"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1000 л</w:t>
            </w:r>
            <w:r/>
          </w:p>
        </w:tc>
        <w:tc>
          <w:tcPr>
            <w:shd w:val="clear" w:color="auto" w:fill="FFFFFF"/>
            <w:tcW w:w="2390" w:type="dxa"/>
            <w:vAlign w:val="center"/>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6,765</w:t>
            </w:r>
            <w:r/>
          </w:p>
        </w:tc>
      </w:tr>
    </w:tbl>
    <w:p>
      <w:pPr>
        <w:ind w:right="-1"/>
        <w:jc w:val="both"/>
        <w:spacing w:lineRule="auto" w:line="240" w:after="0"/>
        <w:rPr>
          <w:rFonts w:ascii="Arial" w:hAnsi="Arial" w:cs="Arial"/>
          <w:lang w:val="uk-UA"/>
        </w:rPr>
      </w:pPr>
      <w:r>
        <w:rPr>
          <w:rFonts w:ascii="Arial" w:hAnsi="Arial" w:cs="Arial"/>
          <w:lang w:val="uk-UA"/>
        </w:rPr>
      </w:r>
      <w:r/>
    </w:p>
    <w:p>
      <w:pPr>
        <w:ind w:right="-1"/>
        <w:jc w:val="both"/>
        <w:spacing w:lineRule="auto" w:line="240" w:after="0"/>
        <w:rPr>
          <w:rFonts w:ascii="Arial" w:hAnsi="Arial" w:cs="Arial"/>
          <w:lang w:val="uk-UA"/>
        </w:rPr>
      </w:pPr>
      <w:r>
        <w:rPr>
          <w:rFonts w:ascii="Arial" w:hAnsi="Arial" w:cs="Arial"/>
          <w:lang w:val="uk-UA"/>
        </w:rPr>
      </w:r>
      <w:r/>
    </w:p>
    <w:p>
      <w:pPr>
        <w:ind w:right="-1"/>
        <w:jc w:val="center"/>
        <w:spacing w:lineRule="auto" w:line="240" w:after="0"/>
        <w:rPr>
          <w:rFonts w:ascii="Arial" w:hAnsi="Arial" w:cs="Arial"/>
          <w:b/>
          <w:i/>
          <w:color w:val="000000"/>
          <w:sz w:val="24"/>
          <w:szCs w:val="24"/>
          <w:lang w:val="uk-UA" w:eastAsia="ru-RU"/>
        </w:rPr>
      </w:pPr>
      <w:r>
        <w:rPr>
          <w:rFonts w:ascii="Arial" w:hAnsi="Arial" w:cs="Arial"/>
          <w:b/>
          <w:i/>
          <w:color w:val="000000"/>
          <w:sz w:val="24"/>
          <w:szCs w:val="24"/>
          <w:lang w:val="uk-UA" w:eastAsia="ru-RU"/>
        </w:rPr>
        <w:t xml:space="preserve">Ст</w:t>
      </w:r>
      <w:r>
        <w:rPr>
          <w:rFonts w:ascii="Arial" w:hAnsi="Arial" w:cs="Arial"/>
          <w:b/>
          <w:i/>
          <w:color w:val="000000"/>
          <w:sz w:val="24"/>
          <w:szCs w:val="24"/>
          <w:lang w:val="uk-UA" w:eastAsia="ru-RU"/>
        </w:rPr>
        <w:t xml:space="preserve">андартні коефіцієнти викидів CO</w:t>
      </w:r>
      <w:r>
        <w:rPr>
          <w:rFonts w:ascii="Arial" w:hAnsi="Arial" w:cs="Arial"/>
          <w:b/>
          <w:i/>
          <w:color w:val="000000"/>
          <w:sz w:val="24"/>
          <w:szCs w:val="24"/>
          <w:vertAlign w:val="subscript"/>
          <w:lang w:val="uk-UA" w:eastAsia="ru-RU"/>
        </w:rPr>
        <w:t xml:space="preserve">2</w:t>
      </w:r>
      <w:r>
        <w:rPr>
          <w:rFonts w:ascii="Arial" w:hAnsi="Arial" w:cs="Arial"/>
          <w:b/>
          <w:i/>
          <w:color w:val="000000"/>
          <w:sz w:val="24"/>
          <w:szCs w:val="24"/>
          <w:lang w:val="uk-UA" w:eastAsia="ru-RU"/>
        </w:rPr>
        <w:t xml:space="preserve"> </w:t>
      </w:r>
      <w:r/>
    </w:p>
    <w:p>
      <w:pPr>
        <w:ind w:right="-1"/>
        <w:jc w:val="center"/>
        <w:spacing w:lineRule="auto" w:line="240" w:after="0"/>
        <w:rPr>
          <w:rFonts w:ascii="Arial" w:hAnsi="Arial" w:cs="Arial"/>
          <w:b/>
          <w:i/>
          <w:color w:val="000000"/>
          <w:sz w:val="24"/>
          <w:szCs w:val="24"/>
          <w:lang w:val="uk-UA" w:eastAsia="ru-RU"/>
        </w:rPr>
      </w:pPr>
      <w:r>
        <w:rPr>
          <w:rFonts w:ascii="Arial" w:hAnsi="Arial" w:cs="Arial"/>
          <w:b/>
          <w:i/>
          <w:color w:val="000000"/>
          <w:sz w:val="24"/>
          <w:szCs w:val="24"/>
          <w:lang w:val="uk-UA" w:eastAsia="ru-RU"/>
        </w:rPr>
        <w:t xml:space="preserve">(при МГЕЗК 2006 рік) для найтиповіших видів палива</w:t>
      </w:r>
      <w:r/>
    </w:p>
    <w:p>
      <w:pPr>
        <w:ind w:left="-57" w:right="-1"/>
        <w:jc w:val="right"/>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r>
      <w:r/>
    </w:p>
    <w:tbl>
      <w:tblPr>
        <w:tblW w:w="0" w:type="auto"/>
        <w:tblInd w:w="108"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0A0" w:firstRow="1" w:lastRow="0" w:firstColumn="1" w:lastColumn="0" w:noHBand="0" w:noVBand="0"/>
      </w:tblPr>
      <w:tblGrid>
        <w:gridCol w:w="2277"/>
        <w:gridCol w:w="2622"/>
        <w:gridCol w:w="1772"/>
      </w:tblGrid>
      <w:tr>
        <w:trPr>
          <w:trHeight w:val="1062"/>
        </w:trPr>
        <w:tc>
          <w:tcPr>
            <w:shd w:val="clear" w:color="auto" w:fill="00B050" w:themeFill="accent1"/>
            <w:tcW w:w="2297"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Енергоносії за шаблоном Угоди Мерів</w:t>
            </w:r>
            <w:r/>
          </w:p>
        </w:tc>
        <w:tc>
          <w:tcPr>
            <w:shd w:val="clear" w:color="auto" w:fill="00B050" w:themeFill="accent1"/>
            <w:tcW w:w="2683"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Стандартна назва енергоносіїв</w:t>
            </w:r>
            <w:r/>
          </w:p>
        </w:tc>
        <w:tc>
          <w:tcPr>
            <w:shd w:val="clear" w:color="auto" w:fill="00B050" w:themeFill="accent1"/>
            <w:tcW w:w="1824"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СО</w:t>
            </w:r>
            <w:r>
              <w:rPr>
                <w:rFonts w:ascii="Arial" w:hAnsi="Arial" w:cs="Arial"/>
                <w:b/>
                <w:color w:val="000000"/>
                <w:sz w:val="24"/>
                <w:szCs w:val="24"/>
                <w:vertAlign w:val="subscript"/>
                <w:lang w:val="uk-UA" w:eastAsia="ru-RU"/>
              </w:rPr>
              <w:t xml:space="preserve">2</w:t>
            </w:r>
            <w:r>
              <w:rPr>
                <w:rFonts w:ascii="Arial" w:hAnsi="Arial" w:cs="Arial"/>
                <w:b/>
                <w:color w:val="000000"/>
                <w:sz w:val="24"/>
                <w:szCs w:val="24"/>
                <w:lang w:val="uk-UA" w:eastAsia="ru-RU"/>
              </w:rPr>
              <w:t xml:space="preserve"> </w:t>
            </w:r>
            <w:r>
              <w:rPr>
                <w:rFonts w:ascii="Arial" w:hAnsi="Arial" w:cs="Arial"/>
                <w:b/>
                <w:color w:val="000000"/>
                <w:sz w:val="24"/>
                <w:szCs w:val="24"/>
                <w:lang w:val="uk-UA" w:eastAsia="ru-RU"/>
              </w:rPr>
              <w:t xml:space="preserve">ек</w:t>
            </w:r>
            <w:r>
              <w:rPr>
                <w:rFonts w:ascii="Arial" w:hAnsi="Arial" w:cs="Arial"/>
                <w:b/>
                <w:color w:val="000000"/>
                <w:sz w:val="24"/>
                <w:szCs w:val="24"/>
                <w:lang w:val="uk-UA" w:eastAsia="ru-RU"/>
              </w:rPr>
              <w:t xml:space="preserve">./МВт*</w:t>
            </w:r>
            <w:r/>
          </w:p>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год</w:t>
            </w:r>
            <w:r/>
          </w:p>
        </w:tc>
      </w:tr>
      <w:tr>
        <w:trPr>
          <w:trHeight w:val="337"/>
        </w:trPr>
        <w:tc>
          <w:tcPr>
            <w:tcW w:w="2297"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Природний газ</w:t>
            </w:r>
            <w:r/>
          </w:p>
        </w:tc>
        <w:tc>
          <w:tcPr>
            <w:tcW w:w="2683"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Природний газ</w:t>
            </w:r>
            <w:r/>
          </w:p>
        </w:tc>
        <w:tc>
          <w:tcPr>
            <w:tcW w:w="1824"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0,202</w:t>
            </w:r>
            <w:r/>
          </w:p>
        </w:tc>
      </w:tr>
      <w:tr>
        <w:trPr>
          <w:trHeight w:val="337"/>
        </w:trPr>
        <w:tc>
          <w:tcPr>
            <w:tcW w:w="2297"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Теплова енергія</w:t>
            </w:r>
            <w:r/>
          </w:p>
        </w:tc>
        <w:tc>
          <w:tcPr>
            <w:tcW w:w="2683"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Теплова енергія</w:t>
            </w:r>
            <w:r/>
          </w:p>
        </w:tc>
        <w:tc>
          <w:tcPr>
            <w:tcW w:w="1824" w:type="dxa"/>
            <w:vAlign w:val="center"/>
            <w:textDirection w:val="lrTb"/>
            <w:noWrap w:val="false"/>
          </w:tcPr>
          <w:p>
            <w:pPr>
              <w:ind w:right="-1"/>
              <w:jc w:val="center"/>
              <w:spacing w:lineRule="auto" w:line="240" w:after="0"/>
              <w:rPr>
                <w:rFonts w:ascii="Arial" w:hAnsi="Arial" w:cs="Arial"/>
                <w:color w:val="000000"/>
                <w:sz w:val="24"/>
                <w:szCs w:val="24"/>
                <w:vertAlign w:val="superscript"/>
                <w:lang w:val="uk-UA" w:eastAsia="ru-RU"/>
              </w:rPr>
            </w:pPr>
            <w:r>
              <w:rPr>
                <w:rFonts w:ascii="Arial" w:hAnsi="Arial" w:cs="Arial"/>
                <w:color w:val="000000"/>
                <w:sz w:val="24"/>
                <w:szCs w:val="24"/>
                <w:lang w:val="uk-UA" w:eastAsia="ru-RU"/>
              </w:rPr>
              <w:t xml:space="preserve">0,247</w:t>
            </w:r>
            <w:r/>
          </w:p>
        </w:tc>
      </w:tr>
      <w:tr>
        <w:trPr>
          <w:trHeight w:val="337"/>
        </w:trPr>
        <w:tc>
          <w:tcPr>
            <w:tcW w:w="2297"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Електроенергія</w:t>
            </w:r>
            <w:r/>
          </w:p>
        </w:tc>
        <w:tc>
          <w:tcPr>
            <w:tcW w:w="2683"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Електроенергія</w:t>
            </w:r>
            <w:r/>
          </w:p>
        </w:tc>
        <w:tc>
          <w:tcPr>
            <w:tcW w:w="1824"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0,549</w:t>
            </w:r>
            <w:r/>
          </w:p>
        </w:tc>
      </w:tr>
    </w:tbl>
    <w:p>
      <w:pPr>
        <w:ind w:right="-1"/>
        <w:jc w:val="center"/>
        <w:spacing w:lineRule="auto" w:line="240" w:after="0"/>
        <w:rPr>
          <w:rFonts w:ascii="Arial" w:hAnsi="Arial" w:cs="Arial"/>
          <w:b/>
          <w:color w:val="000000"/>
          <w:sz w:val="24"/>
          <w:szCs w:val="24"/>
          <w:lang w:val="uk-UA" w:eastAsia="ru-RU"/>
        </w:rPr>
        <w:sectPr>
          <w:footnotePr/>
          <w:type w:val="continuous"/>
          <w:pgSz w:w="16838" w:h="11906" w:orient="landscape"/>
          <w:pgMar w:top="1134" w:right="1134" w:bottom="851" w:left="1418" w:header="709" w:footer="709"/>
          <w:cols w:num="2" w:sep="0" w:space="708" w:equalWidth="0">
            <w:col w:w="6789" w:space="708"/>
            <w:col w:w="6789" w:space="0"/>
          </w:cols>
          <w:docGrid w:linePitch="360"/>
          <w:titlePg/>
        </w:sectPr>
      </w:pPr>
      <w:r>
        <w:rPr>
          <w:rFonts w:ascii="Arial" w:hAnsi="Arial" w:cs="Arial"/>
          <w:b/>
          <w:color w:val="000000"/>
          <w:sz w:val="24"/>
          <w:szCs w:val="24"/>
          <w:lang w:val="uk-UA" w:eastAsia="ru-RU"/>
        </w:rPr>
      </w:r>
      <w:r/>
    </w:p>
    <w:tbl>
      <w:tblPr>
        <w:tblW w:w="0" w:type="auto"/>
        <w:tblInd w:w="108"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0A0" w:firstRow="1" w:lastRow="0" w:firstColumn="1" w:lastColumn="0" w:noHBand="0" w:noVBand="0"/>
      </w:tblPr>
      <w:tblGrid>
        <w:gridCol w:w="2297"/>
        <w:gridCol w:w="2683"/>
        <w:gridCol w:w="1691"/>
      </w:tblGrid>
      <w:tr>
        <w:trPr>
          <w:trHeight w:val="363"/>
        </w:trPr>
        <w:tc>
          <w:tcPr>
            <w:tcW w:w="2297"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Рідкий газ</w:t>
            </w:r>
            <w:r/>
          </w:p>
        </w:tc>
        <w:tc>
          <w:tcPr>
            <w:tcW w:w="2683"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Рідкий природний газ</w:t>
            </w:r>
            <w:r/>
          </w:p>
        </w:tc>
        <w:tc>
          <w:tcPr>
            <w:tcW w:w="1691"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0,231</w:t>
            </w:r>
            <w:r/>
          </w:p>
        </w:tc>
      </w:tr>
      <w:tr>
        <w:trPr>
          <w:trHeight w:val="337"/>
        </w:trPr>
        <w:tc>
          <w:tcPr>
            <w:tcW w:w="2297"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Дизельне паливо</w:t>
            </w:r>
            <w:r/>
          </w:p>
        </w:tc>
        <w:tc>
          <w:tcPr>
            <w:tcW w:w="2683"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Дизельне паливо</w:t>
            </w:r>
            <w:r/>
          </w:p>
        </w:tc>
        <w:tc>
          <w:tcPr>
            <w:tcW w:w="1691"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0,267</w:t>
            </w:r>
            <w:r/>
          </w:p>
        </w:tc>
      </w:tr>
      <w:tr>
        <w:trPr>
          <w:trHeight w:val="337"/>
        </w:trPr>
        <w:tc>
          <w:tcPr>
            <w:tcW w:w="2297"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Бензин</w:t>
            </w:r>
            <w:r/>
          </w:p>
        </w:tc>
        <w:tc>
          <w:tcPr>
            <w:tcW w:w="2683"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Автомобільний бензин</w:t>
            </w:r>
            <w:r/>
          </w:p>
        </w:tc>
        <w:tc>
          <w:tcPr>
            <w:tcW w:w="1691"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0,249</w:t>
            </w:r>
            <w:r/>
          </w:p>
        </w:tc>
      </w:tr>
      <w:tr>
        <w:trPr>
          <w:trHeight w:val="363"/>
        </w:trPr>
        <w:tc>
          <w:tcPr>
            <w:tcW w:w="2297"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Вугілля</w:t>
            </w:r>
            <w:r/>
          </w:p>
        </w:tc>
        <w:tc>
          <w:tcPr>
            <w:tcW w:w="2683"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Вугілля</w:t>
            </w:r>
            <w:r/>
          </w:p>
        </w:tc>
        <w:tc>
          <w:tcPr>
            <w:tcW w:w="1691"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0,341</w:t>
            </w:r>
            <w:r/>
          </w:p>
        </w:tc>
      </w:tr>
      <w:tr>
        <w:trPr>
          <w:trHeight w:val="337"/>
        </w:trPr>
        <w:tc>
          <w:tcPr>
            <w:tcW w:w="2297" w:type="dxa"/>
            <w:vAlign w:val="center"/>
            <w:textDirection w:val="lrTb"/>
            <w:noWrap w:val="false"/>
          </w:tcPr>
          <w:p>
            <w:pPr>
              <w:ind w:right="-1"/>
              <w:jc w:val="center"/>
              <w:spacing w:lineRule="auto" w:line="240" w:after="0"/>
              <w:rPr>
                <w:rFonts w:ascii="Arial" w:hAnsi="Arial" w:cs="Arial"/>
                <w:b/>
                <w:color w:val="000000"/>
                <w:sz w:val="24"/>
                <w:szCs w:val="24"/>
                <w:lang w:val="uk-UA" w:eastAsia="ru-RU"/>
              </w:rPr>
            </w:pPr>
            <w:r>
              <w:rPr>
                <w:rFonts w:ascii="Arial" w:hAnsi="Arial" w:cs="Arial"/>
                <w:b/>
                <w:color w:val="000000"/>
                <w:sz w:val="24"/>
                <w:szCs w:val="24"/>
                <w:lang w:val="uk-UA" w:eastAsia="ru-RU"/>
              </w:rPr>
              <w:t xml:space="preserve">Дрова</w:t>
            </w:r>
            <w:r/>
          </w:p>
        </w:tc>
        <w:tc>
          <w:tcPr>
            <w:tcW w:w="2683" w:type="dxa"/>
            <w:vAlign w:val="center"/>
            <w:textDirection w:val="lrTb"/>
            <w:noWrap w:val="false"/>
          </w:tcPr>
          <w:p>
            <w:pPr>
              <w:ind w:right="-1"/>
              <w:jc w:val="center"/>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Біопаливо</w:t>
            </w:r>
            <w:r/>
          </w:p>
        </w:tc>
        <w:tc>
          <w:tcPr>
            <w:tcW w:w="1691" w:type="dxa"/>
            <w:vAlign w:val="center"/>
            <w:textDirection w:val="lrTb"/>
            <w:noWrap w:val="false"/>
          </w:tcPr>
          <w:p>
            <w:pPr>
              <w:ind w:right="-1"/>
              <w:jc w:val="center"/>
              <w:spacing w:lineRule="auto" w:line="240" w:after="0"/>
              <w:rPr>
                <w:rFonts w:ascii="Arial" w:hAnsi="Arial" w:cs="Arial"/>
                <w:color w:val="000000"/>
                <w:sz w:val="24"/>
                <w:szCs w:val="24"/>
                <w:vertAlign w:val="superscript"/>
                <w:lang w:val="uk-UA" w:eastAsia="ru-RU"/>
              </w:rPr>
            </w:pPr>
            <w:r>
              <w:rPr>
                <w:rFonts w:ascii="Arial" w:hAnsi="Arial" w:cs="Arial"/>
                <w:color w:val="000000"/>
                <w:sz w:val="24"/>
                <w:szCs w:val="24"/>
                <w:lang w:val="uk-UA" w:eastAsia="ru-RU"/>
              </w:rPr>
              <w:t xml:space="preserve">0,00</w:t>
            </w:r>
            <w:r>
              <w:rPr>
                <w:rFonts w:ascii="Arial" w:hAnsi="Arial" w:cs="Arial"/>
                <w:color w:val="000000"/>
                <w:sz w:val="24"/>
                <w:szCs w:val="24"/>
                <w:vertAlign w:val="superscript"/>
                <w:lang w:val="uk-UA" w:eastAsia="ru-RU"/>
              </w:rPr>
              <w:t xml:space="preserve">**</w:t>
            </w:r>
            <w:r/>
          </w:p>
        </w:tc>
      </w:tr>
    </w:tbl>
    <w:p>
      <w:pPr>
        <w:ind w:right="-1"/>
        <w:spacing w:lineRule="auto" w:line="240" w:after="0"/>
        <w:shd w:val="clear" w:color="auto" w:fill="FFFFFF"/>
        <w:rPr>
          <w:rFonts w:ascii="Arial" w:hAnsi="Arial" w:cs="Arial"/>
          <w:b/>
          <w:i/>
          <w:sz w:val="24"/>
          <w:szCs w:val="24"/>
          <w:vertAlign w:val="superscript"/>
          <w:lang w:val="uk-UA"/>
        </w:rPr>
      </w:pPr>
      <w:r>
        <w:rPr>
          <w:rFonts w:ascii="Arial" w:hAnsi="Arial" w:cs="Arial"/>
          <w:b/>
          <w:i/>
          <w:sz w:val="24"/>
          <w:szCs w:val="24"/>
          <w:vertAlign w:val="superscript"/>
          <w:lang w:val="uk-UA"/>
        </w:rPr>
        <w:t xml:space="preserve">*розрахунок здійсненний по формулі Угоди мерів</w:t>
      </w:r>
      <w:r/>
    </w:p>
    <w:p>
      <w:pPr>
        <w:ind w:right="-1"/>
        <w:spacing w:lineRule="auto" w:line="240" w:after="0"/>
        <w:shd w:val="clear" w:color="auto" w:fill="FFFFFF"/>
        <w:rPr>
          <w:rFonts w:ascii="Arial" w:hAnsi="Arial" w:cs="Arial"/>
          <w:b/>
          <w:i/>
          <w:sz w:val="24"/>
          <w:szCs w:val="24"/>
          <w:vertAlign w:val="superscript"/>
          <w:lang w:val="uk-UA"/>
        </w:rPr>
      </w:pPr>
      <w:r>
        <w:rPr>
          <w:rFonts w:ascii="Arial" w:hAnsi="Arial" w:cs="Arial"/>
          <w:b/>
          <w:i/>
          <w:sz w:val="24"/>
          <w:szCs w:val="24"/>
          <w:vertAlign w:val="superscript"/>
          <w:lang w:val="uk-UA"/>
        </w:rPr>
        <w:t xml:space="preserve">** при умові дотримання</w:t>
      </w:r>
      <w:r>
        <w:rPr>
          <w:rFonts w:ascii="Arial" w:hAnsi="Arial" w:cs="Arial"/>
          <w:b/>
          <w:i/>
          <w:sz w:val="24"/>
          <w:szCs w:val="24"/>
          <w:vertAlign w:val="superscript"/>
          <w:lang w:val="uk-UA"/>
        </w:rPr>
        <w:t xml:space="preserve"> принципу "зрубав дерево посади дерево". Тільки тоді буде додержуватися принцип нульової біомаси.</w:t>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t xml:space="preserve">3.3. Сектори діяльності, що підлягають включенню до БКВ</w:t>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r>
      <w:r/>
    </w:p>
    <w:p>
      <w:pPr>
        <w:pStyle w:val="558"/>
        <w:ind w:firstLine="708"/>
        <w:jc w:val="both"/>
        <w:rPr>
          <w:rFonts w:ascii="Arial" w:hAnsi="Arial" w:cs="Arial"/>
          <w:sz w:val="24"/>
          <w:szCs w:val="24"/>
          <w:lang w:val="uk-UA"/>
        </w:rPr>
      </w:pPr>
      <w:r>
        <w:rPr>
          <w:rFonts w:ascii="Arial" w:hAnsi="Arial" w:cs="Arial"/>
          <w:sz w:val="24"/>
          <w:szCs w:val="24"/>
          <w:lang w:val="uk-UA"/>
        </w:rPr>
        <w:t xml:space="preserve">Місцеві органи влади повинні звітувати про кінцевий енергоспоживанні і коефіцієнт викидів за всіма джерелами викидів (безпосереднім і непрямим, а також тим, які не пов'язані з енергією) для кожного сектора і енергоносія. Класифікація </w:t>
      </w:r>
      <w:r>
        <w:rPr>
          <w:rFonts w:ascii="Arial" w:hAnsi="Arial" w:cs="Arial"/>
          <w:sz w:val="24"/>
          <w:szCs w:val="24"/>
          <w:lang w:val="uk-UA"/>
        </w:rPr>
        <w:t xml:space="preserve">підсекторів</w:t>
      </w:r>
      <w:r>
        <w:rPr>
          <w:rFonts w:ascii="Arial" w:hAnsi="Arial" w:cs="Arial"/>
          <w:sz w:val="24"/>
          <w:szCs w:val="24"/>
          <w:lang w:val="uk-UA"/>
        </w:rPr>
        <w:t xml:space="preserve"> базується на юрисдикції різних зацікавлених осіб (муніципальних / державних і прива</w:t>
      </w:r>
      <w:r>
        <w:rPr>
          <w:rFonts w:ascii="Arial" w:hAnsi="Arial" w:cs="Arial"/>
          <w:sz w:val="24"/>
          <w:szCs w:val="24"/>
          <w:lang w:val="uk-UA"/>
        </w:rPr>
        <w:t xml:space="preserve">тних), і не рекомендується включати викиди ПГ, що генеруються великими промисловими електростанції (охопленими схемами порогів і торгівлі, або якимись іншими аналогічними схемами). На підставі цих принципів громада звітує про викиди ПГ за трьома основними </w:t>
      </w:r>
      <w:r>
        <w:rPr>
          <w:rFonts w:ascii="Arial" w:hAnsi="Arial" w:cs="Arial"/>
          <w:sz w:val="24"/>
          <w:szCs w:val="24"/>
          <w:lang w:val="uk-UA"/>
        </w:rPr>
        <w:t xml:space="preserve">макросекторам</w:t>
      </w:r>
      <w:r>
        <w:rPr>
          <w:rFonts w:ascii="Arial" w:hAnsi="Arial" w:cs="Arial"/>
          <w:sz w:val="24"/>
          <w:szCs w:val="24"/>
          <w:lang w:val="uk-UA"/>
        </w:rPr>
        <w:t xml:space="preserve">, а саме будівлі / стаціонарні енергетичні об’єкти, транспорт, і іншими секторами, не пов'язаними з енергією, яка враховується в загальній звітності за викидами.</w:t>
      </w:r>
      <w:r/>
    </w:p>
    <w:p>
      <w:pPr>
        <w:pStyle w:val="558"/>
        <w:ind w:firstLine="708"/>
        <w:jc w:val="both"/>
        <w:rPr>
          <w:rFonts w:ascii="Arial" w:hAnsi="Arial" w:cs="Arial"/>
          <w:sz w:val="24"/>
          <w:szCs w:val="24"/>
          <w:lang w:val="uk-UA"/>
        </w:rPr>
      </w:pPr>
      <w:r>
        <w:rPr>
          <w:rFonts w:ascii="Arial" w:hAnsi="Arial" w:cs="Arial"/>
          <w:sz w:val="24"/>
          <w:szCs w:val="24"/>
          <w:lang w:val="uk-UA"/>
        </w:rPr>
      </w:r>
      <w:r/>
    </w:p>
    <w:p>
      <w:pPr>
        <w:pStyle w:val="558"/>
        <w:numPr>
          <w:ilvl w:val="0"/>
          <w:numId w:val="18"/>
        </w:numPr>
        <w:jc w:val="both"/>
        <w:rPr>
          <w:rFonts w:ascii="Arial" w:hAnsi="Arial" w:cs="Arial"/>
          <w:b/>
          <w:sz w:val="24"/>
          <w:szCs w:val="24"/>
          <w:lang w:val="uk-UA"/>
        </w:rPr>
      </w:pPr>
      <w:r>
        <w:rPr>
          <w:rFonts w:ascii="Arial" w:hAnsi="Arial" w:cs="Arial"/>
          <w:b/>
          <w:sz w:val="24"/>
          <w:szCs w:val="24"/>
          <w:lang w:val="uk-UA"/>
        </w:rPr>
        <w:t xml:space="preserve">Будівлі, обладнання та об'єкти</w:t>
      </w:r>
      <w:r/>
    </w:p>
    <w:p>
      <w:pPr>
        <w:pStyle w:val="558"/>
        <w:jc w:val="both"/>
        <w:rPr>
          <w:rFonts w:ascii="Arial" w:hAnsi="Arial" w:cs="Arial"/>
          <w:sz w:val="24"/>
          <w:szCs w:val="24"/>
          <w:lang w:val="uk-UA"/>
        </w:rPr>
      </w:pPr>
      <w:r>
        <w:rPr>
          <w:rFonts w:ascii="Arial" w:hAnsi="Arial" w:cs="Arial"/>
          <w:sz w:val="24"/>
          <w:szCs w:val="24"/>
          <w:lang w:val="uk-UA"/>
        </w:rPr>
        <w:t xml:space="preserve">Всі викиди ПГ (прямі викиди від спалювання палива і непрямі викиди, пов'язані зі споживанням енергії, що поставляється в мережі), яка з'являється внаслідок роботи стаціонарних джерел (тобто в будівлях, обладнанні і на об'єктах) на </w:t>
      </w:r>
      <w:r>
        <w:rPr>
          <w:rFonts w:ascii="Arial" w:hAnsi="Arial" w:cs="Arial"/>
          <w:sz w:val="24"/>
          <w:szCs w:val="24"/>
          <w:lang w:val="uk-UA"/>
        </w:rPr>
        <w:t xml:space="preserve">території місцевого органу влади, підлягають включенню в звітність. Такі викиди відбуваються від кінцевого енергосп</w:t>
      </w:r>
      <w:r>
        <w:rPr>
          <w:rFonts w:ascii="Arial" w:hAnsi="Arial" w:cs="Arial"/>
          <w:sz w:val="24"/>
          <w:szCs w:val="24"/>
          <w:lang w:val="uk-UA"/>
        </w:rPr>
        <w:t xml:space="preserve">оживання в житлових, комерційних і муніципальних / інституційних будівлях і об'єктах, а також у виробничій, будівельної галузі (нижче або на рівні 20 МВт теплової енергії) і в сільському / лісовому / рибному господарстві. Викиди ПГ від галузей / об’єктів «</w:t>
      </w:r>
      <w:r>
        <w:rPr>
          <w:rFonts w:ascii="Arial" w:hAnsi="Arial" w:cs="Arial"/>
          <w:sz w:val="24"/>
          <w:szCs w:val="24"/>
          <w:lang w:val="uk-UA"/>
        </w:rPr>
        <w:t xml:space="preserve">Енерговиробництва</w:t>
      </w:r>
      <w:r>
        <w:rPr>
          <w:rFonts w:ascii="Arial" w:hAnsi="Arial" w:cs="Arial"/>
          <w:sz w:val="24"/>
          <w:szCs w:val="24"/>
          <w:lang w:val="uk-UA"/>
        </w:rPr>
        <w:t xml:space="preserve">» не слід включати в цей сектор з метою уникнення подвійного обліку викидів.</w:t>
      </w:r>
      <w:r/>
    </w:p>
    <w:p>
      <w:pPr>
        <w:pStyle w:val="558"/>
        <w:jc w:val="both"/>
        <w:rPr>
          <w:rFonts w:ascii="Arial" w:hAnsi="Arial" w:cs="Arial"/>
          <w:sz w:val="24"/>
          <w:szCs w:val="24"/>
          <w:lang w:val="uk-UA"/>
        </w:rPr>
      </w:pPr>
      <w:r>
        <w:rPr>
          <w:rFonts w:ascii="Arial" w:hAnsi="Arial" w:cs="Arial"/>
          <w:sz w:val="24"/>
          <w:szCs w:val="24"/>
          <w:lang w:val="uk-UA"/>
        </w:rPr>
      </w:r>
      <w:r/>
    </w:p>
    <w:p>
      <w:pPr>
        <w:pStyle w:val="558"/>
        <w:numPr>
          <w:ilvl w:val="0"/>
          <w:numId w:val="18"/>
        </w:numPr>
        <w:jc w:val="both"/>
        <w:rPr>
          <w:rFonts w:ascii="Arial" w:hAnsi="Arial" w:cs="Arial"/>
          <w:b/>
          <w:sz w:val="24"/>
          <w:szCs w:val="24"/>
          <w:lang w:val="uk-UA"/>
        </w:rPr>
      </w:pPr>
      <w:r>
        <w:rPr>
          <w:rFonts w:ascii="Arial" w:hAnsi="Arial" w:cs="Arial"/>
          <w:b/>
          <w:sz w:val="24"/>
          <w:szCs w:val="24"/>
          <w:lang w:val="uk-UA"/>
        </w:rPr>
        <w:t xml:space="preserve">Транспорт</w:t>
      </w:r>
      <w:r/>
    </w:p>
    <w:p>
      <w:pPr>
        <w:pStyle w:val="558"/>
        <w:jc w:val="both"/>
        <w:rPr>
          <w:rFonts w:ascii="Arial" w:hAnsi="Arial" w:cs="Arial"/>
          <w:sz w:val="24"/>
          <w:szCs w:val="24"/>
          <w:lang w:val="uk-UA"/>
        </w:rPr>
      </w:pPr>
      <w:r>
        <w:rPr>
          <w:rFonts w:ascii="Arial" w:hAnsi="Arial" w:cs="Arial"/>
          <w:sz w:val="24"/>
          <w:szCs w:val="24"/>
          <w:lang w:val="uk-UA"/>
        </w:rPr>
        <w:t xml:space="preserve">Всі викиди ПГ (прямі викиди від спалювання палива і непрямі викиди, пов'язані зі споживанням енергії, що по</w:t>
      </w:r>
      <w:r>
        <w:rPr>
          <w:rFonts w:ascii="Arial" w:hAnsi="Arial" w:cs="Arial"/>
          <w:sz w:val="24"/>
          <w:szCs w:val="24"/>
          <w:lang w:val="uk-UA"/>
        </w:rPr>
        <w:t xml:space="preserve">ставляється в мережі), що з'являються внаслідок транспортування на території місцевого органу влади, підлягають включенню в звітність. Крім того, місцевим органам влади рекомендується  зробити розбивку за видами транспорту: дорожній, залізничний, водний і </w:t>
      </w:r>
      <w:r>
        <w:rPr>
          <w:rFonts w:ascii="Arial" w:hAnsi="Arial" w:cs="Arial"/>
          <w:sz w:val="24"/>
          <w:szCs w:val="24"/>
          <w:lang w:val="uk-UA"/>
        </w:rPr>
        <w:t xml:space="preserve">позашляховий</w:t>
      </w:r>
      <w:r>
        <w:rPr>
          <w:rFonts w:ascii="Arial" w:hAnsi="Arial" w:cs="Arial"/>
          <w:sz w:val="24"/>
          <w:szCs w:val="24"/>
          <w:lang w:val="uk-UA"/>
        </w:rPr>
        <w:t xml:space="preserve"> транспорт, а також за видами транспортного парку: муніципальний, державний, приватний і комерційний транспорт. Місцевим органам влади рекомен</w:t>
      </w:r>
      <w:r>
        <w:rPr>
          <w:rFonts w:ascii="Arial" w:hAnsi="Arial" w:cs="Arial"/>
          <w:sz w:val="24"/>
          <w:szCs w:val="24"/>
          <w:lang w:val="uk-UA"/>
        </w:rPr>
        <w:t xml:space="preserve">дується використовувати «географічну територіальну» методику для оцінки діяльності за активністю в транспортному секторі. При конкретних обставин можуть бути використані інші методики, наприклад «Продаж палива», «діяльність резидентів» і «міська методика».</w:t>
      </w:r>
      <w:r/>
    </w:p>
    <w:p>
      <w:pPr>
        <w:pStyle w:val="558"/>
        <w:jc w:val="both"/>
        <w:rPr>
          <w:rFonts w:ascii="Arial" w:hAnsi="Arial" w:cs="Arial"/>
          <w:sz w:val="24"/>
          <w:szCs w:val="24"/>
          <w:lang w:val="uk-UA"/>
        </w:rPr>
      </w:pPr>
      <w:r>
        <w:rPr>
          <w:rFonts w:ascii="Arial" w:hAnsi="Arial" w:cs="Arial"/>
          <w:sz w:val="24"/>
          <w:szCs w:val="24"/>
          <w:lang w:val="uk-UA"/>
        </w:rPr>
      </w:r>
      <w:r/>
    </w:p>
    <w:p>
      <w:pPr>
        <w:pStyle w:val="558"/>
        <w:numPr>
          <w:ilvl w:val="0"/>
          <w:numId w:val="18"/>
        </w:numPr>
        <w:jc w:val="both"/>
        <w:rPr>
          <w:rFonts w:ascii="Arial" w:hAnsi="Arial" w:cs="Arial"/>
          <w:b/>
          <w:sz w:val="24"/>
          <w:szCs w:val="24"/>
          <w:lang w:val="uk-UA"/>
        </w:rPr>
      </w:pPr>
      <w:r>
        <w:rPr>
          <w:rFonts w:ascii="Arial" w:hAnsi="Arial" w:cs="Arial"/>
          <w:b/>
          <w:sz w:val="24"/>
          <w:szCs w:val="24"/>
          <w:lang w:val="uk-UA"/>
        </w:rPr>
        <w:t xml:space="preserve">Інші, не пов'язані з енергією</w:t>
      </w:r>
      <w:r/>
    </w:p>
    <w:p>
      <w:pPr>
        <w:pStyle w:val="558"/>
        <w:jc w:val="both"/>
        <w:rPr>
          <w:rFonts w:ascii="Arial" w:hAnsi="Arial" w:cs="Arial"/>
          <w:sz w:val="24"/>
          <w:szCs w:val="24"/>
          <w:lang w:val="uk-UA"/>
        </w:rPr>
      </w:pPr>
      <w:r>
        <w:rPr>
          <w:rFonts w:ascii="Arial" w:hAnsi="Arial" w:cs="Arial"/>
          <w:sz w:val="24"/>
          <w:szCs w:val="24"/>
          <w:lang w:val="uk-UA"/>
        </w:rPr>
        <w:t xml:space="preserve">Всі викиди ПГ, які не пов'язані з енергією, споживаної на роботу з відходами, що генеруються на території громади, підлягають включенн</w:t>
      </w:r>
      <w:r>
        <w:rPr>
          <w:rFonts w:ascii="Arial" w:hAnsi="Arial" w:cs="Arial"/>
          <w:sz w:val="24"/>
          <w:szCs w:val="24"/>
          <w:lang w:val="uk-UA"/>
        </w:rPr>
        <w:t xml:space="preserve">ю в звітність і розбивці по категоріям управління відходами, управління стічними водами і категорії «інші, не пов'язані з енергією». Якщо для виробництва енергії використовуються відходи / стічні води, то викиди не слід включати в звітність в рамках цього </w:t>
      </w:r>
      <w:r>
        <w:rPr>
          <w:rFonts w:ascii="Arial" w:hAnsi="Arial" w:cs="Arial"/>
          <w:sz w:val="24"/>
          <w:szCs w:val="24"/>
          <w:lang w:val="uk-UA"/>
        </w:rPr>
        <w:t xml:space="preserve">сектора, з метою уникнення подвійного обліку непрямих викидів.</w:t>
      </w:r>
      <w:r/>
    </w:p>
    <w:p>
      <w:pPr>
        <w:pStyle w:val="558"/>
        <w:jc w:val="both"/>
        <w:rPr>
          <w:rFonts w:ascii="Arial" w:hAnsi="Arial" w:cs="Arial"/>
          <w:sz w:val="24"/>
          <w:szCs w:val="24"/>
          <w:lang w:val="uk-UA"/>
        </w:rPr>
      </w:pPr>
      <w:r>
        <w:rPr>
          <w:rFonts w:ascii="Arial" w:hAnsi="Arial" w:cs="Arial"/>
          <w:sz w:val="24"/>
          <w:szCs w:val="24"/>
          <w:lang w:val="uk-UA"/>
        </w:rPr>
      </w:r>
      <w:r/>
    </w:p>
    <w:p>
      <w:pPr>
        <w:pStyle w:val="558"/>
        <w:numPr>
          <w:ilvl w:val="0"/>
          <w:numId w:val="18"/>
        </w:numPr>
        <w:jc w:val="both"/>
        <w:rPr>
          <w:rFonts w:ascii="Arial" w:hAnsi="Arial" w:cs="Arial"/>
          <w:b/>
          <w:sz w:val="24"/>
          <w:szCs w:val="24"/>
          <w:lang w:val="uk-UA"/>
        </w:rPr>
      </w:pPr>
      <w:r>
        <w:rPr>
          <w:rFonts w:ascii="Arial" w:hAnsi="Arial" w:cs="Arial"/>
          <w:b/>
          <w:sz w:val="24"/>
          <w:szCs w:val="24"/>
          <w:lang w:val="uk-UA"/>
        </w:rPr>
        <w:t xml:space="preserve">Енергопостачання</w:t>
      </w:r>
      <w:r/>
    </w:p>
    <w:p>
      <w:pPr>
        <w:pStyle w:val="558"/>
        <w:jc w:val="both"/>
        <w:rPr>
          <w:rFonts w:ascii="Arial" w:hAnsi="Arial" w:cs="Arial"/>
          <w:sz w:val="24"/>
          <w:szCs w:val="24"/>
          <w:lang w:val="uk-UA"/>
        </w:rPr>
      </w:pPr>
      <w:r>
        <w:rPr>
          <w:rFonts w:ascii="Arial" w:hAnsi="Arial" w:cs="Arial"/>
          <w:sz w:val="24"/>
          <w:szCs w:val="24"/>
          <w:lang w:val="uk-UA"/>
        </w:rPr>
        <w:t xml:space="preserve">Викиди ПГ, що з'являються від виробництва енергії, що поставляється в мережі, на території місцевого органу влади, а також ви</w:t>
      </w:r>
      <w:r>
        <w:rPr>
          <w:rFonts w:ascii="Arial" w:hAnsi="Arial" w:cs="Arial"/>
          <w:sz w:val="24"/>
          <w:szCs w:val="24"/>
          <w:lang w:val="uk-UA"/>
        </w:rPr>
        <w:t xml:space="preserve">киди ПГ, які з’являються внаслідок виробництва енергії, що поставляється в мережі, на об'єктах, які належать (повністю або частково) місцевим органу влади, але які знаходяться поза межею території місцевого органу влади, рекомендується включати в звітність</w:t>
      </w:r>
      <w:r/>
    </w:p>
    <w:p>
      <w:pPr>
        <w:pStyle w:val="558"/>
        <w:jc w:val="both"/>
        <w:rPr>
          <w:rFonts w:ascii="Arial" w:hAnsi="Arial" w:cs="Arial"/>
          <w:sz w:val="24"/>
          <w:szCs w:val="24"/>
          <w:lang w:val="uk-UA"/>
        </w:rPr>
      </w:pPr>
      <w:r>
        <w:rPr>
          <w:rFonts w:ascii="Arial" w:hAnsi="Arial" w:cs="Arial"/>
          <w:sz w:val="24"/>
          <w:szCs w:val="24"/>
          <w:lang w:val="uk-UA"/>
        </w:rPr>
        <w:t xml:space="preserve">і розбивати ви</w:t>
      </w:r>
      <w:r>
        <w:rPr>
          <w:rFonts w:ascii="Arial" w:hAnsi="Arial" w:cs="Arial"/>
          <w:sz w:val="24"/>
          <w:szCs w:val="24"/>
          <w:lang w:val="uk-UA"/>
        </w:rPr>
        <w:t xml:space="preserve">ключно за категоріями електрики, ТЕЦ і станцій по виробництва тепла, холоду. З метою уникнення подвійної звітності, ці викиди не повинні складати частину загальних прямих викидів, а враховуватися за допомогою місцевого коефіцієнт викидів як непрямі викиди.</w:t>
      </w:r>
      <w:r/>
    </w:p>
    <w:p>
      <w:pPr>
        <w:pStyle w:val="558"/>
        <w:jc w:val="both"/>
        <w:rPr>
          <w:rFonts w:ascii="Arial" w:hAnsi="Arial" w:cs="Arial"/>
          <w:sz w:val="24"/>
          <w:szCs w:val="24"/>
          <w:lang w:val="uk-UA"/>
        </w:rPr>
      </w:pPr>
      <w:r>
        <w:rPr>
          <w:rFonts w:ascii="Arial" w:hAnsi="Arial" w:cs="Arial"/>
          <w:sz w:val="24"/>
          <w:szCs w:val="24"/>
          <w:lang w:val="uk-UA"/>
        </w:rPr>
        <w:tab/>
        <w:t xml:space="preserve">Зобов'язання підписантів Угоди щодо пом'якшення пов'язані, головним чином, з викидами, які асоціюються з енергоспоживанням в секторах, на які може вплинути місцевий орган влади (житловий сектор, послуги та міський транспорт), в </w:t>
      </w:r>
      <w:r>
        <w:rPr>
          <w:rFonts w:ascii="Arial" w:hAnsi="Arial" w:cs="Arial"/>
          <w:sz w:val="24"/>
          <w:szCs w:val="24"/>
          <w:lang w:val="uk-UA"/>
        </w:rPr>
        <w:t xml:space="preserve">той час як інші емітенти, наприклад, технологічні викиди промислових заводів не включаються. Включення інших джерел / секторів, на які місцевий орган не може вплинути, загалом, не рекомендується, оскільки, таким чином, ставляться під загрозу цілі зниження.</w:t>
      </w:r>
      <w:r/>
    </w:p>
    <w:p>
      <w:pPr>
        <w:ind w:right="-1"/>
        <w:jc w:val="both"/>
        <w:spacing w:lineRule="auto" w:line="240" w:after="0"/>
        <w:rPr>
          <w:rFonts w:ascii="Arial" w:hAnsi="Arial" w:cs="Arial"/>
          <w:b/>
          <w:sz w:val="24"/>
          <w:szCs w:val="24"/>
          <w:lang w:val="uk-UA"/>
        </w:rPr>
      </w:pPr>
      <w:r>
        <w:rPr>
          <w:rFonts w:ascii="Arial" w:hAnsi="Arial" w:cs="Arial"/>
          <w:b/>
          <w:sz w:val="24"/>
          <w:szCs w:val="24"/>
          <w:lang w:val="uk-UA"/>
        </w:rPr>
      </w:r>
      <w:r/>
    </w:p>
    <w:p>
      <w:pPr>
        <w:pStyle w:val="557"/>
        <w:numPr>
          <w:ilvl w:val="0"/>
          <w:numId w:val="18"/>
        </w:numPr>
        <w:ind w:right="-1"/>
        <w:jc w:val="both"/>
        <w:spacing w:lineRule="auto" w:line="240" w:after="0"/>
        <w:rPr>
          <w:rFonts w:ascii="Arial" w:hAnsi="Arial" w:cs="Arial"/>
          <w:b/>
          <w:sz w:val="24"/>
          <w:szCs w:val="24"/>
          <w:lang w:val="uk-UA"/>
        </w:rPr>
      </w:pPr>
      <w:r>
        <w:rPr>
          <w:rFonts w:ascii="Arial" w:hAnsi="Arial" w:cs="Arial"/>
          <w:b/>
          <w:sz w:val="24"/>
          <w:szCs w:val="24"/>
          <w:lang w:val="uk-UA"/>
        </w:rPr>
        <w:t xml:space="preserve">Територіальне планування</w:t>
      </w:r>
      <w:r/>
    </w:p>
    <w:p>
      <w:pPr>
        <w:pStyle w:val="557"/>
        <w:ind w:left="0" w:right="-1" w:firstLine="709"/>
        <w:jc w:val="both"/>
        <w:spacing w:lineRule="auto" w:line="240" w:after="0"/>
        <w:rPr>
          <w:rFonts w:ascii="Arial" w:hAnsi="Arial" w:cs="Arial"/>
          <w:sz w:val="24"/>
          <w:szCs w:val="24"/>
          <w:lang w:val="uk-UA"/>
        </w:rPr>
      </w:pPr>
      <w:r>
        <w:rPr>
          <w:rFonts w:ascii="Arial" w:hAnsi="Arial" w:cs="Arial"/>
          <w:sz w:val="24"/>
          <w:szCs w:val="24"/>
          <w:lang w:val="uk-UA"/>
        </w:rPr>
        <w:t xml:space="preserve">Згідно методології Угоди мерів від 2018 року п</w:t>
      </w:r>
      <w:r>
        <w:rPr>
          <w:rFonts w:ascii="Arial" w:hAnsi="Arial" w:cs="Arial"/>
          <w:sz w:val="24"/>
          <w:szCs w:val="24"/>
          <w:lang w:val="uk-UA"/>
        </w:rPr>
        <w:t xml:space="preserve">ланування землеко</w:t>
      </w:r>
      <w:r>
        <w:rPr>
          <w:rFonts w:ascii="Arial" w:hAnsi="Arial" w:cs="Arial"/>
          <w:sz w:val="24"/>
          <w:szCs w:val="24"/>
          <w:lang w:val="uk-UA"/>
        </w:rPr>
        <w:t xml:space="preserve">ристування має значний вплив на споживання енергії як у транспортному, так і будівельному секторах. Стратегічні рішення, що стосуються міського розвитку, такі як уникнення розповсюдження міст, впливають на використання енергії в міських районах і знижують </w:t>
      </w:r>
      <w:r>
        <w:rPr>
          <w:rFonts w:ascii="Arial" w:hAnsi="Arial" w:cs="Arial"/>
          <w:sz w:val="24"/>
          <w:szCs w:val="24"/>
          <w:lang w:val="uk-UA"/>
        </w:rPr>
        <w:t xml:space="preserve">енергоємність транспорту. Компактні міські умови можуть забезпечити більш економічний та енергоефективний громадський транспорт. Урівноваження житла, послуг та можливостей робот</w:t>
      </w:r>
      <w:r>
        <w:rPr>
          <w:rFonts w:ascii="Arial" w:hAnsi="Arial" w:cs="Arial"/>
          <w:sz w:val="24"/>
          <w:szCs w:val="24"/>
          <w:lang w:val="uk-UA"/>
        </w:rPr>
        <w:t xml:space="preserve">и (змішане використання) у міському плануванні має чіткий вплив на модель мобільності громадян та їх енергоспоживання. Місцеві та регіональні органи влади можуть розробляти плани стійкої мобільності та заохочувати перехід до більш стійких видів транспорту.</w:t>
      </w:r>
      <w:r/>
    </w:p>
    <w:p>
      <w:pPr>
        <w:pStyle w:val="557"/>
        <w:ind w:left="0" w:right="-1" w:firstLine="709"/>
        <w:jc w:val="both"/>
        <w:spacing w:lineRule="auto" w:line="240" w:after="0"/>
        <w:rPr>
          <w:rFonts w:ascii="Arial" w:hAnsi="Arial" w:cs="Arial"/>
          <w:sz w:val="24"/>
          <w:szCs w:val="24"/>
          <w:lang w:val="uk-UA"/>
        </w:rPr>
      </w:pPr>
      <w:r>
        <w:rPr>
          <w:rFonts w:ascii="Arial" w:hAnsi="Arial" w:cs="Arial"/>
          <w:sz w:val="24"/>
          <w:szCs w:val="24"/>
          <w:lang w:val="uk-UA"/>
        </w:rPr>
        <w:t xml:space="preserve">Форма та орієнтація будівлі відіграють важливу роль з точки зору опалення, охолодження та освітлення. Адекватна орієнтація та розташування будівель та забудованих площ дозволяють зменшити використання звичайних кондиціонерів. Посадка дере</w:t>
      </w:r>
      <w:r>
        <w:rPr>
          <w:rFonts w:ascii="Arial" w:hAnsi="Arial" w:cs="Arial"/>
          <w:sz w:val="24"/>
          <w:szCs w:val="24"/>
          <w:lang w:val="uk-UA"/>
        </w:rPr>
        <w:t xml:space="preserve">в навколо будівель для затінення міських поверхонь, а зелені дахи для зниження їх температури можуть призвести до значного скорочення споживання енергії для кондиціонування повітря. Пропорція між шириною, довжиною та висотою, а також його поєднанням із орі</w:t>
      </w:r>
      <w:r>
        <w:rPr>
          <w:rFonts w:ascii="Arial" w:hAnsi="Arial" w:cs="Arial"/>
          <w:sz w:val="24"/>
          <w:szCs w:val="24"/>
          <w:lang w:val="uk-UA"/>
        </w:rPr>
        <w:t xml:space="preserve">єнтацією та пропорцією засклених поверхонь слід детально вивчити, коли пропонуються нові міські розробки. Крім того, достатня кількість зелених насаджень та посадка дерев біля будівлі може призвести до зменшення енергетичних потреб, а потім до зниження ПГ.</w:t>
      </w:r>
      <w:r/>
    </w:p>
    <w:p>
      <w:pPr>
        <w:pStyle w:val="557"/>
        <w:ind w:right="-1"/>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t xml:space="preserve">3.4. Споживання енергетичних ресурсів у ключових секторах міста</w:t>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Для розрахунку базового кадастру викидів створено базу споживання основних видів енергетичних ресурсів, яка включає найголовніші джерела емісії СО</w:t>
      </w:r>
      <w:r>
        <w:rPr>
          <w:rFonts w:ascii="Arial" w:hAnsi="Arial" w:cs="Arial"/>
          <w:sz w:val="24"/>
          <w:szCs w:val="24"/>
          <w:vertAlign w:val="subscript"/>
          <w:lang w:val="uk-UA"/>
        </w:rPr>
        <w:t xml:space="preserve">2</w:t>
      </w:r>
      <w:r>
        <w:rPr>
          <w:rFonts w:ascii="Arial" w:hAnsi="Arial" w:cs="Arial"/>
          <w:sz w:val="24"/>
          <w:szCs w:val="24"/>
          <w:lang w:val="uk-UA"/>
        </w:rPr>
        <w:t xml:space="preserve"> від різних видів діяльності у </w:t>
      </w:r>
      <w:r>
        <w:rPr>
          <w:rFonts w:ascii="Arial" w:hAnsi="Arial" w:cs="Arial"/>
          <w:sz w:val="24"/>
          <w:szCs w:val="24"/>
          <w:lang w:val="uk-UA"/>
        </w:rPr>
        <w:t xml:space="preserve">Менській громаді  за 2017-2019</w:t>
      </w:r>
      <w:r>
        <w:rPr>
          <w:rFonts w:ascii="Arial" w:hAnsi="Arial" w:cs="Arial"/>
          <w:sz w:val="24"/>
          <w:szCs w:val="24"/>
          <w:lang w:val="uk-UA"/>
        </w:rPr>
        <w:t xml:space="preserve"> роки.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База даних споживання енергетичних ресурсів включає:</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у секторі громадських будівель (міський бюджет) викиди: за рахунок спалення природного газу; використання електроенергії; теплової енергії з централізованої системи теплопостачання в будівлях (закладах, установах) міського бюджету</w:t>
      </w:r>
      <w:r>
        <w:rPr>
          <w:rFonts w:ascii="Arial" w:hAnsi="Arial" w:cs="Arial"/>
          <w:sz w:val="24"/>
          <w:szCs w:val="24"/>
          <w:lang w:val="uk-UA"/>
        </w:rPr>
        <w:t xml:space="preserve">, використання вугілля та біопалива</w:t>
      </w:r>
      <w:r>
        <w:rPr>
          <w:rFonts w:ascii="Arial" w:hAnsi="Arial" w:cs="Arial"/>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у житловому секторі вики</w:t>
      </w:r>
      <w:r>
        <w:rPr>
          <w:rFonts w:ascii="Arial" w:hAnsi="Arial" w:cs="Arial"/>
          <w:sz w:val="24"/>
          <w:szCs w:val="24"/>
          <w:lang w:val="uk-UA"/>
        </w:rPr>
        <w:t xml:space="preserve">ди за рахунок спалення природного газу в багатоквартирних будинках та приватних будинках; використання електроенергії в багатоквартирних будинках та приватних будинках; теплової енергії з централізованої системи теплопостачання в багатоквартирних будинках;</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у транспортному секторі викиди за рахунок споживання бензину, </w:t>
      </w:r>
      <w:r>
        <w:rPr>
          <w:rFonts w:ascii="Arial" w:hAnsi="Arial" w:cs="Arial"/>
          <w:sz w:val="24"/>
          <w:szCs w:val="24"/>
          <w:lang w:val="uk-UA"/>
        </w:rPr>
        <w:t xml:space="preserve">газойлів</w:t>
      </w:r>
      <w:r>
        <w:rPr>
          <w:rFonts w:ascii="Arial" w:hAnsi="Arial" w:cs="Arial"/>
          <w:sz w:val="24"/>
          <w:szCs w:val="24"/>
          <w:lang w:val="uk-UA"/>
        </w:rPr>
        <w:t xml:space="preserve"> та скрапленого газу громадським пасажирським транспортом</w:t>
      </w:r>
      <w:r>
        <w:rPr>
          <w:rFonts w:ascii="Arial" w:hAnsi="Arial" w:cs="Arial"/>
          <w:sz w:val="24"/>
          <w:szCs w:val="24"/>
          <w:lang w:val="uk-UA"/>
        </w:rPr>
        <w:t xml:space="preserve">, комунальним транспортом </w:t>
      </w:r>
      <w:r>
        <w:rPr>
          <w:rFonts w:ascii="Arial" w:hAnsi="Arial" w:cs="Arial"/>
          <w:sz w:val="24"/>
          <w:szCs w:val="24"/>
          <w:lang w:val="uk-UA"/>
        </w:rPr>
        <w:t xml:space="preserve"> і окремо всім транспортом міста;</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у вуличному освітленні викиди за рахунок споживання електроенергії в муніципальному громадському освітленні;</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 галузі інших споживачів</w:t>
      </w:r>
      <w:r>
        <w:rPr>
          <w:rFonts w:ascii="Arial" w:hAnsi="Arial" w:cs="Arial"/>
          <w:sz w:val="24"/>
          <w:szCs w:val="24"/>
          <w:lang w:val="uk-UA"/>
        </w:rPr>
        <w:t xml:space="preserve"> (</w:t>
      </w:r>
      <w:r>
        <w:rPr>
          <w:rFonts w:ascii="Arial" w:hAnsi="Arial" w:cs="Arial"/>
          <w:sz w:val="24"/>
          <w:szCs w:val="24"/>
          <w:lang w:val="uk-UA"/>
        </w:rPr>
        <w:t xml:space="preserve">с/г та не промислові</w:t>
      </w:r>
      <w:r>
        <w:rPr>
          <w:rFonts w:ascii="Arial" w:hAnsi="Arial" w:cs="Arial"/>
          <w:sz w:val="24"/>
          <w:szCs w:val="24"/>
          <w:lang w:val="uk-UA"/>
        </w:rPr>
        <w:t xml:space="preserve">)</w:t>
      </w:r>
      <w:r>
        <w:rPr>
          <w:rFonts w:ascii="Arial" w:hAnsi="Arial" w:cs="Arial"/>
          <w:sz w:val="24"/>
          <w:szCs w:val="24"/>
          <w:lang w:val="uk-UA"/>
        </w:rPr>
        <w:t xml:space="preserve"> включає викиди за рахунок споживання природного газу</w:t>
      </w:r>
      <w:r>
        <w:rPr>
          <w:rFonts w:ascii="Arial" w:hAnsi="Arial" w:cs="Arial"/>
          <w:sz w:val="24"/>
          <w:szCs w:val="24"/>
          <w:lang w:val="uk-UA"/>
        </w:rPr>
        <w:t xml:space="preserve"> та електроенергії;</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 галузі </w:t>
      </w:r>
      <w:r>
        <w:rPr>
          <w:rFonts w:ascii="Arial" w:hAnsi="Arial" w:cs="Arial"/>
          <w:sz w:val="24"/>
          <w:szCs w:val="24"/>
          <w:lang w:val="uk-UA"/>
        </w:rPr>
        <w:t xml:space="preserve">третинний сектор</w:t>
      </w:r>
      <w:r>
        <w:rPr>
          <w:rFonts w:ascii="Arial" w:hAnsi="Arial" w:cs="Arial"/>
          <w:sz w:val="24"/>
          <w:szCs w:val="24"/>
          <w:lang w:val="uk-UA"/>
        </w:rPr>
        <w:t xml:space="preserve"> включає викиди за рахунок споживання природного газу, електроенергії</w:t>
      </w:r>
      <w:r>
        <w:rPr>
          <w:rFonts w:ascii="Arial" w:hAnsi="Arial" w:cs="Arial"/>
          <w:sz w:val="24"/>
          <w:szCs w:val="24"/>
          <w:lang w:val="uk-UA"/>
        </w:rPr>
        <w:t xml:space="preserve">,</w:t>
      </w:r>
      <w:r>
        <w:rPr>
          <w:rFonts w:ascii="Arial" w:hAnsi="Arial" w:cs="Arial"/>
          <w:sz w:val="24"/>
          <w:szCs w:val="24"/>
          <w:lang w:val="uk-UA"/>
        </w:rPr>
        <w:t xml:space="preserve"> теплової енергії з централізованої системи теплопостачання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 галузі </w:t>
      </w:r>
      <w:r>
        <w:rPr>
          <w:rFonts w:ascii="Arial" w:hAnsi="Arial" w:cs="Arial"/>
          <w:sz w:val="24"/>
          <w:szCs w:val="24"/>
          <w:lang w:val="uk-UA"/>
        </w:rPr>
        <w:t xml:space="preserve">промисловість</w:t>
      </w:r>
      <w:r>
        <w:rPr>
          <w:rFonts w:ascii="Arial" w:hAnsi="Arial" w:cs="Arial"/>
          <w:sz w:val="24"/>
          <w:szCs w:val="24"/>
          <w:lang w:val="uk-UA"/>
        </w:rPr>
        <w:t xml:space="preserve"> включає викиди за рахунок споживання природного газу, електроенергії місцеви</w:t>
      </w:r>
      <w:r>
        <w:rPr>
          <w:rFonts w:ascii="Arial" w:hAnsi="Arial" w:cs="Arial"/>
          <w:sz w:val="24"/>
          <w:szCs w:val="24"/>
          <w:lang w:val="uk-UA"/>
        </w:rPr>
        <w:t xml:space="preserve">ми промисловими підприємствами.</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2" w:sep="0" w:space="708" w:equalWidth="0">
            <w:col w:w="6789" w:space="708"/>
            <w:col w:w="6789" w:space="0"/>
          </w:cols>
          <w:docGrid w:linePitch="360"/>
          <w:titlePg/>
        </w:sectPr>
      </w:pPr>
      <w:r>
        <w:rPr>
          <w:rFonts w:ascii="Arial" w:hAnsi="Arial" w:cs="Arial"/>
          <w:sz w:val="24"/>
          <w:szCs w:val="24"/>
          <w:lang w:val="uk-UA"/>
        </w:rPr>
        <w:t xml:space="preserve">Споживання енергоресурсів в обраних секторах в натуральних одиницях наведено у таблиці  </w:t>
      </w:r>
      <w:r>
        <w:rPr>
          <w:rFonts w:ascii="Arial" w:hAnsi="Arial" w:cs="Arial"/>
          <w:sz w:val="24"/>
          <w:szCs w:val="24"/>
          <w:lang w:val="uk-UA"/>
        </w:rPr>
        <w:t xml:space="preserve">споживання енергоресурсів у 2017 - 2019</w:t>
      </w:r>
      <w:r>
        <w:rPr>
          <w:rFonts w:ascii="Arial" w:hAnsi="Arial" w:cs="Arial"/>
          <w:sz w:val="24"/>
          <w:szCs w:val="24"/>
          <w:lang w:val="uk-UA"/>
        </w:rPr>
        <w:t xml:space="preserve"> роках</w:t>
      </w:r>
      <w:r/>
    </w:p>
    <w:p>
      <w:pPr>
        <w:ind w:right="-1"/>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sz w:val="24"/>
          <w:szCs w:val="24"/>
          <w:lang w:val="uk-UA"/>
        </w:rPr>
      </w:r>
      <w:r/>
    </w:p>
    <w:p>
      <w:pPr>
        <w:ind w:right="-1"/>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sz w:val="24"/>
          <w:szCs w:val="24"/>
          <w:lang w:val="uk-UA"/>
        </w:rPr>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Споживанн</w:t>
      </w:r>
      <w:r>
        <w:rPr>
          <w:rFonts w:ascii="Arial" w:hAnsi="Arial" w:cs="Arial"/>
          <w:b/>
          <w:sz w:val="24"/>
          <w:szCs w:val="24"/>
          <w:lang w:val="uk-UA"/>
        </w:rPr>
        <w:t xml:space="preserve">я енергоресурсів у </w:t>
      </w:r>
      <w:r>
        <w:rPr>
          <w:rFonts w:ascii="Arial" w:hAnsi="Arial" w:cs="Arial"/>
          <w:b/>
          <w:sz w:val="24"/>
          <w:szCs w:val="24"/>
          <w:lang w:val="uk-UA"/>
        </w:rPr>
        <w:t xml:space="preserve">Менській громаді </w:t>
      </w:r>
      <w:r>
        <w:rPr>
          <w:rFonts w:ascii="Arial" w:hAnsi="Arial" w:cs="Arial"/>
          <w:b/>
          <w:sz w:val="24"/>
          <w:szCs w:val="24"/>
          <w:lang w:val="uk-UA"/>
        </w:rPr>
        <w:t xml:space="preserve"> у</w:t>
      </w:r>
      <w:r>
        <w:rPr>
          <w:rFonts w:ascii="Arial" w:hAnsi="Arial" w:cs="Arial"/>
          <w:b/>
          <w:sz w:val="24"/>
          <w:szCs w:val="24"/>
          <w:lang w:val="uk-UA"/>
        </w:rPr>
        <w:t xml:space="preserve"> </w:t>
      </w:r>
      <w:r>
        <w:rPr>
          <w:rFonts w:ascii="Arial" w:hAnsi="Arial" w:cs="Arial"/>
          <w:b/>
          <w:sz w:val="24"/>
          <w:szCs w:val="24"/>
          <w:lang w:val="uk-UA"/>
        </w:rPr>
        <w:t xml:space="preserve">2017 - 2019</w:t>
      </w:r>
      <w:r>
        <w:rPr>
          <w:rFonts w:ascii="Arial" w:hAnsi="Arial" w:cs="Arial"/>
          <w:b/>
          <w:sz w:val="24"/>
          <w:szCs w:val="24"/>
          <w:lang w:val="uk-UA"/>
        </w:rPr>
        <w:t xml:space="preserve"> роках</w:t>
      </w:r>
      <w:r/>
    </w:p>
    <w:p>
      <w:pPr>
        <w:ind w:right="-1"/>
        <w:jc w:val="right"/>
        <w:spacing w:lineRule="auto" w:line="240" w:after="0"/>
        <w:rPr>
          <w:rFonts w:ascii="Arial" w:hAnsi="Arial" w:cs="Arial"/>
          <w:b/>
          <w:sz w:val="24"/>
          <w:szCs w:val="24"/>
          <w:lang w:val="uk-UA"/>
        </w:rPr>
      </w:pPr>
      <w:r>
        <w:rPr>
          <w:rFonts w:ascii="Arial" w:hAnsi="Arial" w:cs="Arial"/>
          <w:b/>
          <w:sz w:val="24"/>
          <w:szCs w:val="24"/>
          <w:lang w:val="uk-UA"/>
        </w:rPr>
      </w:r>
      <w:r/>
    </w:p>
    <w:tbl>
      <w:tblPr>
        <w:tblW w:w="14313" w:type="dxa"/>
        <w:tblInd w:w="108"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4A0" w:firstRow="1" w:lastRow="0" w:firstColumn="1" w:lastColumn="0" w:noHBand="0" w:noVBand="1"/>
      </w:tblPr>
      <w:tblGrid>
        <w:gridCol w:w="1320"/>
        <w:gridCol w:w="4356"/>
        <w:gridCol w:w="3000"/>
        <w:gridCol w:w="3000"/>
        <w:gridCol w:w="2637"/>
      </w:tblGrid>
      <w:tr>
        <w:trPr>
          <w:trHeight w:val="609"/>
        </w:trPr>
        <w:tc>
          <w:tcPr>
            <w:shd w:val="clear" w:color="auto" w:fill="C00000"/>
            <w:tcBorders>
              <w:bottom w:val="single" w:sz="4" w:space="0" w:color="auto"/>
            </w:tcBorders>
            <w:tcW w:w="132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 з/п</w:t>
            </w:r>
            <w:r/>
          </w:p>
        </w:tc>
        <w:tc>
          <w:tcPr>
            <w:shd w:val="clear" w:color="auto" w:fill="C00000"/>
            <w:tcBorders>
              <w:bottom w:val="single" w:sz="4" w:space="0" w:color="auto"/>
            </w:tcBorders>
            <w:tcW w:w="4356"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Сектори БКВ</w:t>
            </w:r>
            <w:r/>
          </w:p>
        </w:tc>
        <w:tc>
          <w:tcPr>
            <w:shd w:val="clear" w:color="auto" w:fill="C00000"/>
            <w:tcBorders>
              <w:bottom w:val="single" w:sz="4" w:space="0" w:color="auto"/>
            </w:tcBorders>
            <w:tcW w:w="300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2017</w:t>
            </w:r>
            <w:r/>
          </w:p>
        </w:tc>
        <w:tc>
          <w:tcPr>
            <w:shd w:val="clear" w:color="auto" w:fill="C00000"/>
            <w:tcBorders>
              <w:bottom w:val="single" w:sz="4" w:space="0" w:color="auto"/>
            </w:tcBorders>
            <w:tcW w:w="3000"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2018</w:t>
            </w:r>
            <w:r/>
          </w:p>
        </w:tc>
        <w:tc>
          <w:tcPr>
            <w:shd w:val="clear" w:color="auto" w:fill="C00000"/>
            <w:tcBorders>
              <w:bottom w:val="single" w:sz="4" w:space="0" w:color="auto"/>
            </w:tcBorders>
            <w:tcW w:w="2637" w:type="dxa"/>
            <w:vAlign w:val="center"/>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2019</w:t>
            </w:r>
            <w:r/>
          </w:p>
        </w:tc>
      </w:tr>
      <w:tr>
        <w:trPr>
          <w:trHeight w:val="390"/>
        </w:trPr>
        <w:tc>
          <w:tcPr>
            <w:gridSpan w:val="5"/>
            <w:shd w:val="clear" w:color="auto" w:fill="00B050" w:themeFill="accent1"/>
            <w:tcBorders>
              <w:bottom w:val="single" w:sz="4" w:space="0" w:color="auto"/>
            </w:tcBorders>
            <w:tcW w:w="14313" w:type="dxa"/>
            <w:textDirection w:val="lrTb"/>
            <w:noWrap w:val="false"/>
          </w:tcPr>
          <w:p>
            <w:pPr>
              <w:ind w:right="-1"/>
              <w:jc w:val="center"/>
              <w:spacing w:lineRule="auto" w:line="240" w:after="0"/>
              <w:rPr>
                <w:rFonts w:ascii="Arial" w:hAnsi="Arial" w:cs="Arial"/>
                <w:sz w:val="24"/>
                <w:szCs w:val="24"/>
                <w:lang w:val="uk-UA"/>
              </w:rPr>
            </w:pPr>
            <w:r>
              <w:rPr>
                <w:rFonts w:ascii="Arial" w:hAnsi="Arial" w:cs="Arial"/>
                <w:b/>
                <w:sz w:val="24"/>
                <w:szCs w:val="24"/>
                <w:lang w:val="uk-UA"/>
              </w:rPr>
              <w:t xml:space="preserve">1. Муніципальні будівлі, обладнання/об'єкти</w:t>
            </w:r>
            <w:r/>
          </w:p>
        </w:tc>
      </w:tr>
      <w:tr>
        <w:trPr>
          <w:trHeight w:val="494"/>
        </w:trPr>
        <w:tc>
          <w:tcPr>
            <w:shd w:val="clear" w:color="auto" w:fill="F2F2F2" w:themeFill="background1" w:themeFillShade="F2"/>
            <w:tcBorders>
              <w:bottom w:val="single" w:sz="4" w:space="0" w:color="auto"/>
            </w:tcBorders>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1.1</w:t>
            </w:r>
            <w:r/>
          </w:p>
        </w:tc>
        <w:tc>
          <w:tcPr>
            <w:shd w:val="clear" w:color="auto" w:fill="F2F2F2" w:themeFill="background1" w:themeFillShade="F2"/>
            <w:tcBorders>
              <w:bottom w:val="single" w:sz="4" w:space="0" w:color="auto"/>
            </w:tcBorders>
            <w:tcW w:w="4356" w:type="dxa"/>
            <w:textDirection w:val="lrTb"/>
            <w:noWrap w:val="false"/>
          </w:tcPr>
          <w:p>
            <w:pPr>
              <w:ind w:right="-1"/>
              <w:jc w:val="center"/>
              <w:spacing w:lineRule="auto" w:line="240" w:after="0"/>
              <w:rPr>
                <w:rFonts w:ascii="Arial" w:hAnsi="Arial" w:cs="Arial"/>
                <w:sz w:val="24"/>
                <w:szCs w:val="24"/>
                <w:vertAlign w:val="superscript"/>
                <w:lang w:val="uk-UA"/>
              </w:rPr>
            </w:pPr>
            <w:r>
              <w:rPr>
                <w:rFonts w:ascii="Arial" w:hAnsi="Arial" w:cs="Arial"/>
                <w:sz w:val="24"/>
                <w:szCs w:val="24"/>
                <w:lang w:val="uk-UA"/>
              </w:rPr>
              <w:t xml:space="preserve">Природний газ, тис. м</w:t>
            </w:r>
            <w:r>
              <w:rPr>
                <w:rFonts w:ascii="Arial" w:hAnsi="Arial" w:cs="Arial"/>
                <w:sz w:val="24"/>
                <w:szCs w:val="24"/>
                <w:vertAlign w:val="superscript"/>
                <w:lang w:val="uk-UA"/>
              </w:rPr>
              <w:t xml:space="preserve">3</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1243,184</w:t>
            </w:r>
            <w:r/>
          </w:p>
        </w:tc>
        <w:tc>
          <w:tcPr>
            <w:shd w:val="clear" w:color="auto" w:fill="F2F2F2" w:themeFill="background1" w:themeFillShade="F2"/>
            <w:tcBorders>
              <w:bottom w:val="single" w:sz="4" w:space="0" w:color="auto"/>
            </w:tcBorders>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904,25</w:t>
            </w:r>
            <w:r/>
          </w:p>
        </w:tc>
      </w:tr>
      <w:tr>
        <w:trPr>
          <w:trHeight w:val="494"/>
        </w:trPr>
        <w:tc>
          <w:tcPr>
            <w:shd w:val="clear" w:color="auto" w:fill="auto"/>
            <w:tcBorders>
              <w:bottom w:val="single" w:sz="4" w:space="0" w:color="auto"/>
            </w:tcBorders>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1.2</w:t>
            </w:r>
            <w:r/>
          </w:p>
        </w:tc>
        <w:tc>
          <w:tcPr>
            <w:shd w:val="clear" w:color="auto" w:fill="auto"/>
            <w:tcBorders>
              <w:bottom w:val="single" w:sz="4" w:space="0" w:color="auto"/>
            </w:tcBorders>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Електроенергія, МВт*год.</w:t>
            </w:r>
            <w:r/>
          </w:p>
        </w:tc>
        <w:tc>
          <w:tcPr>
            <w:shd w:val="clear" w:color="auto" w:fill="auto"/>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1325</w:t>
            </w:r>
            <w:r/>
          </w:p>
        </w:tc>
        <w:tc>
          <w:tcPr>
            <w:shd w:val="clear" w:color="auto" w:fill="auto"/>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888</w:t>
            </w:r>
            <w:r/>
          </w:p>
        </w:tc>
        <w:tc>
          <w:tcPr>
            <w:shd w:val="clear" w:color="auto" w:fill="auto"/>
            <w:tcBorders>
              <w:bottom w:val="single" w:sz="4" w:space="0" w:color="auto"/>
            </w:tcBorders>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885</w:t>
            </w:r>
            <w:r/>
          </w:p>
        </w:tc>
      </w:tr>
      <w:tr>
        <w:trPr>
          <w:trHeight w:val="494"/>
        </w:trPr>
        <w:tc>
          <w:tcPr>
            <w:shd w:val="clear" w:color="auto" w:fill="F2F2F2" w:themeFill="background1" w:themeFillShade="F2"/>
            <w:tcBorders>
              <w:bottom w:val="single" w:sz="4" w:space="0" w:color="auto"/>
            </w:tcBorders>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1.3</w:t>
            </w:r>
            <w:r/>
          </w:p>
        </w:tc>
        <w:tc>
          <w:tcPr>
            <w:shd w:val="clear" w:color="auto" w:fill="F2F2F2" w:themeFill="background1" w:themeFillShade="F2"/>
            <w:tcBorders>
              <w:bottom w:val="single" w:sz="4" w:space="0" w:color="auto"/>
            </w:tcBorders>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Теплова енергія, </w:t>
            </w:r>
            <w:r>
              <w:rPr>
                <w:rFonts w:ascii="Arial" w:hAnsi="Arial" w:cs="Arial"/>
                <w:sz w:val="24"/>
                <w:szCs w:val="24"/>
                <w:lang w:val="uk-UA"/>
              </w:rPr>
              <w:t xml:space="preserve">Гкал</w:t>
            </w:r>
            <w:r>
              <w:rPr>
                <w:rFonts w:ascii="Arial" w:hAnsi="Arial" w:cs="Arial"/>
                <w:sz w:val="24"/>
                <w:szCs w:val="24"/>
                <w:lang w:val="uk-UA"/>
              </w:rPr>
              <w:t xml:space="preserve"> </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2425,96</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2895,15</w:t>
            </w:r>
            <w:r/>
          </w:p>
        </w:tc>
        <w:tc>
          <w:tcPr>
            <w:shd w:val="clear" w:color="auto" w:fill="F2F2F2" w:themeFill="background1" w:themeFillShade="F2"/>
            <w:tcBorders>
              <w:bottom w:val="single" w:sz="4" w:space="0" w:color="auto"/>
            </w:tcBorders>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2129,44</w:t>
            </w:r>
            <w:r/>
          </w:p>
        </w:tc>
      </w:tr>
      <w:tr>
        <w:trPr>
          <w:trHeight w:val="494"/>
        </w:trPr>
        <w:tc>
          <w:tcPr>
            <w:shd w:val="clear" w:color="auto" w:fill="FFFFFF" w:themeFill="background1"/>
            <w:tcBorders>
              <w:bottom w:val="single" w:sz="4" w:space="0" w:color="auto"/>
            </w:tcBorders>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1.4</w:t>
            </w:r>
            <w:r/>
          </w:p>
        </w:tc>
        <w:tc>
          <w:tcPr>
            <w:shd w:val="clear" w:color="auto" w:fill="FFFFFF" w:themeFill="background1"/>
            <w:tcBorders>
              <w:bottom w:val="single" w:sz="4" w:space="0" w:color="auto"/>
            </w:tcBorders>
            <w:tcW w:w="4356" w:type="dxa"/>
            <w:textDirection w:val="lrTb"/>
            <w:noWrap w:val="false"/>
          </w:tcPr>
          <w:p>
            <w:pPr>
              <w:ind w:right="-1"/>
              <w:jc w:val="center"/>
              <w:spacing w:lineRule="auto" w:line="240" w:after="0"/>
              <w:rPr>
                <w:rFonts w:ascii="Arial" w:hAnsi="Arial" w:cs="Arial"/>
                <w:sz w:val="24"/>
                <w:szCs w:val="24"/>
                <w:vertAlign w:val="superscript"/>
                <w:lang w:val="uk-UA"/>
              </w:rPr>
            </w:pPr>
            <w:r>
              <w:rPr>
                <w:rFonts w:ascii="Arial" w:hAnsi="Arial" w:cs="Arial"/>
                <w:sz w:val="24"/>
                <w:szCs w:val="24"/>
                <w:lang w:val="uk-UA"/>
              </w:rPr>
              <w:t xml:space="preserve">Дрова, м</w:t>
            </w:r>
            <w:r>
              <w:rPr>
                <w:rFonts w:ascii="Arial" w:hAnsi="Arial" w:cs="Arial"/>
                <w:sz w:val="24"/>
                <w:szCs w:val="24"/>
                <w:vertAlign w:val="superscript"/>
                <w:lang w:val="uk-UA"/>
              </w:rPr>
              <w:t xml:space="preserve">3</w:t>
            </w:r>
            <w:r/>
          </w:p>
        </w:tc>
        <w:tc>
          <w:tcPr>
            <w:shd w:val="clear" w:color="auto" w:fill="FFFFFF" w:themeFill="background1"/>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w:t>
            </w:r>
            <w:r/>
          </w:p>
        </w:tc>
        <w:tc>
          <w:tcPr>
            <w:shd w:val="clear" w:color="auto" w:fill="FFFFFF" w:themeFill="background1"/>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935,4</w:t>
            </w:r>
            <w:r/>
          </w:p>
        </w:tc>
        <w:tc>
          <w:tcPr>
            <w:shd w:val="clear" w:color="auto" w:fill="FFFFFF" w:themeFill="background1"/>
            <w:tcBorders>
              <w:bottom w:val="single" w:sz="4" w:space="0" w:color="auto"/>
            </w:tcBorders>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1361,68</w:t>
            </w:r>
            <w:r/>
          </w:p>
        </w:tc>
      </w:tr>
      <w:tr>
        <w:trPr>
          <w:trHeight w:val="494"/>
        </w:trPr>
        <w:tc>
          <w:tcPr>
            <w:shd w:val="clear" w:color="auto" w:fill="F2F2F2" w:themeFill="background1" w:themeFillShade="F2"/>
            <w:tcBorders>
              <w:bottom w:val="single" w:sz="4" w:space="0" w:color="auto"/>
            </w:tcBorders>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1.5</w:t>
            </w:r>
            <w:r/>
          </w:p>
        </w:tc>
        <w:tc>
          <w:tcPr>
            <w:shd w:val="clear" w:color="auto" w:fill="F2F2F2" w:themeFill="background1" w:themeFillShade="F2"/>
            <w:tcBorders>
              <w:bottom w:val="single" w:sz="4" w:space="0" w:color="auto"/>
            </w:tcBorders>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Вугілля, т</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243,73</w:t>
            </w:r>
            <w:r/>
          </w:p>
        </w:tc>
        <w:tc>
          <w:tcPr>
            <w:shd w:val="clear" w:color="auto" w:fill="F2F2F2" w:themeFill="background1" w:themeFillShade="F2"/>
            <w:tcBorders>
              <w:bottom w:val="single" w:sz="4" w:space="0" w:color="auto"/>
            </w:tcBorders>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310,34</w:t>
            </w:r>
            <w:r/>
          </w:p>
          <w:p>
            <w:pPr>
              <w:ind w:right="-1"/>
              <w:jc w:val="center"/>
              <w:spacing w:lineRule="auto" w:line="240" w:after="0"/>
              <w:rPr>
                <w:rFonts w:ascii="Arial" w:hAnsi="Arial" w:cs="Arial"/>
                <w:sz w:val="24"/>
                <w:szCs w:val="24"/>
                <w:lang w:val="uk-UA"/>
              </w:rPr>
            </w:pPr>
            <w:r>
              <w:rPr>
                <w:rFonts w:ascii="Arial" w:hAnsi="Arial" w:cs="Arial"/>
                <w:sz w:val="24"/>
                <w:szCs w:val="24"/>
                <w:lang w:val="uk-UA"/>
              </w:rPr>
            </w:r>
            <w:r/>
          </w:p>
          <w:p>
            <w:pPr>
              <w:ind w:right="-1"/>
              <w:jc w:val="center"/>
              <w:spacing w:lineRule="auto" w:line="240" w:after="0"/>
              <w:rPr>
                <w:rFonts w:ascii="Arial" w:hAnsi="Arial" w:cs="Arial"/>
                <w:sz w:val="24"/>
                <w:szCs w:val="24"/>
                <w:lang w:val="uk-UA"/>
              </w:rPr>
            </w:pPr>
            <w:r>
              <w:rPr>
                <w:rFonts w:ascii="Arial" w:hAnsi="Arial" w:cs="Arial"/>
                <w:sz w:val="24"/>
                <w:szCs w:val="24"/>
                <w:lang w:val="uk-UA"/>
              </w:rPr>
            </w:r>
            <w:r/>
          </w:p>
        </w:tc>
      </w:tr>
      <w:tr>
        <w:trPr>
          <w:trHeight w:val="376"/>
        </w:trPr>
        <w:tc>
          <w:tcPr>
            <w:gridSpan w:val="5"/>
            <w:shd w:val="clear" w:color="auto" w:fill="00B050" w:themeFill="accent1"/>
            <w:tcBorders>
              <w:bottom w:val="single" w:sz="4" w:space="0" w:color="auto"/>
            </w:tcBorders>
            <w:tcW w:w="14313" w:type="dxa"/>
            <w:textDirection w:val="lrTb"/>
            <w:noWrap w:val="false"/>
          </w:tcPr>
          <w:p>
            <w:pPr>
              <w:ind w:right="-1"/>
              <w:jc w:val="center"/>
              <w:spacing w:lineRule="auto" w:line="240" w:after="0"/>
              <w:rPr>
                <w:rFonts w:ascii="Arial" w:hAnsi="Arial" w:cs="Arial"/>
                <w:sz w:val="24"/>
                <w:szCs w:val="24"/>
                <w:lang w:val="uk-UA"/>
              </w:rPr>
            </w:pPr>
            <w:r>
              <w:rPr>
                <w:rFonts w:ascii="Arial" w:hAnsi="Arial" w:cs="Arial"/>
                <w:b/>
                <w:sz w:val="24"/>
                <w:szCs w:val="24"/>
                <w:lang w:val="uk-UA"/>
              </w:rPr>
              <w:t xml:space="preserve">2. Житлові будівлі</w:t>
            </w:r>
            <w:r/>
          </w:p>
        </w:tc>
      </w:tr>
      <w:tr>
        <w:trPr>
          <w:trHeight w:val="494"/>
        </w:trPr>
        <w:tc>
          <w:tcPr>
            <w:shd w:val="clear" w:color="auto" w:fill="F2F2F2" w:themeFill="background1" w:themeFillShade="F2"/>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2.1</w:t>
            </w:r>
            <w:r/>
          </w:p>
        </w:tc>
        <w:tc>
          <w:tcPr>
            <w:shd w:val="clear" w:color="auto" w:fill="F2F2F2" w:themeFill="background1" w:themeFillShade="F2"/>
            <w:tcW w:w="4356" w:type="dxa"/>
            <w:textDirection w:val="lrTb"/>
            <w:noWrap w:val="false"/>
          </w:tcPr>
          <w:p>
            <w:pPr>
              <w:ind w:right="-1"/>
              <w:jc w:val="center"/>
              <w:spacing w:lineRule="auto" w:line="240" w:after="0"/>
              <w:rPr>
                <w:rFonts w:ascii="Arial" w:hAnsi="Arial" w:cs="Arial"/>
                <w:sz w:val="24"/>
                <w:szCs w:val="24"/>
                <w:vertAlign w:val="superscript"/>
                <w:lang w:val="uk-UA"/>
              </w:rPr>
            </w:pPr>
            <w:r>
              <w:rPr>
                <w:rFonts w:ascii="Arial" w:hAnsi="Arial" w:cs="Arial"/>
                <w:sz w:val="24"/>
                <w:szCs w:val="24"/>
                <w:lang w:val="uk-UA"/>
              </w:rPr>
              <w:t xml:space="preserve">Природний газ, тис. м</w:t>
            </w:r>
            <w:r>
              <w:rPr>
                <w:rFonts w:ascii="Arial" w:hAnsi="Arial" w:cs="Arial"/>
                <w:sz w:val="24"/>
                <w:szCs w:val="24"/>
                <w:vertAlign w:val="superscript"/>
                <w:lang w:val="uk-UA"/>
              </w:rPr>
              <w:t xml:space="preserve">3</w:t>
            </w:r>
            <w:r/>
          </w:p>
        </w:tc>
        <w:tc>
          <w:tcPr>
            <w:shd w:val="clear" w:color="auto" w:fill="F2F2F2" w:themeFill="background1" w:themeFillShade="F2"/>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w:t>
            </w:r>
            <w:r/>
          </w:p>
        </w:tc>
        <w:tc>
          <w:tcPr>
            <w:shd w:val="clear" w:color="auto" w:fill="F2F2F2" w:themeFill="background1" w:themeFillShade="F2"/>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4767,153</w:t>
            </w:r>
            <w:r/>
          </w:p>
        </w:tc>
        <w:tc>
          <w:tcPr>
            <w:shd w:val="clear" w:color="auto" w:fill="F2F2F2" w:themeFill="background1" w:themeFillShade="F2"/>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4641,941</w:t>
            </w:r>
            <w:r/>
          </w:p>
        </w:tc>
      </w:tr>
      <w:tr>
        <w:trPr>
          <w:trHeight w:val="494"/>
        </w:trPr>
        <w:tc>
          <w:tcPr>
            <w:shd w:val="clear" w:color="auto" w:fill="auto"/>
            <w:tcBorders>
              <w:bottom w:val="single" w:sz="4" w:space="0" w:color="auto"/>
            </w:tcBorders>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w:t>
            </w:r>
            <w:r/>
          </w:p>
        </w:tc>
        <w:tc>
          <w:tcPr>
            <w:shd w:val="clear" w:color="auto" w:fill="auto"/>
            <w:tcBorders>
              <w:bottom w:val="single" w:sz="4" w:space="0" w:color="auto"/>
            </w:tcBorders>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Електроенергія, МВт*год.</w:t>
            </w:r>
            <w:r/>
          </w:p>
        </w:tc>
        <w:tc>
          <w:tcPr>
            <w:shd w:val="clear" w:color="auto" w:fill="auto"/>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7685</w:t>
            </w:r>
            <w:r/>
          </w:p>
        </w:tc>
        <w:tc>
          <w:tcPr>
            <w:shd w:val="clear" w:color="auto" w:fill="auto"/>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7707</w:t>
            </w:r>
            <w:r/>
          </w:p>
        </w:tc>
        <w:tc>
          <w:tcPr>
            <w:shd w:val="clear" w:color="auto" w:fill="auto"/>
            <w:tcBorders>
              <w:bottom w:val="single" w:sz="4" w:space="0" w:color="auto"/>
            </w:tcBorders>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7706</w:t>
            </w:r>
            <w:r/>
          </w:p>
        </w:tc>
      </w:tr>
      <w:tr>
        <w:trPr>
          <w:trHeight w:val="494"/>
        </w:trPr>
        <w:tc>
          <w:tcPr>
            <w:shd w:val="clear" w:color="auto" w:fill="F2F2F2" w:themeFill="background1" w:themeFillShade="F2"/>
            <w:tcBorders>
              <w:bottom w:val="single" w:sz="4" w:space="0" w:color="auto"/>
            </w:tcBorders>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2.3</w:t>
            </w:r>
            <w:r/>
          </w:p>
        </w:tc>
        <w:tc>
          <w:tcPr>
            <w:shd w:val="clear" w:color="auto" w:fill="F2F2F2" w:themeFill="background1" w:themeFillShade="F2"/>
            <w:tcBorders>
              <w:bottom w:val="single" w:sz="4" w:space="0" w:color="auto"/>
            </w:tcBorders>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Теплова енергія, </w:t>
            </w:r>
            <w:r>
              <w:rPr>
                <w:rFonts w:ascii="Arial" w:hAnsi="Arial" w:cs="Arial"/>
                <w:sz w:val="24"/>
                <w:szCs w:val="24"/>
                <w:lang w:val="uk-UA"/>
              </w:rPr>
              <w:t xml:space="preserve">Гкал</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1773,64</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1961,4</w:t>
            </w:r>
            <w:r/>
          </w:p>
        </w:tc>
        <w:tc>
          <w:tcPr>
            <w:shd w:val="clear" w:color="auto" w:fill="F2F2F2" w:themeFill="background1" w:themeFillShade="F2"/>
            <w:tcBorders>
              <w:bottom w:val="single" w:sz="4" w:space="0" w:color="auto"/>
            </w:tcBorders>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1422,25</w:t>
            </w:r>
            <w:r/>
          </w:p>
        </w:tc>
      </w:tr>
      <w:tr>
        <w:trPr>
          <w:trHeight w:val="494"/>
        </w:trPr>
        <w:tc>
          <w:tcPr>
            <w:gridSpan w:val="5"/>
            <w:shd w:val="clear" w:color="auto" w:fill="00B050" w:themeFill="accent1"/>
            <w:tcW w:w="14313" w:type="dxa"/>
            <w:textDirection w:val="lrTb"/>
            <w:noWrap w:val="false"/>
          </w:tcPr>
          <w:p>
            <w:pPr>
              <w:ind w:right="-1"/>
              <w:jc w:val="center"/>
              <w:spacing w:lineRule="auto" w:line="240" w:after="0"/>
              <w:rPr>
                <w:rFonts w:ascii="Arial" w:hAnsi="Arial" w:cs="Arial"/>
                <w:sz w:val="24"/>
                <w:szCs w:val="24"/>
                <w:lang w:val="uk-UA"/>
              </w:rPr>
            </w:pPr>
            <w:r>
              <w:rPr>
                <w:rFonts w:ascii="Arial" w:hAnsi="Arial" w:cs="Arial"/>
                <w:b/>
                <w:sz w:val="24"/>
                <w:szCs w:val="24"/>
                <w:lang w:val="uk-UA"/>
              </w:rPr>
              <w:t xml:space="preserve">3. Громадське освітлення</w:t>
            </w:r>
            <w:r/>
          </w:p>
        </w:tc>
      </w:tr>
      <w:tr>
        <w:trPr>
          <w:trHeight w:val="494"/>
        </w:trPr>
        <w:tc>
          <w:tcPr>
            <w:shd w:val="clear" w:color="auto" w:fill="auto"/>
            <w:tcBorders>
              <w:bottom w:val="single" w:sz="4" w:space="0" w:color="auto"/>
            </w:tcBorders>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3.1</w:t>
            </w:r>
            <w:r/>
          </w:p>
        </w:tc>
        <w:tc>
          <w:tcPr>
            <w:shd w:val="clear" w:color="auto" w:fill="auto"/>
            <w:tcBorders>
              <w:bottom w:val="single" w:sz="4" w:space="0" w:color="auto"/>
            </w:tcBorders>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Електроенергія, МВт*год.</w:t>
            </w:r>
            <w:r/>
          </w:p>
        </w:tc>
        <w:tc>
          <w:tcPr>
            <w:shd w:val="clear" w:color="auto" w:fill="auto"/>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w:t>
            </w:r>
            <w:r/>
          </w:p>
        </w:tc>
        <w:tc>
          <w:tcPr>
            <w:shd w:val="clear" w:color="auto" w:fill="auto"/>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282</w:t>
            </w:r>
            <w:r/>
          </w:p>
        </w:tc>
        <w:tc>
          <w:tcPr>
            <w:shd w:val="clear" w:color="auto" w:fill="auto"/>
            <w:tcBorders>
              <w:bottom w:val="single" w:sz="4" w:space="0" w:color="auto"/>
            </w:tcBorders>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278</w:t>
            </w:r>
            <w:r/>
          </w:p>
        </w:tc>
      </w:tr>
      <w:tr>
        <w:trPr>
          <w:trHeight w:val="494"/>
        </w:trPr>
        <w:tc>
          <w:tcPr>
            <w:gridSpan w:val="5"/>
            <w:shd w:val="clear" w:color="auto" w:fill="00B050" w:themeFill="accent1"/>
            <w:tcBorders>
              <w:bottom w:val="single" w:sz="4" w:space="0" w:color="auto"/>
            </w:tcBorders>
            <w:tcW w:w="14313" w:type="dxa"/>
            <w:textDirection w:val="lrTb"/>
            <w:noWrap w:val="false"/>
          </w:tcPr>
          <w:p>
            <w:pPr>
              <w:ind w:right="-1"/>
              <w:jc w:val="center"/>
              <w:spacing w:lineRule="auto" w:line="240" w:after="0"/>
              <w:rPr>
                <w:rFonts w:ascii="Arial" w:hAnsi="Arial" w:cs="Arial"/>
                <w:sz w:val="24"/>
                <w:szCs w:val="24"/>
                <w:lang w:val="uk-UA"/>
              </w:rPr>
            </w:pPr>
            <w:r>
              <w:rPr>
                <w:rFonts w:ascii="Arial" w:hAnsi="Arial" w:cs="Arial"/>
                <w:b/>
                <w:sz w:val="24"/>
                <w:szCs w:val="24"/>
                <w:lang w:val="uk-UA"/>
              </w:rPr>
              <w:t xml:space="preserve">4</w:t>
            </w:r>
            <w:r>
              <w:rPr>
                <w:rFonts w:ascii="Arial" w:hAnsi="Arial" w:cs="Arial"/>
                <w:b/>
                <w:sz w:val="24"/>
                <w:szCs w:val="24"/>
                <w:lang w:val="uk-UA"/>
              </w:rPr>
              <w:t xml:space="preserve">. </w:t>
            </w:r>
            <w:r>
              <w:rPr>
                <w:rFonts w:ascii="Arial" w:hAnsi="Arial" w:cs="Arial"/>
                <w:b/>
                <w:sz w:val="24"/>
                <w:szCs w:val="24"/>
                <w:lang w:val="uk-UA"/>
              </w:rPr>
              <w:t xml:space="preserve">Третинний сектор </w:t>
            </w:r>
            <w:r/>
          </w:p>
        </w:tc>
      </w:tr>
      <w:tr>
        <w:trPr>
          <w:trHeight w:val="494"/>
        </w:trPr>
        <w:tc>
          <w:tcPr>
            <w:shd w:val="clear" w:color="auto" w:fill="F2F2F2" w:themeFill="background1" w:themeFillShade="F2"/>
            <w:tcBorders>
              <w:bottom w:val="single" w:sz="4" w:space="0" w:color="auto"/>
            </w:tcBorders>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4.1</w:t>
            </w:r>
            <w:r/>
          </w:p>
        </w:tc>
        <w:tc>
          <w:tcPr>
            <w:shd w:val="clear" w:color="auto" w:fill="F2F2F2" w:themeFill="background1" w:themeFillShade="F2"/>
            <w:tcBorders>
              <w:bottom w:val="single" w:sz="4" w:space="0" w:color="auto"/>
            </w:tcBorders>
            <w:tcW w:w="4356" w:type="dxa"/>
            <w:textDirection w:val="lrTb"/>
            <w:noWrap w:val="false"/>
          </w:tcPr>
          <w:p>
            <w:pPr>
              <w:ind w:right="-1"/>
              <w:jc w:val="center"/>
              <w:spacing w:lineRule="auto" w:line="240" w:after="0"/>
              <w:rPr>
                <w:rFonts w:ascii="Arial" w:hAnsi="Arial" w:cs="Arial"/>
                <w:sz w:val="24"/>
                <w:szCs w:val="24"/>
                <w:vertAlign w:val="superscript"/>
                <w:lang w:val="uk-UA"/>
              </w:rPr>
            </w:pPr>
            <w:r>
              <w:rPr>
                <w:rFonts w:ascii="Arial" w:hAnsi="Arial" w:cs="Arial"/>
                <w:sz w:val="24"/>
                <w:szCs w:val="24"/>
                <w:lang w:val="uk-UA"/>
              </w:rPr>
              <w:t xml:space="preserve">Природний газ, тис. м</w:t>
            </w:r>
            <w:r>
              <w:rPr>
                <w:rFonts w:ascii="Arial" w:hAnsi="Arial" w:cs="Arial"/>
                <w:sz w:val="24"/>
                <w:szCs w:val="24"/>
                <w:vertAlign w:val="superscript"/>
                <w:lang w:val="uk-UA"/>
              </w:rPr>
              <w:t xml:space="preserve">3</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w:t>
            </w:r>
            <w:r/>
          </w:p>
        </w:tc>
        <w:tc>
          <w:tcPr>
            <w:shd w:val="clear" w:color="auto" w:fill="F2F2F2" w:themeFill="background1" w:themeFillShade="F2"/>
            <w:tcBorders>
              <w:bottom w:val="single" w:sz="4" w:space="0" w:color="auto"/>
            </w:tcBorders>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58,392</w:t>
            </w:r>
            <w:r/>
          </w:p>
        </w:tc>
        <w:tc>
          <w:tcPr>
            <w:shd w:val="clear" w:color="auto" w:fill="F2F2F2" w:themeFill="background1" w:themeFillShade="F2"/>
            <w:tcBorders>
              <w:bottom w:val="single" w:sz="4" w:space="0" w:color="auto"/>
            </w:tcBorders>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47,103</w:t>
            </w:r>
            <w:r/>
          </w:p>
        </w:tc>
      </w:tr>
      <w:tr>
        <w:trPr>
          <w:trHeight w:val="494"/>
        </w:trPr>
        <w:tc>
          <w:tcPr>
            <w:shd w:val="clear" w:color="auto" w:fill="auto"/>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4.2</w:t>
            </w:r>
            <w:r/>
          </w:p>
        </w:tc>
        <w:tc>
          <w:tcPr>
            <w:shd w:val="clear" w:color="auto" w:fill="auto"/>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Електроенергія, МВт*год.</w:t>
            </w:r>
            <w:r/>
          </w:p>
        </w:tc>
        <w:tc>
          <w:tcPr>
            <w:shd w:val="clear" w:color="auto" w:fill="auto"/>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2272</w:t>
            </w:r>
            <w:r/>
          </w:p>
        </w:tc>
        <w:tc>
          <w:tcPr>
            <w:shd w:val="clear" w:color="auto" w:fill="auto"/>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2267</w:t>
            </w:r>
            <w:r/>
          </w:p>
        </w:tc>
        <w:tc>
          <w:tcPr>
            <w:shd w:val="clear" w:color="auto" w:fill="auto"/>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2268</w:t>
            </w:r>
            <w:r/>
          </w:p>
        </w:tc>
      </w:tr>
      <w:tr>
        <w:trPr>
          <w:trHeight w:val="494"/>
        </w:trPr>
        <w:tc>
          <w:tcPr>
            <w:shd w:val="clear" w:color="auto" w:fill="F2F2F2" w:themeFill="background1" w:themeFillShade="F2"/>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4.3</w:t>
            </w:r>
            <w:r/>
          </w:p>
        </w:tc>
        <w:tc>
          <w:tcPr>
            <w:shd w:val="clear" w:color="auto" w:fill="F2F2F2" w:themeFill="background1" w:themeFillShade="F2"/>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Теплова енергія, </w:t>
            </w:r>
            <w:r>
              <w:rPr>
                <w:rFonts w:ascii="Arial" w:hAnsi="Arial" w:cs="Arial"/>
                <w:sz w:val="24"/>
                <w:szCs w:val="24"/>
                <w:lang w:val="uk-UA"/>
              </w:rPr>
              <w:t xml:space="preserve">Гкал</w:t>
            </w:r>
            <w:r/>
          </w:p>
        </w:tc>
        <w:tc>
          <w:tcPr>
            <w:shd w:val="clear" w:color="auto" w:fill="F2F2F2" w:themeFill="background1" w:themeFillShade="F2"/>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482,81</w:t>
            </w:r>
            <w:r/>
          </w:p>
        </w:tc>
        <w:tc>
          <w:tcPr>
            <w:shd w:val="clear" w:color="auto" w:fill="F2F2F2" w:themeFill="background1" w:themeFillShade="F2"/>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639,42</w:t>
            </w:r>
            <w:r/>
          </w:p>
        </w:tc>
        <w:tc>
          <w:tcPr>
            <w:shd w:val="clear" w:color="auto" w:fill="F2F2F2" w:themeFill="background1" w:themeFillShade="F2"/>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399,54</w:t>
            </w:r>
            <w:r/>
          </w:p>
        </w:tc>
      </w:tr>
      <w:tr>
        <w:trPr>
          <w:trHeight w:val="494"/>
        </w:trPr>
        <w:tc>
          <w:tcPr>
            <w:gridSpan w:val="5"/>
            <w:shd w:val="clear" w:color="auto" w:fill="00B050" w:themeFill="accent1"/>
            <w:tcW w:w="14313"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5. Інші споживачі</w:t>
            </w:r>
            <w:r/>
          </w:p>
        </w:tc>
      </w:tr>
      <w:tr>
        <w:trPr>
          <w:trHeight w:val="494"/>
        </w:trPr>
        <w:tc>
          <w:tcPr>
            <w:shd w:val="clear" w:color="auto" w:fill="F2F2F2" w:themeFill="background1" w:themeFillShade="F2"/>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5.1</w:t>
            </w:r>
            <w:r/>
          </w:p>
        </w:tc>
        <w:tc>
          <w:tcPr>
            <w:shd w:val="clear" w:color="auto" w:fill="F2F2F2" w:themeFill="background1" w:themeFillShade="F2"/>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Природний газ, тис. м</w:t>
            </w:r>
            <w:r>
              <w:rPr>
                <w:rFonts w:ascii="Arial" w:hAnsi="Arial" w:cs="Arial"/>
                <w:sz w:val="24"/>
                <w:szCs w:val="24"/>
                <w:vertAlign w:val="superscript"/>
                <w:lang w:val="uk-UA"/>
              </w:rPr>
              <w:t xml:space="preserve">3</w:t>
            </w:r>
            <w:r/>
          </w:p>
        </w:tc>
        <w:tc>
          <w:tcPr>
            <w:shd w:val="clear" w:color="auto" w:fill="F2F2F2" w:themeFill="background1" w:themeFillShade="F2"/>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w:t>
            </w:r>
            <w:r/>
          </w:p>
        </w:tc>
        <w:tc>
          <w:tcPr>
            <w:shd w:val="clear" w:color="auto" w:fill="F2F2F2" w:themeFill="background1" w:themeFillShade="F2"/>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1064,263</w:t>
            </w:r>
            <w:r/>
          </w:p>
        </w:tc>
        <w:tc>
          <w:tcPr>
            <w:shd w:val="clear" w:color="auto" w:fill="F2F2F2" w:themeFill="background1" w:themeFillShade="F2"/>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619,776</w:t>
            </w:r>
            <w:r/>
          </w:p>
        </w:tc>
      </w:tr>
      <w:tr>
        <w:trPr>
          <w:trHeight w:val="494"/>
        </w:trPr>
        <w:tc>
          <w:tcPr>
            <w:shd w:val="clear" w:color="auto" w:fill="FFFFFF" w:themeFill="background1"/>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5.2</w:t>
            </w:r>
            <w:r/>
          </w:p>
        </w:tc>
        <w:tc>
          <w:tcPr>
            <w:shd w:val="clear" w:color="auto" w:fill="FFFFFF" w:themeFill="background1"/>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Електроенергія, МВт*год.</w:t>
            </w:r>
            <w:r/>
          </w:p>
        </w:tc>
        <w:tc>
          <w:tcPr>
            <w:shd w:val="clear" w:color="auto" w:fill="FFFFFF" w:themeFill="background1"/>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2270</w:t>
            </w:r>
            <w:r/>
          </w:p>
        </w:tc>
        <w:tc>
          <w:tcPr>
            <w:shd w:val="clear" w:color="auto" w:fill="FFFFFF" w:themeFill="background1"/>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2270</w:t>
            </w:r>
            <w:r/>
          </w:p>
        </w:tc>
        <w:tc>
          <w:tcPr>
            <w:shd w:val="clear" w:color="auto" w:fill="FFFFFF" w:themeFill="background1"/>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2269</w:t>
            </w:r>
            <w:r/>
          </w:p>
        </w:tc>
      </w:tr>
      <w:tr>
        <w:trPr>
          <w:trHeight w:val="494"/>
        </w:trPr>
        <w:tc>
          <w:tcPr>
            <w:gridSpan w:val="5"/>
            <w:shd w:val="clear" w:color="auto" w:fill="00B050" w:themeFill="accent1"/>
            <w:tcW w:w="14313"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6. Промисловість</w:t>
            </w:r>
            <w:r/>
          </w:p>
        </w:tc>
      </w:tr>
      <w:tr>
        <w:trPr>
          <w:trHeight w:val="494"/>
        </w:trPr>
        <w:tc>
          <w:tcPr>
            <w:shd w:val="clear" w:color="auto" w:fill="F2F2F2" w:themeFill="background1" w:themeFillShade="F2"/>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6.1</w:t>
            </w:r>
            <w:r/>
          </w:p>
        </w:tc>
        <w:tc>
          <w:tcPr>
            <w:shd w:val="clear" w:color="auto" w:fill="F2F2F2" w:themeFill="background1" w:themeFillShade="F2"/>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Природний газ, тис. м</w:t>
            </w:r>
            <w:r>
              <w:rPr>
                <w:rFonts w:ascii="Arial" w:hAnsi="Arial" w:cs="Arial"/>
                <w:sz w:val="24"/>
                <w:szCs w:val="24"/>
                <w:vertAlign w:val="superscript"/>
                <w:lang w:val="uk-UA"/>
              </w:rPr>
              <w:t xml:space="preserve">3</w:t>
            </w:r>
            <w:r/>
          </w:p>
        </w:tc>
        <w:tc>
          <w:tcPr>
            <w:shd w:val="clear" w:color="auto" w:fill="F2F2F2" w:themeFill="background1" w:themeFillShade="F2"/>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w:t>
            </w:r>
            <w:r/>
          </w:p>
        </w:tc>
        <w:tc>
          <w:tcPr>
            <w:shd w:val="clear" w:color="auto" w:fill="F2F2F2" w:themeFill="background1" w:themeFillShade="F2"/>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4094,1</w:t>
            </w:r>
            <w:r/>
          </w:p>
        </w:tc>
        <w:tc>
          <w:tcPr>
            <w:shd w:val="clear" w:color="auto" w:fill="F2F2F2" w:themeFill="background1" w:themeFillShade="F2"/>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3483,942</w:t>
            </w:r>
            <w:r/>
          </w:p>
        </w:tc>
      </w:tr>
      <w:tr>
        <w:trPr>
          <w:trHeight w:val="494"/>
        </w:trPr>
        <w:tc>
          <w:tcPr>
            <w:shd w:val="clear" w:color="auto" w:fill="FFFFFF" w:themeFill="background1"/>
            <w:tcW w:w="132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6.2</w:t>
            </w:r>
            <w:r/>
          </w:p>
        </w:tc>
        <w:tc>
          <w:tcPr>
            <w:shd w:val="clear" w:color="auto" w:fill="FFFFFF" w:themeFill="background1"/>
            <w:tcW w:w="4356"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Електроенергія, МВт*год.</w:t>
            </w:r>
            <w:r/>
          </w:p>
        </w:tc>
        <w:tc>
          <w:tcPr>
            <w:shd w:val="clear" w:color="auto" w:fill="FFFFFF" w:themeFill="background1"/>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8001</w:t>
            </w:r>
            <w:r/>
          </w:p>
        </w:tc>
        <w:tc>
          <w:tcPr>
            <w:shd w:val="clear" w:color="auto" w:fill="FFFFFF" w:themeFill="background1"/>
            <w:tcW w:w="3000"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7997</w:t>
            </w:r>
            <w:r/>
          </w:p>
        </w:tc>
        <w:tc>
          <w:tcPr>
            <w:shd w:val="clear" w:color="auto" w:fill="FFFFFF" w:themeFill="background1"/>
            <w:tcW w:w="2637"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8015</w:t>
            </w:r>
            <w:r/>
          </w:p>
        </w:tc>
      </w:tr>
    </w:tbl>
    <w:p>
      <w:pPr>
        <w:ind w:right="-1"/>
        <w:spacing w:lineRule="auto" w:line="240" w:after="0"/>
        <w:rPr>
          <w:rFonts w:ascii="Arial" w:hAnsi="Arial" w:cs="Arial"/>
          <w:b/>
          <w:i/>
          <w:sz w:val="24"/>
          <w:szCs w:val="24"/>
          <w:lang w:val="uk-UA" w:eastAsia="ru-RU"/>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i/>
          <w:sz w:val="24"/>
          <w:szCs w:val="24"/>
          <w:lang w:val="uk-UA" w:eastAsia="ru-RU"/>
        </w:rPr>
      </w:r>
      <w:r/>
    </w:p>
    <w:p>
      <w:pPr>
        <w:pStyle w:val="557"/>
        <w:ind w:left="284" w:right="-1"/>
        <w:jc w:val="right"/>
        <w:spacing w:lineRule="auto" w:line="240" w:after="0"/>
        <w:rPr>
          <w:rFonts w:ascii="Arial" w:hAnsi="Arial" w:cs="Arial"/>
          <w:sz w:val="20"/>
          <w:szCs w:val="20"/>
          <w:lang w:val="uk-UA"/>
        </w:rPr>
        <w:sectPr>
          <w:footnotePr/>
          <w:type w:val="continuous"/>
          <w:pgSz w:w="16838" w:h="11906" w:orient="landscape"/>
          <w:pgMar w:top="1134" w:right="1134" w:bottom="851" w:left="1418" w:header="709" w:footer="709"/>
          <w:cols w:num="2" w:sep="0" w:space="708" w:equalWidth="0">
            <w:col w:w="6789" w:space="708"/>
            <w:col w:w="6789" w:space="0"/>
          </w:cols>
          <w:docGrid w:linePitch="360"/>
          <w:titlePg/>
        </w:sectPr>
      </w:pPr>
      <w:r>
        <w:rPr>
          <w:rFonts w:ascii="Arial" w:hAnsi="Arial" w:cs="Arial"/>
          <w:sz w:val="20"/>
          <w:szCs w:val="20"/>
          <w:lang w:val="uk-UA"/>
        </w:rPr>
      </w:r>
      <w:r/>
    </w:p>
    <w:tbl>
      <w:tblPr>
        <w:tblpPr w:horzAnchor="page" w:tblpX="11557" w:vertAnchor="text" w:tblpY="17" w:leftFromText="180" w:topFromText="0" w:rightFromText="180" w:bottomFromText="0"/>
        <w:tblW w:w="4567"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0A0" w:firstRow="1" w:lastRow="0" w:firstColumn="1" w:lastColumn="0" w:noHBand="0" w:noVBand="0"/>
      </w:tblPr>
      <w:tblGrid>
        <w:gridCol w:w="2834"/>
        <w:gridCol w:w="1733"/>
      </w:tblGrid>
      <w:tr>
        <w:trPr>
          <w:trHeight w:val="835"/>
        </w:trPr>
        <w:tc>
          <w:tcPr>
            <w:shd w:val="clear" w:color="auto" w:fill="00B050" w:themeFill="accent1"/>
            <w:tcW w:w="2834"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Назва ресурсу</w:t>
            </w:r>
            <w:r/>
          </w:p>
        </w:tc>
        <w:tc>
          <w:tcPr>
            <w:shd w:val="clear" w:color="auto" w:fill="00B050" w:themeFill="accent1"/>
            <w:tcW w:w="1733"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МВт*</w:t>
            </w:r>
            <w:r>
              <w:rPr>
                <w:rFonts w:ascii="Arial" w:hAnsi="Arial" w:cs="Arial"/>
                <w:b/>
                <w:sz w:val="24"/>
                <w:szCs w:val="24"/>
                <w:lang w:val="uk-UA" w:eastAsia="ru-RU"/>
              </w:rPr>
              <w:t xml:space="preserve">год</w:t>
            </w:r>
            <w:r/>
          </w:p>
        </w:tc>
      </w:tr>
      <w:tr>
        <w:trPr>
          <w:trHeight w:val="573"/>
        </w:trPr>
        <w:tc>
          <w:tcPr>
            <w:shd w:val="clear" w:color="auto" w:fill="FFFFFF"/>
            <w:tcW w:w="2834"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Електроенергія</w:t>
            </w:r>
            <w:r/>
          </w:p>
        </w:tc>
        <w:tc>
          <w:tcPr>
            <w:shd w:val="clear" w:color="auto" w:fill="FFFFFF"/>
            <w:tcW w:w="1733" w:type="dxa"/>
            <w:vAlign w:val="center"/>
            <w:textDirection w:val="lrTb"/>
            <w:noWrap w:val="false"/>
          </w:tcPr>
          <w:p>
            <w:pPr>
              <w:ind w:right="-1"/>
              <w:spacing w:lineRule="auto" w:line="240" w:after="0"/>
              <w:rPr>
                <w:rFonts w:ascii="Arial" w:hAnsi="Arial" w:cs="Arial"/>
                <w:sz w:val="24"/>
                <w:szCs w:val="24"/>
                <w:lang w:val="uk-UA" w:eastAsia="ru-RU"/>
              </w:rPr>
            </w:pPr>
            <w:r>
              <w:rPr>
                <w:rFonts w:ascii="Arial" w:hAnsi="Arial" w:cs="Arial"/>
                <w:sz w:val="24"/>
                <w:szCs w:val="24"/>
                <w:lang w:val="uk-UA" w:eastAsia="ru-RU"/>
              </w:rPr>
              <w:t xml:space="preserve">21 421</w:t>
            </w:r>
            <w:r/>
          </w:p>
        </w:tc>
      </w:tr>
      <w:tr>
        <w:trPr>
          <w:trHeight w:val="527"/>
        </w:trPr>
        <w:tc>
          <w:tcPr>
            <w:shd w:val="clear" w:color="auto" w:fill="FFFFFF"/>
            <w:tcW w:w="2834"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Природний газ</w:t>
            </w:r>
            <w:r/>
          </w:p>
        </w:tc>
        <w:tc>
          <w:tcPr>
            <w:shd w:val="clear" w:color="auto" w:fill="FFFFFF"/>
            <w:tcW w:w="1733" w:type="dxa"/>
            <w:vAlign w:val="center"/>
            <w:textDirection w:val="lrTb"/>
            <w:noWrap w:val="false"/>
          </w:tcPr>
          <w:p>
            <w:pPr>
              <w:ind w:right="-1"/>
              <w:spacing w:lineRule="auto" w:line="240" w:after="0"/>
              <w:rPr>
                <w:rFonts w:ascii="Arial" w:hAnsi="Arial" w:cs="Arial"/>
                <w:sz w:val="24"/>
                <w:szCs w:val="24"/>
                <w:lang w:val="uk-UA" w:eastAsia="ru-RU"/>
              </w:rPr>
            </w:pPr>
            <w:r>
              <w:rPr>
                <w:rFonts w:ascii="Arial" w:hAnsi="Arial" w:cs="Arial"/>
                <w:sz w:val="24"/>
                <w:szCs w:val="24"/>
                <w:lang w:val="uk-UA" w:eastAsia="ru-RU"/>
              </w:rPr>
              <w:t xml:space="preserve">94 740</w:t>
            </w:r>
            <w:r/>
          </w:p>
        </w:tc>
      </w:tr>
      <w:tr>
        <w:trPr>
          <w:trHeight w:val="527"/>
        </w:trPr>
        <w:tc>
          <w:tcPr>
            <w:shd w:val="clear" w:color="auto" w:fill="FFFFFF"/>
            <w:tcW w:w="2834"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Теплоенергія</w:t>
            </w:r>
            <w:r/>
          </w:p>
        </w:tc>
        <w:tc>
          <w:tcPr>
            <w:shd w:val="clear" w:color="auto" w:fill="FFFFFF"/>
            <w:tcW w:w="1733" w:type="dxa"/>
            <w:vAlign w:val="center"/>
            <w:textDirection w:val="lrTb"/>
            <w:noWrap w:val="false"/>
          </w:tcPr>
          <w:p>
            <w:pPr>
              <w:ind w:right="-1"/>
              <w:spacing w:lineRule="auto" w:line="240" w:after="0"/>
              <w:rPr>
                <w:rFonts w:ascii="Arial" w:hAnsi="Arial" w:cs="Arial"/>
                <w:sz w:val="24"/>
                <w:szCs w:val="24"/>
                <w:lang w:val="uk-UA" w:eastAsia="ru-RU"/>
              </w:rPr>
            </w:pPr>
            <w:r>
              <w:rPr>
                <w:rFonts w:ascii="Arial" w:hAnsi="Arial" w:cs="Arial"/>
                <w:sz w:val="24"/>
                <w:szCs w:val="24"/>
                <w:lang w:val="uk-UA" w:eastAsia="ru-RU"/>
              </w:rPr>
              <w:t xml:space="preserve">4 496</w:t>
            </w:r>
            <w:r/>
          </w:p>
        </w:tc>
      </w:tr>
      <w:tr>
        <w:trPr>
          <w:trHeight w:val="527"/>
        </w:trPr>
        <w:tc>
          <w:tcPr>
            <w:shd w:val="clear" w:color="auto" w:fill="FFFFFF"/>
            <w:tcW w:w="2834"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Біопаливо</w:t>
            </w:r>
            <w:r/>
          </w:p>
        </w:tc>
        <w:tc>
          <w:tcPr>
            <w:shd w:val="clear" w:color="auto" w:fill="FFFFFF"/>
            <w:tcW w:w="1733" w:type="dxa"/>
            <w:vAlign w:val="center"/>
            <w:textDirection w:val="lrTb"/>
            <w:noWrap w:val="false"/>
          </w:tcPr>
          <w:p>
            <w:pPr>
              <w:ind w:right="-1"/>
              <w:spacing w:lineRule="auto" w:line="240" w:after="0"/>
              <w:rPr>
                <w:rFonts w:ascii="Arial" w:hAnsi="Arial" w:cs="Arial"/>
                <w:sz w:val="24"/>
                <w:szCs w:val="24"/>
                <w:lang w:val="uk-UA" w:eastAsia="ru-RU"/>
              </w:rPr>
            </w:pPr>
            <w:r>
              <w:rPr>
                <w:rFonts w:ascii="Arial" w:hAnsi="Arial" w:cs="Arial"/>
                <w:sz w:val="24"/>
                <w:szCs w:val="24"/>
                <w:lang w:val="uk-UA" w:eastAsia="ru-RU"/>
              </w:rPr>
              <w:t xml:space="preserve">4 744</w:t>
            </w:r>
            <w:r/>
          </w:p>
        </w:tc>
      </w:tr>
      <w:tr>
        <w:trPr>
          <w:trHeight w:val="527"/>
        </w:trPr>
        <w:tc>
          <w:tcPr>
            <w:shd w:val="clear" w:color="auto" w:fill="FFFFFF"/>
            <w:tcW w:w="2834"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Вугілля</w:t>
            </w:r>
            <w:r/>
          </w:p>
        </w:tc>
        <w:tc>
          <w:tcPr>
            <w:shd w:val="clear" w:color="auto" w:fill="FFFFFF"/>
            <w:tcW w:w="1733" w:type="dxa"/>
            <w:vAlign w:val="center"/>
            <w:textDirection w:val="lrTb"/>
            <w:noWrap w:val="false"/>
          </w:tcPr>
          <w:p>
            <w:pPr>
              <w:ind w:right="-1"/>
              <w:spacing w:lineRule="auto" w:line="240" w:after="0"/>
              <w:rPr>
                <w:rFonts w:ascii="Arial" w:hAnsi="Arial" w:cs="Arial"/>
                <w:sz w:val="24"/>
                <w:szCs w:val="24"/>
                <w:lang w:val="uk-UA" w:eastAsia="ru-RU"/>
              </w:rPr>
            </w:pPr>
            <w:r>
              <w:rPr>
                <w:rFonts w:ascii="Arial" w:hAnsi="Arial" w:cs="Arial"/>
                <w:sz w:val="24"/>
                <w:szCs w:val="24"/>
                <w:lang w:val="uk-UA" w:eastAsia="ru-RU"/>
              </w:rPr>
              <w:t xml:space="preserve">2 234</w:t>
            </w:r>
            <w:r/>
          </w:p>
        </w:tc>
      </w:tr>
      <w:tr>
        <w:trPr>
          <w:trHeight w:val="573"/>
        </w:trPr>
        <w:tc>
          <w:tcPr>
            <w:shd w:val="clear" w:color="auto" w:fill="FFFFFF"/>
            <w:tcW w:w="2834"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Зріджений газ</w:t>
            </w:r>
            <w:r/>
          </w:p>
        </w:tc>
        <w:tc>
          <w:tcPr>
            <w:shd w:val="clear" w:color="auto" w:fill="FFFFFF"/>
            <w:tcW w:w="1733" w:type="dxa"/>
            <w:vAlign w:val="center"/>
            <w:textDirection w:val="lrTb"/>
            <w:noWrap w:val="false"/>
          </w:tcPr>
          <w:p>
            <w:pPr>
              <w:ind w:right="-1"/>
              <w:spacing w:lineRule="auto" w:line="240" w:after="0"/>
              <w:rPr>
                <w:rFonts w:ascii="Arial" w:hAnsi="Arial" w:cs="Arial"/>
                <w:sz w:val="24"/>
                <w:szCs w:val="24"/>
                <w:lang w:val="uk-UA" w:eastAsia="ru-RU"/>
              </w:rPr>
            </w:pPr>
            <w:r>
              <w:rPr>
                <w:rFonts w:ascii="Arial" w:hAnsi="Arial" w:cs="Arial"/>
                <w:sz w:val="24"/>
                <w:szCs w:val="24"/>
                <w:lang w:val="uk-UA" w:eastAsia="ru-RU"/>
              </w:rPr>
              <w:t xml:space="preserve">5 209</w:t>
            </w:r>
            <w:r/>
          </w:p>
        </w:tc>
      </w:tr>
      <w:tr>
        <w:trPr>
          <w:trHeight w:val="527"/>
        </w:trPr>
        <w:tc>
          <w:tcPr>
            <w:shd w:val="clear" w:color="auto" w:fill="FFFFFF"/>
            <w:tcW w:w="2834"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Газойлі</w:t>
            </w:r>
            <w:r/>
          </w:p>
        </w:tc>
        <w:tc>
          <w:tcPr>
            <w:shd w:val="clear" w:color="auto" w:fill="FFFFFF"/>
            <w:tcW w:w="1733" w:type="dxa"/>
            <w:vAlign w:val="center"/>
            <w:textDirection w:val="lrTb"/>
            <w:noWrap w:val="false"/>
          </w:tcPr>
          <w:p>
            <w:pPr>
              <w:ind w:right="-1"/>
              <w:spacing w:lineRule="auto" w:line="240" w:after="0"/>
              <w:rPr>
                <w:rFonts w:ascii="Arial" w:hAnsi="Arial" w:cs="Arial"/>
                <w:sz w:val="24"/>
                <w:szCs w:val="24"/>
                <w:lang w:val="uk-UA" w:eastAsia="ru-RU"/>
              </w:rPr>
            </w:pPr>
            <w:r>
              <w:rPr>
                <w:rFonts w:ascii="Arial" w:hAnsi="Arial" w:cs="Arial"/>
                <w:sz w:val="24"/>
                <w:szCs w:val="24"/>
                <w:lang w:val="uk-UA" w:eastAsia="ru-RU"/>
              </w:rPr>
              <w:t xml:space="preserve">3 145</w:t>
            </w:r>
            <w:r/>
          </w:p>
        </w:tc>
      </w:tr>
      <w:tr>
        <w:trPr>
          <w:trHeight w:val="573"/>
        </w:trPr>
        <w:tc>
          <w:tcPr>
            <w:shd w:val="clear" w:color="auto" w:fill="FFFFFF"/>
            <w:tcW w:w="2834" w:type="dxa"/>
            <w:vAlign w:val="center"/>
            <w:textDirection w:val="lrTb"/>
            <w:noWrap w:val="false"/>
          </w:tcPr>
          <w:p>
            <w:pPr>
              <w:ind w:right="-1"/>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Бензин</w:t>
            </w:r>
            <w:r/>
          </w:p>
        </w:tc>
        <w:tc>
          <w:tcPr>
            <w:shd w:val="clear" w:color="auto" w:fill="FFFFFF"/>
            <w:tcW w:w="1733" w:type="dxa"/>
            <w:vAlign w:val="center"/>
            <w:textDirection w:val="lrTb"/>
            <w:noWrap w:val="false"/>
          </w:tcPr>
          <w:p>
            <w:pPr>
              <w:ind w:right="-1"/>
              <w:spacing w:lineRule="auto" w:line="240" w:after="0"/>
              <w:rPr>
                <w:rFonts w:ascii="Arial" w:hAnsi="Arial" w:cs="Arial"/>
                <w:sz w:val="24"/>
                <w:szCs w:val="24"/>
                <w:lang w:val="uk-UA" w:eastAsia="ru-RU"/>
              </w:rPr>
            </w:pPr>
            <w:r>
              <w:rPr>
                <w:rFonts w:ascii="Arial" w:hAnsi="Arial" w:cs="Arial"/>
                <w:sz w:val="24"/>
                <w:szCs w:val="24"/>
                <w:lang w:val="uk-UA" w:eastAsia="ru-RU"/>
              </w:rPr>
              <w:t xml:space="preserve">4 298</w:t>
            </w:r>
            <w:r/>
          </w:p>
        </w:tc>
      </w:tr>
    </w:tbl>
    <w:p>
      <w:pPr>
        <w:ind w:right="-1"/>
        <w:spacing w:lineRule="auto" w:line="240" w:after="0"/>
        <w:rPr>
          <w:rFonts w:ascii="Arial" w:hAnsi="Arial" w:cs="Arial"/>
          <w:b/>
          <w:i/>
          <w:sz w:val="24"/>
          <w:szCs w:val="24"/>
          <w:lang w:val="uk-UA" w:eastAsia="ru-RU"/>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sz w:val="20"/>
          <w:szCs w:val="20"/>
          <w:lang w:val="uk-UA" w:eastAsia="uk-UA"/>
        </w:rPr>
        <w:drawing>
          <wp:inline distT="0" distB="0" distL="0" distR="0">
            <wp:extent cx="6042660" cy="3322320"/>
            <wp:effectExtent l="0" t="0" r="15240" b="11430"/>
            <wp:docPr id="27" name="Диаграмма 57"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sz w:val="24"/>
          <w:szCs w:val="24"/>
          <w:lang w:val="uk-UA" w:eastAsia="uk-UA"/>
        </w:rPr>
        <w:drawing>
          <wp:inline distT="0" distB="0" distL="0" distR="0">
            <wp:extent cx="9273540" cy="2552700"/>
            <wp:effectExtent l="0" t="0" r="3810" b="0"/>
            <wp:docPr id="28" name="Диаграмма 19"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sz w:val="24"/>
          <w:szCs w:val="24"/>
          <w:lang w:val="uk-UA"/>
        </w:rPr>
      </w:r>
      <w:r/>
    </w:p>
    <w:p>
      <w:pPr>
        <w:ind w:right="-1" w:firstLine="708"/>
        <w:spacing w:lineRule="auto" w:line="240" w:after="0"/>
        <w:rPr>
          <w:rFonts w:ascii="Arial" w:hAnsi="Arial" w:cs="Arial"/>
          <w:b/>
          <w:sz w:val="24"/>
          <w:szCs w:val="24"/>
          <w:lang w:val="uk-UA"/>
        </w:rPr>
      </w:pPr>
      <w:r>
        <w:rPr>
          <w:rFonts w:ascii="Arial" w:hAnsi="Arial" w:cs="Arial"/>
          <w:b/>
          <w:sz w:val="24"/>
          <w:szCs w:val="24"/>
          <w:lang w:val="uk-UA"/>
        </w:rPr>
        <w:t xml:space="preserve">3.5. Обґрунтування розрахунків </w:t>
      </w:r>
      <w:r/>
    </w:p>
    <w:p>
      <w:pPr>
        <w:ind w:right="-1" w:firstLine="708"/>
        <w:jc w:val="both"/>
        <w:spacing w:lineRule="auto" w:line="240" w:after="0"/>
        <w:rPr>
          <w:rFonts w:ascii="Arial" w:hAnsi="Arial" w:cs="Arial"/>
          <w:b/>
          <w:i/>
          <w:sz w:val="24"/>
          <w:szCs w:val="24"/>
          <w:u w:val="single"/>
          <w:lang w:val="uk-UA"/>
        </w:rPr>
      </w:pPr>
      <w:r>
        <w:rPr>
          <w:rFonts w:ascii="Arial" w:hAnsi="Arial" w:cs="Arial"/>
          <w:b/>
          <w:i/>
          <w:sz w:val="24"/>
          <w:szCs w:val="24"/>
          <w:u w:val="single"/>
          <w:lang w:val="uk-UA"/>
        </w:rPr>
      </w:r>
      <w:r/>
    </w:p>
    <w:p>
      <w:pPr>
        <w:ind w:right="-1" w:firstLine="708"/>
        <w:jc w:val="both"/>
        <w:spacing w:lineRule="auto" w:line="240" w:after="0"/>
        <w:rPr>
          <w:rFonts w:ascii="Arial" w:hAnsi="Arial" w:cs="Arial"/>
          <w:sz w:val="24"/>
          <w:szCs w:val="24"/>
          <w:lang w:val="uk-UA"/>
        </w:rPr>
      </w:pPr>
      <w:r>
        <w:rPr>
          <w:rFonts w:ascii="Arial" w:hAnsi="Arial" w:cs="Arial"/>
          <w:b/>
          <w:i/>
          <w:sz w:val="24"/>
          <w:szCs w:val="24"/>
          <w:u w:val="single"/>
          <w:lang w:val="uk-UA"/>
        </w:rPr>
        <w:t xml:space="preserve">Розрахунки показників</w:t>
      </w:r>
      <w:r>
        <w:rPr>
          <w:rFonts w:ascii="Arial" w:hAnsi="Arial" w:cs="Arial"/>
          <w:sz w:val="24"/>
          <w:szCs w:val="24"/>
          <w:lang w:val="uk-UA"/>
        </w:rPr>
        <w:t xml:space="preserve">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по громаді</w:t>
      </w:r>
      <w:r>
        <w:rPr>
          <w:rFonts w:ascii="Arial" w:hAnsi="Arial" w:cs="Arial"/>
          <w:sz w:val="24"/>
          <w:szCs w:val="24"/>
          <w:lang w:val="uk-UA"/>
        </w:rPr>
        <w:t xml:space="preserve"> враховували секторальне використання енергоресурсів.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Інформація, отримана від муніципалітету міста </w:t>
      </w:r>
      <w:r>
        <w:rPr>
          <w:rFonts w:ascii="Arial" w:hAnsi="Arial" w:cs="Arial"/>
          <w:sz w:val="24"/>
          <w:szCs w:val="24"/>
          <w:lang w:val="uk-UA"/>
        </w:rPr>
        <w:t xml:space="preserve">Мена за період з 2017</w:t>
      </w:r>
      <w:r>
        <w:rPr>
          <w:rFonts w:ascii="Arial" w:hAnsi="Arial" w:cs="Arial"/>
          <w:sz w:val="24"/>
          <w:szCs w:val="24"/>
          <w:lang w:val="uk-UA"/>
        </w:rPr>
        <w:t xml:space="preserve"> по 20</w:t>
      </w:r>
      <w:r>
        <w:rPr>
          <w:rFonts w:ascii="Arial" w:hAnsi="Arial" w:cs="Arial"/>
          <w:sz w:val="24"/>
          <w:szCs w:val="24"/>
          <w:lang w:val="uk-UA"/>
        </w:rPr>
        <w:t xml:space="preserve">19</w:t>
      </w:r>
      <w:r>
        <w:rPr>
          <w:rFonts w:ascii="Arial" w:hAnsi="Arial" w:cs="Arial"/>
          <w:sz w:val="24"/>
          <w:szCs w:val="24"/>
          <w:lang w:val="uk-UA"/>
        </w:rPr>
        <w:t xml:space="preserve"> рр. включно послугувала за основу при написання цього плану.</w:t>
      </w:r>
      <w:r/>
    </w:p>
    <w:p>
      <w:pPr>
        <w:pStyle w:val="544"/>
        <w:ind w:firstLine="708"/>
        <w:jc w:val="both"/>
        <w:rPr>
          <w:rFonts w:ascii="Arial" w:hAnsi="Arial" w:cs="Arial"/>
          <w:lang w:val="uk-UA"/>
        </w:rPr>
      </w:pPr>
      <w:r>
        <w:rPr>
          <w:rFonts w:ascii="Arial" w:hAnsi="Arial" w:cs="Arial"/>
          <w:lang w:val="uk-UA"/>
        </w:rPr>
        <w:t xml:space="preserve">З метою визначення пріоритетних дій та заходів, направлених на зниження викидів СО</w:t>
      </w:r>
      <w:r>
        <w:rPr>
          <w:rFonts w:ascii="Arial" w:hAnsi="Arial" w:cs="Arial"/>
          <w:vertAlign w:val="subscript"/>
          <w:lang w:val="uk-UA"/>
        </w:rPr>
        <w:t xml:space="preserve">2</w:t>
      </w:r>
      <w:r>
        <w:rPr>
          <w:rFonts w:ascii="Arial" w:hAnsi="Arial" w:cs="Arial"/>
          <w:lang w:val="uk-UA"/>
        </w:rPr>
        <w:t xml:space="preserve">, необхідно врахувати місцеві умови та майбутні перспективи ро</w:t>
      </w:r>
      <w:r>
        <w:rPr>
          <w:rFonts w:ascii="Arial" w:hAnsi="Arial" w:cs="Arial"/>
          <w:lang w:val="uk-UA"/>
        </w:rPr>
        <w:t xml:space="preserve">звитку громади. Методика розрахунку базового кадастру викидів (БКВ) передбачає обов`язкове включення до БКВ не менше трьох з чотирьох ключових секторів та максимально можливим включення не ключових секторів. Основними критеріями включення сектору до БКВ є:</w:t>
      </w:r>
      <w:r/>
    </w:p>
    <w:p>
      <w:pPr>
        <w:pStyle w:val="544"/>
        <w:numPr>
          <w:ilvl w:val="0"/>
          <w:numId w:val="17"/>
        </w:numPr>
        <w:jc w:val="both"/>
        <w:rPr>
          <w:rFonts w:ascii="Arial" w:hAnsi="Arial" w:cs="Arial"/>
          <w:lang w:val="uk-UA"/>
        </w:rPr>
      </w:pPr>
      <w:r>
        <w:rPr>
          <w:rFonts w:ascii="Arial" w:hAnsi="Arial" w:cs="Arial"/>
          <w:lang w:val="uk-UA"/>
        </w:rPr>
        <w:t xml:space="preserve">важливість для громади (соціальна важливість);</w:t>
      </w:r>
      <w:r/>
    </w:p>
    <w:p>
      <w:pPr>
        <w:pStyle w:val="544"/>
        <w:numPr>
          <w:ilvl w:val="0"/>
          <w:numId w:val="17"/>
        </w:numPr>
        <w:jc w:val="both"/>
        <w:rPr>
          <w:rFonts w:ascii="Arial" w:hAnsi="Arial" w:cs="Arial"/>
          <w:lang w:val="uk-UA"/>
        </w:rPr>
      </w:pPr>
      <w:r>
        <w:rPr>
          <w:rFonts w:ascii="Arial" w:hAnsi="Arial" w:cs="Arial"/>
          <w:lang w:val="uk-UA"/>
        </w:rPr>
        <w:t xml:space="preserve">розмір витрат з бюджету громади (фінансова складова); </w:t>
      </w:r>
      <w:r/>
    </w:p>
    <w:p>
      <w:pPr>
        <w:pStyle w:val="544"/>
        <w:numPr>
          <w:ilvl w:val="0"/>
          <w:numId w:val="17"/>
        </w:numPr>
        <w:jc w:val="both"/>
        <w:rPr>
          <w:rFonts w:ascii="Arial" w:hAnsi="Arial" w:cs="Arial"/>
          <w:lang w:val="uk-UA"/>
        </w:rPr>
      </w:pPr>
      <w:r>
        <w:rPr>
          <w:rFonts w:ascii="Arial" w:hAnsi="Arial" w:cs="Arial"/>
          <w:lang w:val="uk-UA"/>
        </w:rPr>
        <w:t xml:space="preserve">наявність або перспектива проектів у сфері енергозбереження; </w:t>
      </w:r>
      <w:r/>
    </w:p>
    <w:p>
      <w:pPr>
        <w:pStyle w:val="544"/>
        <w:numPr>
          <w:ilvl w:val="0"/>
          <w:numId w:val="17"/>
        </w:numPr>
        <w:jc w:val="both"/>
        <w:rPr>
          <w:rFonts w:ascii="Arial" w:hAnsi="Arial" w:cs="Arial"/>
          <w:lang w:val="uk-UA"/>
        </w:rPr>
      </w:pPr>
      <w:r>
        <w:rPr>
          <w:rFonts w:ascii="Arial" w:hAnsi="Arial" w:cs="Arial"/>
          <w:lang w:val="uk-UA"/>
        </w:rPr>
        <w:t xml:space="preserve">регуляторний вплив міської влади на сектор;</w:t>
      </w:r>
      <w:r/>
    </w:p>
    <w:p>
      <w:pPr>
        <w:pStyle w:val="544"/>
        <w:numPr>
          <w:ilvl w:val="0"/>
          <w:numId w:val="17"/>
        </w:numPr>
        <w:jc w:val="both"/>
        <w:rPr>
          <w:rFonts w:ascii="Arial" w:hAnsi="Arial" w:cs="Arial"/>
          <w:lang w:val="uk-UA"/>
        </w:rPr>
      </w:pPr>
      <w:r>
        <w:rPr>
          <w:rFonts w:ascii="Arial" w:hAnsi="Arial" w:cs="Arial"/>
          <w:lang w:val="uk-UA"/>
        </w:rPr>
        <w:t xml:space="preserve">можливість контролю над витратами енергії у секторі з боку міської влади.</w:t>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spacing w:lineRule="auto" w:line="240" w:after="0"/>
        <w:rPr>
          <w:rFonts w:ascii="Arial" w:hAnsi="Arial" w:cs="Arial"/>
          <w:b/>
          <w:sz w:val="24"/>
          <w:szCs w:val="24"/>
          <w:lang w:val="uk-UA"/>
        </w:rPr>
      </w:pPr>
      <w:r>
        <w:rPr>
          <w:rFonts w:ascii="Arial" w:hAnsi="Arial" w:cs="Arial"/>
          <w:b/>
          <w:sz w:val="24"/>
          <w:szCs w:val="24"/>
          <w:lang w:val="uk-UA"/>
        </w:rPr>
        <w:t xml:space="preserve">3.6. Обґрунтування вибору базового року</w:t>
      </w:r>
      <w:r/>
    </w:p>
    <w:p>
      <w:pPr>
        <w:ind w:right="-1" w:firstLine="708"/>
        <w:jc w:val="both"/>
        <w:spacing w:lineRule="auto" w:line="240" w:after="0"/>
        <w:rPr>
          <w:rFonts w:ascii="Arial" w:hAnsi="Arial" w:cs="Arial"/>
          <w:b/>
          <w:i/>
          <w:sz w:val="24"/>
          <w:szCs w:val="24"/>
          <w:u w:val="single"/>
          <w:lang w:val="uk-UA"/>
        </w:rPr>
      </w:pPr>
      <w:r>
        <w:rPr>
          <w:rFonts w:ascii="Arial" w:hAnsi="Arial" w:cs="Arial"/>
          <w:b/>
          <w:i/>
          <w:sz w:val="24"/>
          <w:szCs w:val="24"/>
          <w:u w:val="single"/>
          <w:lang w:val="uk-UA"/>
        </w:rPr>
      </w:r>
      <w:r/>
    </w:p>
    <w:p>
      <w:pPr>
        <w:ind w:right="-1" w:firstLine="708"/>
        <w:jc w:val="both"/>
        <w:spacing w:lineRule="auto" w:line="240" w:after="0"/>
        <w:rPr>
          <w:rFonts w:ascii="Arial" w:hAnsi="Arial" w:cs="Arial"/>
          <w:sz w:val="24"/>
          <w:szCs w:val="24"/>
          <w:lang w:val="uk-UA"/>
        </w:rPr>
      </w:pPr>
      <w:r>
        <w:rPr>
          <w:rFonts w:ascii="Arial" w:hAnsi="Arial" w:cs="Arial"/>
          <w:b/>
          <w:i/>
          <w:sz w:val="24"/>
          <w:szCs w:val="24"/>
          <w:u w:val="single"/>
          <w:lang w:val="uk-UA"/>
        </w:rPr>
        <w:t xml:space="preserve">Базовий рік</w:t>
      </w:r>
      <w:r>
        <w:rPr>
          <w:rFonts w:ascii="Arial" w:hAnsi="Arial" w:cs="Arial"/>
          <w:sz w:val="24"/>
          <w:szCs w:val="24"/>
          <w:lang w:val="uk-UA"/>
        </w:rPr>
        <w:t xml:space="preserve"> – це рік у порівнянні з яким будуть порівнювати скорочення викидів 2030 році. На сьогодні абсолютно неможливо спрогнозувати базову лінію, якщо враховувати енергетичн</w:t>
      </w:r>
      <w:r>
        <w:rPr>
          <w:rFonts w:ascii="Arial" w:hAnsi="Arial" w:cs="Arial"/>
          <w:sz w:val="24"/>
          <w:szCs w:val="24"/>
          <w:lang w:val="uk-UA"/>
        </w:rPr>
        <w:t xml:space="preserve">у та економічну кризу, оскільки відсутній більш-менш тривалий період часу для здійснення аналізу. Тому для збільшення ефекту від реалізації ПДСЕРК (кліматичного, економічного, соціального, екологічного) більше підходить для застосування інший метод вибору </w:t>
      </w:r>
      <w:r>
        <w:rPr>
          <w:rFonts w:ascii="Arial" w:hAnsi="Arial" w:cs="Arial"/>
          <w:sz w:val="24"/>
          <w:szCs w:val="24"/>
          <w:lang w:val="uk-UA"/>
        </w:rPr>
        <w:t xml:space="preserve">базового рівня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а саме — метод вибору базового року.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Базовим роком для здійснення оцінювання поточного рівня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для </w:t>
      </w:r>
      <w:r>
        <w:rPr>
          <w:rFonts w:ascii="Arial" w:hAnsi="Arial" w:cs="Arial"/>
          <w:sz w:val="24"/>
          <w:szCs w:val="24"/>
          <w:lang w:val="uk-UA"/>
        </w:rPr>
        <w:t xml:space="preserve">Менської громади</w:t>
      </w:r>
      <w:r>
        <w:rPr>
          <w:rFonts w:ascii="Arial" w:hAnsi="Arial" w:cs="Arial"/>
          <w:sz w:val="24"/>
          <w:szCs w:val="24"/>
          <w:lang w:val="uk-UA"/>
        </w:rPr>
        <w:t xml:space="preserve"> обрано </w:t>
      </w:r>
      <w:r>
        <w:rPr>
          <w:rFonts w:ascii="Arial" w:hAnsi="Arial" w:cs="Arial"/>
          <w:b/>
          <w:sz w:val="24"/>
          <w:szCs w:val="24"/>
          <w:lang w:val="uk-UA"/>
        </w:rPr>
        <w:t xml:space="preserve">2019</w:t>
      </w:r>
      <w:r>
        <w:rPr>
          <w:rFonts w:ascii="Arial" w:hAnsi="Arial" w:cs="Arial"/>
          <w:sz w:val="24"/>
          <w:szCs w:val="24"/>
          <w:lang w:val="uk-UA"/>
        </w:rPr>
        <w:t xml:space="preserve"> рік.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Використання як базового 2019</w:t>
      </w:r>
      <w:r>
        <w:rPr>
          <w:rFonts w:ascii="Arial" w:hAnsi="Arial" w:cs="Arial"/>
          <w:sz w:val="24"/>
          <w:szCs w:val="24"/>
          <w:lang w:val="uk-UA"/>
        </w:rPr>
        <w:t xml:space="preserve"> року пояснюється наявністю найбільш повної та достовірної інформації за даний період по споживанню усіх видів енергоносіїв та найбільш репрезентативний по відношенню до</w:t>
      </w:r>
      <w:r>
        <w:rPr>
          <w:rFonts w:ascii="Arial" w:hAnsi="Arial" w:cs="Arial"/>
          <w:sz w:val="24"/>
          <w:szCs w:val="24"/>
          <w:lang w:val="uk-UA"/>
        </w:rPr>
        <w:t xml:space="preserve"> </w:t>
      </w:r>
      <w:r>
        <w:rPr>
          <w:rFonts w:ascii="Arial" w:hAnsi="Arial" w:cs="Arial"/>
          <w:sz w:val="24"/>
          <w:szCs w:val="24"/>
          <w:lang w:val="uk-UA"/>
        </w:rPr>
        <w:t xml:space="preserve">даної економічної ситуації. </w:t>
      </w:r>
      <w:r/>
    </w:p>
    <w:p>
      <w:pPr>
        <w:ind w:right="-1" w:firstLine="708"/>
        <w:jc w:val="both"/>
        <w:spacing w:lineRule="auto" w:line="240" w:after="0"/>
        <w:rPr>
          <w:rFonts w:ascii="Arial" w:hAnsi="Arial" w:cs="Arial"/>
          <w:color w:val="FF0000"/>
          <w:sz w:val="24"/>
          <w:szCs w:val="24"/>
          <w:lang w:val="uk-UA"/>
        </w:rPr>
      </w:pPr>
      <w:r>
        <w:rPr>
          <w:rFonts w:ascii="Arial" w:hAnsi="Arial" w:cs="Arial"/>
          <w:sz w:val="24"/>
          <w:szCs w:val="24"/>
          <w:lang w:val="uk-UA"/>
        </w:rPr>
        <w:t xml:space="preserve">В базовому році для вибраних секторів у </w:t>
      </w:r>
      <w:r>
        <w:rPr>
          <w:rFonts w:ascii="Arial" w:hAnsi="Arial" w:cs="Arial"/>
          <w:sz w:val="24"/>
          <w:szCs w:val="24"/>
          <w:lang w:val="uk-UA"/>
        </w:rPr>
        <w:t xml:space="preserve">Менській громаді </w:t>
      </w:r>
      <w:r>
        <w:rPr>
          <w:rFonts w:ascii="Arial" w:hAnsi="Arial" w:cs="Arial"/>
          <w:sz w:val="24"/>
          <w:szCs w:val="24"/>
          <w:lang w:val="uk-UA"/>
        </w:rPr>
        <w:t xml:space="preserve">БКВ в абсолютних показниках становить </w:t>
      </w:r>
      <w:r>
        <w:rPr>
          <w:rFonts w:ascii="Arial" w:hAnsi="Arial" w:cs="Arial"/>
          <w:b/>
          <w:sz w:val="24"/>
          <w:szCs w:val="24"/>
          <w:lang w:val="uk-UA"/>
        </w:rPr>
        <w:t xml:space="preserve">35 886</w:t>
      </w:r>
      <w:r>
        <w:rPr>
          <w:rFonts w:ascii="Arial" w:hAnsi="Arial" w:cs="Arial"/>
          <w:sz w:val="24"/>
          <w:szCs w:val="24"/>
          <w:lang w:val="uk-UA"/>
        </w:rPr>
        <w:t xml:space="preserve"> </w:t>
      </w:r>
      <w:r>
        <w:rPr>
          <w:rFonts w:ascii="Arial" w:hAnsi="Arial" w:cs="Arial"/>
          <w:b/>
          <w:sz w:val="24"/>
          <w:szCs w:val="24"/>
          <w:lang w:val="uk-UA"/>
        </w:rPr>
        <w:t xml:space="preserve">т СО</w:t>
      </w:r>
      <w:r>
        <w:rPr>
          <w:rFonts w:ascii="Arial" w:hAnsi="Arial" w:cs="Arial"/>
          <w:b/>
          <w:sz w:val="24"/>
          <w:szCs w:val="24"/>
          <w:vertAlign w:val="subscript"/>
          <w:lang w:val="uk-UA"/>
        </w:rPr>
        <w:t xml:space="preserve">2</w:t>
      </w:r>
      <w:r>
        <w:rPr>
          <w:rFonts w:ascii="Arial" w:hAnsi="Arial" w:cs="Arial"/>
          <w:b/>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З метою порівняння показників викидів у вибраних секторах проведено розрахунок викидів на д</w:t>
      </w:r>
      <w:r>
        <w:rPr>
          <w:rFonts w:ascii="Arial" w:hAnsi="Arial" w:cs="Arial"/>
          <w:sz w:val="24"/>
          <w:szCs w:val="24"/>
          <w:lang w:val="uk-UA"/>
        </w:rPr>
        <w:t xml:space="preserve">ушу населення. Для базового 2019</w:t>
      </w:r>
      <w:r>
        <w:rPr>
          <w:rFonts w:ascii="Arial" w:hAnsi="Arial" w:cs="Arial"/>
          <w:sz w:val="24"/>
          <w:szCs w:val="24"/>
          <w:lang w:val="uk-UA"/>
        </w:rPr>
        <w:t xml:space="preserve"> року він становить </w:t>
      </w:r>
      <w:r>
        <w:rPr>
          <w:rFonts w:ascii="Arial" w:hAnsi="Arial" w:cs="Arial"/>
          <w:b/>
          <w:sz w:val="24"/>
          <w:szCs w:val="24"/>
          <w:lang w:val="uk-UA"/>
        </w:rPr>
        <w:t xml:space="preserve">1,44</w:t>
      </w:r>
      <w:r>
        <w:rPr>
          <w:rFonts w:ascii="Arial" w:hAnsi="Arial" w:cs="Arial"/>
          <w:b/>
          <w:sz w:val="24"/>
          <w:szCs w:val="24"/>
          <w:lang w:val="uk-UA"/>
        </w:rPr>
        <w:t xml:space="preserve"> т СО</w:t>
      </w:r>
      <w:r>
        <w:rPr>
          <w:rFonts w:ascii="Arial" w:hAnsi="Arial" w:cs="Arial"/>
          <w:b/>
          <w:sz w:val="24"/>
          <w:szCs w:val="24"/>
          <w:vertAlign w:val="subscript"/>
          <w:lang w:val="uk-UA"/>
        </w:rPr>
        <w:t xml:space="preserve">2</w:t>
      </w:r>
      <w:r>
        <w:rPr>
          <w:rFonts w:ascii="Arial" w:hAnsi="Arial" w:cs="Arial"/>
          <w:sz w:val="24"/>
          <w:szCs w:val="24"/>
          <w:lang w:val="uk-UA"/>
        </w:rPr>
        <w:t xml:space="preserve"> на 1 мешканця.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t xml:space="preserve">3.7.</w:t>
      </w:r>
      <w:r>
        <w:rPr>
          <w:rFonts w:ascii="Arial" w:hAnsi="Arial" w:cs="Arial"/>
          <w:b/>
          <w:sz w:val="24"/>
          <w:szCs w:val="24"/>
          <w:lang w:val="uk-UA"/>
        </w:rPr>
        <w:t xml:space="preserve"> Розподіл викидів СО</w:t>
      </w:r>
      <w:r>
        <w:rPr>
          <w:rFonts w:ascii="Arial" w:hAnsi="Arial" w:cs="Arial"/>
          <w:b/>
          <w:sz w:val="24"/>
          <w:szCs w:val="24"/>
          <w:vertAlign w:val="subscript"/>
          <w:lang w:val="uk-UA"/>
        </w:rPr>
        <w:t xml:space="preserve">2 </w:t>
      </w:r>
      <w:r>
        <w:rPr>
          <w:rFonts w:ascii="Arial" w:hAnsi="Arial" w:cs="Arial"/>
          <w:b/>
          <w:sz w:val="24"/>
          <w:szCs w:val="24"/>
          <w:lang w:val="uk-UA"/>
        </w:rPr>
        <w:t xml:space="preserve">залежно від енергоресурсу в базовому році</w:t>
      </w:r>
      <w:r/>
    </w:p>
    <w:p>
      <w:pPr>
        <w:ind w:right="-1"/>
        <w:jc w:val="both"/>
        <w:spacing w:lineRule="auto" w:line="240" w:after="0"/>
        <w:rPr>
          <w:rFonts w:ascii="Arial" w:hAnsi="Arial" w:cs="Arial"/>
          <w:sz w:val="24"/>
          <w:szCs w:val="24"/>
          <w:lang w:val="uk-UA"/>
        </w:rPr>
      </w:pPr>
      <w:r>
        <w:rPr>
          <w:rFonts w:ascii="Arial" w:hAnsi="Arial" w:cs="Arial"/>
          <w:sz w:val="24"/>
          <w:szCs w:val="24"/>
          <w:lang w:val="uk-UA" w:eastAsia="uk-UA"/>
        </w:rPr>
        <w:drawing>
          <wp:inline distT="0" distB="0" distL="0" distR="0">
            <wp:extent cx="4686300" cy="2834640"/>
            <wp:effectExtent l="0" t="0" r="0" b="3810"/>
            <wp:docPr id="29" name="Диаграмма 13"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Аналізуючи розподіл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залежно в</w:t>
      </w:r>
      <w:r>
        <w:rPr>
          <w:rFonts w:ascii="Arial" w:hAnsi="Arial" w:cs="Arial"/>
          <w:sz w:val="24"/>
          <w:szCs w:val="24"/>
          <w:lang w:val="uk-UA"/>
        </w:rPr>
        <w:t xml:space="preserve">ід енергоресурсу у базовому 2019</w:t>
      </w:r>
      <w:r>
        <w:rPr>
          <w:rFonts w:ascii="Arial" w:hAnsi="Arial" w:cs="Arial"/>
          <w:sz w:val="24"/>
          <w:szCs w:val="24"/>
          <w:lang w:val="uk-UA"/>
        </w:rPr>
        <w:t xml:space="preserve"> році видно, що найбільші викиди СО</w:t>
      </w:r>
      <w:r>
        <w:rPr>
          <w:rFonts w:ascii="Arial" w:hAnsi="Arial" w:cs="Arial"/>
          <w:sz w:val="24"/>
          <w:szCs w:val="24"/>
          <w:vertAlign w:val="subscript"/>
          <w:lang w:val="uk-UA"/>
        </w:rPr>
        <w:t xml:space="preserve">2</w:t>
      </w:r>
      <w:r>
        <w:rPr>
          <w:rFonts w:ascii="Arial" w:hAnsi="Arial" w:cs="Arial"/>
          <w:sz w:val="24"/>
          <w:szCs w:val="24"/>
          <w:lang w:val="uk-UA"/>
        </w:rPr>
        <w:t xml:space="preserve"> продукує використання електроенергії та природного газу.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Отримані дані дають можливість правильно розподілити зусилля для реалізації інвестиційних проектів із метою досягнення найбільш ефективного впливу на кадастр викидів і поставленої мети щодо скорочення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у 2030 р. не менш ніж на 30%.</w:t>
      </w:r>
      <w:r/>
    </w:p>
    <w:p>
      <w:pPr>
        <w:ind w:right="-1"/>
        <w:spacing w:lineRule="auto" w:line="240" w:after="0"/>
        <w:rPr>
          <w:rFonts w:ascii="Arial" w:hAnsi="Arial" w:cs="Arial"/>
          <w:b/>
          <w:color w:val="0099FF"/>
          <w:sz w:val="24"/>
          <w:szCs w:val="24"/>
          <w:lang w:val="uk-UA"/>
        </w:rPr>
      </w:pPr>
      <w:r>
        <w:rPr>
          <w:rFonts w:ascii="Arial" w:hAnsi="Arial" w:cs="Arial"/>
          <w:b/>
          <w:color w:val="0099FF"/>
          <w:sz w:val="24"/>
          <w:szCs w:val="24"/>
          <w:lang w:val="uk-UA"/>
        </w:rPr>
      </w:r>
      <w:r/>
    </w:p>
    <w:p>
      <w:pPr>
        <w:ind w:right="-1" w:firstLine="708"/>
        <w:spacing w:lineRule="auto" w:line="240" w:after="0"/>
        <w:rPr>
          <w:rFonts w:ascii="Arial" w:hAnsi="Arial" w:cs="Arial"/>
          <w:b/>
          <w:sz w:val="24"/>
          <w:szCs w:val="24"/>
          <w:lang w:val="uk-UA"/>
        </w:rPr>
      </w:pPr>
      <w:r>
        <w:rPr>
          <w:rFonts w:ascii="Arial" w:hAnsi="Arial" w:cs="Arial"/>
          <w:b/>
          <w:sz w:val="24"/>
          <w:szCs w:val="24"/>
          <w:lang w:val="uk-UA"/>
        </w:rPr>
        <w:t xml:space="preserve">3.8. Формування базового кадастру викидів</w:t>
      </w:r>
      <w:r/>
    </w:p>
    <w:p>
      <w:pPr>
        <w:ind w:right="-1" w:firstLine="708"/>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Базовий кадастр викидів у відповідності до правил передбачених методикою Єврокомісії наведено у Додатках:</w:t>
      </w:r>
      <w:r/>
    </w:p>
    <w:p>
      <w:pPr>
        <w:ind w:right="-1" w:firstLine="708"/>
        <w:jc w:val="both"/>
        <w:spacing w:lineRule="auto" w:line="240" w:after="0"/>
        <w:rPr>
          <w:rFonts w:ascii="Arial" w:hAnsi="Arial" w:cs="Arial"/>
          <w:b/>
          <w:sz w:val="20"/>
          <w:szCs w:val="20"/>
          <w:lang w:val="uk-UA"/>
        </w:rPr>
      </w:pPr>
      <w:r>
        <w:rPr>
          <w:rFonts w:ascii="Arial" w:hAnsi="Arial" w:cs="Arial"/>
          <w:b/>
          <w:sz w:val="20"/>
          <w:szCs w:val="20"/>
          <w:lang w:val="uk-UA"/>
        </w:rPr>
      </w:r>
      <w:r/>
    </w:p>
    <w:p>
      <w:pPr>
        <w:ind w:right="-1" w:firstLine="708"/>
        <w:jc w:val="both"/>
        <w:spacing w:lineRule="auto" w:line="240" w:after="0"/>
        <w:rPr>
          <w:rFonts w:ascii="Arial" w:hAnsi="Arial" w:cs="Arial"/>
          <w:b/>
          <w:sz w:val="20"/>
          <w:szCs w:val="20"/>
          <w:lang w:val="uk-UA"/>
        </w:rPr>
      </w:pPr>
      <w:r>
        <w:rPr>
          <w:rFonts w:ascii="Arial" w:hAnsi="Arial" w:cs="Arial"/>
          <w:b/>
          <w:sz w:val="20"/>
          <w:szCs w:val="20"/>
          <w:lang w:val="uk-UA"/>
        </w:rPr>
        <w:t xml:space="preserve">Додаток 1 «З</w:t>
      </w:r>
      <w:r>
        <w:rPr>
          <w:rFonts w:ascii="Arial" w:hAnsi="Arial" w:cs="Arial"/>
          <w:b/>
          <w:sz w:val="20"/>
          <w:szCs w:val="20"/>
          <w:lang w:val="uk-UA"/>
        </w:rPr>
        <w:t xml:space="preserve">АГАЛЬНЕ СПОЖИВАННЯ ЕНЕРГІЇ (МВт*</w:t>
      </w:r>
      <w:r>
        <w:rPr>
          <w:rFonts w:ascii="Arial" w:hAnsi="Arial" w:cs="Arial"/>
          <w:b/>
          <w:sz w:val="20"/>
          <w:szCs w:val="20"/>
          <w:lang w:val="uk-UA"/>
        </w:rPr>
        <w:t xml:space="preserve">год)»</w:t>
      </w:r>
      <w:r/>
    </w:p>
    <w:p>
      <w:pPr>
        <w:ind w:right="-1" w:firstLine="708"/>
        <w:jc w:val="both"/>
        <w:spacing w:lineRule="auto" w:line="240" w:after="0"/>
        <w:rPr>
          <w:rFonts w:ascii="Arial" w:hAnsi="Arial" w:cs="Arial"/>
          <w:b/>
          <w:sz w:val="20"/>
          <w:szCs w:val="20"/>
          <w:lang w:val="uk-UA"/>
        </w:rPr>
      </w:pPr>
      <w:r>
        <w:rPr>
          <w:rFonts w:ascii="Arial" w:hAnsi="Arial" w:cs="Arial"/>
          <w:b/>
          <w:sz w:val="20"/>
          <w:szCs w:val="20"/>
          <w:lang w:val="uk-UA"/>
        </w:rPr>
        <w:t xml:space="preserve">Додаток 2 «БАЗОВИЙ КАДАСТР ВИКИДІВ (тони СО</w:t>
      </w:r>
      <w:r>
        <w:rPr>
          <w:rFonts w:ascii="Arial" w:hAnsi="Arial" w:cs="Arial"/>
          <w:b/>
          <w:sz w:val="20"/>
          <w:szCs w:val="20"/>
          <w:vertAlign w:val="subscript"/>
          <w:lang w:val="uk-UA"/>
        </w:rPr>
        <w:t xml:space="preserve">2</w:t>
      </w:r>
      <w:r>
        <w:rPr>
          <w:rFonts w:ascii="Arial" w:hAnsi="Arial" w:cs="Arial"/>
          <w:b/>
          <w:sz w:val="20"/>
          <w:szCs w:val="20"/>
          <w:lang w:val="uk-UA"/>
        </w:rPr>
        <w:t xml:space="preserve">)»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t xml:space="preserve">Основні параметри базового кадастру викидів</w:t>
      </w:r>
      <w:r/>
    </w:p>
    <w:p>
      <w:pPr>
        <w:ind w:right="-1" w:firstLine="708"/>
        <w:jc w:val="right"/>
        <w:spacing w:lineRule="auto" w:line="240" w:after="0"/>
        <w:rPr>
          <w:rFonts w:ascii="Arial" w:hAnsi="Arial" w:cs="Arial"/>
          <w:b/>
          <w:sz w:val="24"/>
          <w:szCs w:val="24"/>
          <w:lang w:val="uk-UA"/>
        </w:rPr>
      </w:pPr>
      <w:r>
        <w:rPr>
          <w:rFonts w:ascii="Arial" w:hAnsi="Arial" w:cs="Arial"/>
          <w:b/>
          <w:sz w:val="24"/>
          <w:szCs w:val="24"/>
          <w:lang w:val="uk-UA"/>
        </w:rPr>
      </w:r>
      <w:r/>
    </w:p>
    <w:tbl>
      <w:tblPr>
        <w:tblStyle w:val="521"/>
        <w:tblW w:w="7054" w:type="dxa"/>
        <w:tblLook w:val="04A0" w:firstRow="1" w:lastRow="0" w:firstColumn="1" w:lastColumn="0" w:noHBand="0" w:noVBand="1"/>
      </w:tblPr>
      <w:tblGrid>
        <w:gridCol w:w="3389"/>
        <w:gridCol w:w="3665"/>
      </w:tblGrid>
      <w:tr>
        <w:trPr/>
        <w:tc>
          <w:tcPr>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Базовий рік</w:t>
            </w:r>
            <w:r/>
          </w:p>
        </w:tc>
        <w:tc>
          <w:tcPr>
            <w:tcW w:w="3665"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2019</w:t>
            </w:r>
            <w:r/>
          </w:p>
        </w:tc>
      </w:tr>
      <w:tr>
        <w:trPr/>
        <w:tc>
          <w:tcPr>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Тип</w:t>
            </w:r>
            <w:r/>
          </w:p>
        </w:tc>
        <w:tc>
          <w:tcPr>
            <w:tcW w:w="3665"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БКВ</w:t>
            </w:r>
            <w:r/>
          </w:p>
        </w:tc>
      </w:tr>
      <w:tr>
        <w:trPr/>
        <w:tc>
          <w:tcPr>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Рік подачі</w:t>
            </w:r>
            <w:r/>
          </w:p>
        </w:tc>
        <w:tc>
          <w:tcPr>
            <w:tcW w:w="3665"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2020</w:t>
            </w:r>
            <w:r/>
          </w:p>
        </w:tc>
      </w:tr>
      <w:tr>
        <w:trPr/>
        <w:tc>
          <w:tcPr>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Кількість жителів</w:t>
            </w:r>
            <w:r/>
          </w:p>
        </w:tc>
        <w:tc>
          <w:tcPr>
            <w:tcW w:w="3665"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24896</w:t>
            </w:r>
            <w:r/>
          </w:p>
        </w:tc>
      </w:tr>
      <w:tr>
        <w:trPr/>
        <w:tc>
          <w:tcPr>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Тип зниження</w:t>
            </w:r>
            <w:r/>
          </w:p>
        </w:tc>
        <w:tc>
          <w:tcPr>
            <w:tcW w:w="3665"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Абсолютний</w:t>
            </w:r>
            <w:r/>
          </w:p>
        </w:tc>
      </w:tr>
      <w:tr>
        <w:trPr/>
        <w:tc>
          <w:tcPr>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Підхід до коефіцієнтів викидів</w:t>
            </w:r>
            <w:r/>
          </w:p>
        </w:tc>
        <w:tc>
          <w:tcPr>
            <w:tcW w:w="3665"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Стандартний</w:t>
            </w:r>
            <w:r/>
          </w:p>
        </w:tc>
      </w:tr>
      <w:tr>
        <w:trPr/>
        <w:tc>
          <w:tcPr>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Загальна кількість викидів</w:t>
            </w:r>
            <w:r/>
          </w:p>
        </w:tc>
        <w:tc>
          <w:tcPr>
            <w:tcW w:w="3665" w:type="dxa"/>
            <w:textDirection w:val="lrTb"/>
            <w:noWrap w:val="false"/>
          </w:tcPr>
          <w:p>
            <w:pPr>
              <w:ind w:right="-1"/>
              <w:jc w:val="center"/>
              <w:spacing w:lineRule="auto" w:line="240" w:after="0"/>
              <w:rPr>
                <w:rFonts w:ascii="Arial" w:hAnsi="Arial" w:cs="Arial"/>
                <w:sz w:val="24"/>
                <w:szCs w:val="24"/>
                <w:vertAlign w:val="subscript"/>
                <w:lang w:val="uk-UA"/>
              </w:rPr>
            </w:pPr>
            <w:r>
              <w:rPr>
                <w:rFonts w:ascii="Arial" w:hAnsi="Arial" w:cs="Arial"/>
                <w:sz w:val="24"/>
                <w:szCs w:val="24"/>
                <w:lang w:val="uk-UA"/>
              </w:rPr>
              <w:t xml:space="preserve">35 886</w:t>
            </w:r>
            <w:r>
              <w:rPr>
                <w:rFonts w:ascii="Arial" w:hAnsi="Arial" w:cs="Arial"/>
                <w:sz w:val="24"/>
                <w:szCs w:val="24"/>
                <w:lang w:val="uk-UA"/>
              </w:rPr>
              <w:t xml:space="preserve"> </w:t>
            </w:r>
            <w:r>
              <w:rPr>
                <w:rFonts w:ascii="Arial" w:hAnsi="Arial" w:cs="Arial"/>
                <w:sz w:val="24"/>
                <w:szCs w:val="24"/>
                <w:lang w:val="uk-UA"/>
              </w:rPr>
              <w:t xml:space="preserve">т СО</w:t>
            </w:r>
            <w:r>
              <w:rPr>
                <w:rFonts w:ascii="Arial" w:hAnsi="Arial" w:cs="Arial"/>
                <w:sz w:val="24"/>
                <w:szCs w:val="24"/>
                <w:vertAlign w:val="subscript"/>
                <w:lang w:val="uk-UA"/>
              </w:rPr>
              <w:t xml:space="preserve">2</w:t>
            </w:r>
            <w:r/>
          </w:p>
        </w:tc>
      </w:tr>
      <w:tr>
        <w:trPr/>
        <w:tc>
          <w:tcPr>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Заплановане скорочення викидів</w:t>
            </w:r>
            <w:r/>
          </w:p>
        </w:tc>
        <w:tc>
          <w:tcPr>
            <w:tcW w:w="3665" w:type="dxa"/>
            <w:textDirection w:val="lrTb"/>
            <w:noWrap w:val="false"/>
          </w:tcPr>
          <w:p>
            <w:pPr>
              <w:ind w:right="-1"/>
              <w:jc w:val="center"/>
              <w:spacing w:lineRule="auto" w:line="240" w:after="0"/>
              <w:rPr>
                <w:rFonts w:ascii="Arial" w:hAnsi="Arial" w:cs="Arial"/>
                <w:sz w:val="24"/>
                <w:szCs w:val="24"/>
                <w:lang w:val="uk-UA"/>
              </w:rPr>
            </w:pPr>
            <w:r>
              <w:rPr>
                <w:rFonts w:ascii="Arial" w:hAnsi="Arial" w:cs="Arial"/>
                <w:sz w:val="24"/>
                <w:szCs w:val="24"/>
                <w:lang w:val="uk-UA"/>
              </w:rPr>
              <w:t xml:space="preserve">11 430 </w:t>
            </w:r>
            <w:r>
              <w:rPr>
                <w:rFonts w:ascii="Arial" w:hAnsi="Arial" w:cs="Arial"/>
                <w:sz w:val="24"/>
                <w:szCs w:val="24"/>
                <w:lang w:val="uk-UA"/>
              </w:rPr>
              <w:t xml:space="preserve">т </w:t>
            </w:r>
            <w:r>
              <w:rPr>
                <w:rFonts w:ascii="Arial" w:hAnsi="Arial" w:cs="Arial"/>
                <w:sz w:val="24"/>
                <w:szCs w:val="24"/>
                <w:lang w:val="uk-UA"/>
              </w:rPr>
              <w:t xml:space="preserve">СО</w:t>
            </w:r>
            <w:r>
              <w:rPr>
                <w:rFonts w:ascii="Arial" w:hAnsi="Arial" w:cs="Arial"/>
                <w:sz w:val="24"/>
                <w:szCs w:val="24"/>
                <w:vertAlign w:val="subscript"/>
                <w:lang w:val="uk-UA"/>
              </w:rPr>
              <w:t xml:space="preserve">2</w:t>
            </w:r>
            <w:r/>
          </w:p>
        </w:tc>
      </w:tr>
      <w:tr>
        <w:trPr/>
        <w:tc>
          <w:tcPr>
            <w:tcW w:w="3389"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Ціль зниження</w:t>
            </w:r>
            <w:r/>
          </w:p>
        </w:tc>
        <w:tc>
          <w:tcPr>
            <w:tcW w:w="3665" w:type="dxa"/>
            <w:textDirection w:val="lrTb"/>
            <w:noWrap w:val="false"/>
          </w:tcPr>
          <w:p>
            <w:pPr>
              <w:ind w:right="-1"/>
              <w:jc w:val="center"/>
              <w:spacing w:lineRule="auto" w:line="240" w:after="0"/>
              <w:rPr>
                <w:rFonts w:ascii="Arial" w:hAnsi="Arial" w:cs="Arial"/>
                <w:b/>
                <w:sz w:val="24"/>
                <w:szCs w:val="24"/>
                <w:lang w:val="uk-UA"/>
              </w:rPr>
            </w:pPr>
            <w:r>
              <w:rPr>
                <w:rFonts w:ascii="Arial" w:hAnsi="Arial" w:cs="Arial"/>
                <w:b/>
                <w:sz w:val="24"/>
                <w:szCs w:val="24"/>
                <w:lang w:val="uk-UA"/>
              </w:rPr>
              <w:t xml:space="preserve">31,78</w:t>
            </w:r>
            <w:r>
              <w:rPr>
                <w:rFonts w:ascii="Arial" w:hAnsi="Arial" w:cs="Arial"/>
                <w:b/>
                <w:sz w:val="24"/>
                <w:szCs w:val="24"/>
                <w:lang w:val="uk-UA"/>
              </w:rPr>
              <w:t xml:space="preserve">%</w:t>
            </w:r>
            <w:r/>
          </w:p>
        </w:tc>
      </w:tr>
    </w:tbl>
    <w:p>
      <w:pPr>
        <w:ind w:right="-1"/>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2" w:sep="0" w:space="708" w:equalWidth="1"/>
          <w:docGrid w:linePitch="360"/>
          <w:titlePg/>
        </w:sectPr>
      </w:pPr>
      <w:r>
        <w:rPr>
          <w:rFonts w:ascii="Arial" w:hAnsi="Arial" w:cs="Arial"/>
          <w:b/>
          <w:sz w:val="24"/>
          <w:szCs w:val="24"/>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t xml:space="preserve">РОЗДІЛ 4. ПЛАН ДІЙ СТАЛОГО ЕНЕРГЕТИЧНОГО РОЗВИТКУ МІСТА</w:t>
      </w:r>
      <w:r/>
    </w:p>
    <w:p>
      <w:pPr>
        <w:ind w:right="-1" w:firstLine="708"/>
        <w:jc w:val="center"/>
        <w:spacing w:lineRule="auto" w:line="240" w:after="0"/>
        <w:rPr>
          <w:rFonts w:ascii="Arial" w:hAnsi="Arial" w:cs="Arial"/>
          <w:b/>
          <w:sz w:val="40"/>
          <w:szCs w:val="40"/>
          <w:lang w:val="uk-UA"/>
        </w:rPr>
      </w:pPr>
      <w:r>
        <w:rPr>
          <w:rFonts w:ascii="Arial" w:hAnsi="Arial" w:cs="Arial"/>
          <w:b/>
          <w:sz w:val="40"/>
          <w:szCs w:val="40"/>
          <w:lang w:val="uk-UA"/>
        </w:rPr>
        <w:t xml:space="preserve">(ПДСЕРК/SEСAP)</w:t>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jc w:val="both"/>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t xml:space="preserve">4.1. Стратегія, цілі та зобов`язання до 2030 року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Приєднання </w:t>
      </w:r>
      <w:r>
        <w:rPr>
          <w:rFonts w:ascii="Arial" w:hAnsi="Arial" w:cs="Arial"/>
          <w:sz w:val="24"/>
          <w:szCs w:val="24"/>
          <w:lang w:val="uk-UA"/>
        </w:rPr>
        <w:t xml:space="preserve">Менської громади</w:t>
      </w:r>
      <w:r>
        <w:rPr>
          <w:rFonts w:ascii="Arial" w:hAnsi="Arial" w:cs="Arial"/>
          <w:sz w:val="24"/>
          <w:szCs w:val="24"/>
          <w:lang w:val="uk-UA"/>
        </w:rPr>
        <w:t xml:space="preserve"> до європейської ініціативи «Угода Мерів» та</w:t>
      </w:r>
      <w:r>
        <w:rPr>
          <w:rFonts w:ascii="Arial" w:hAnsi="Arial" w:cs="Arial"/>
          <w:sz w:val="24"/>
          <w:szCs w:val="24"/>
          <w:lang w:val="uk-UA"/>
        </w:rPr>
        <w:t xml:space="preserve"> добровільне одностороннє зобов’язання</w:t>
      </w:r>
      <w:r>
        <w:rPr>
          <w:rFonts w:ascii="Arial" w:hAnsi="Arial" w:cs="Arial"/>
          <w:sz w:val="24"/>
          <w:szCs w:val="24"/>
          <w:lang w:val="uk-UA"/>
        </w:rPr>
        <w:t xml:space="preserve"> скоротити викиди СО</w:t>
      </w:r>
      <w:r>
        <w:rPr>
          <w:rFonts w:ascii="Arial" w:hAnsi="Arial" w:cs="Arial"/>
          <w:sz w:val="24"/>
          <w:szCs w:val="24"/>
          <w:vertAlign w:val="subscript"/>
          <w:lang w:val="uk-UA"/>
        </w:rPr>
        <w:t xml:space="preserve">2</w:t>
      </w:r>
      <w:r>
        <w:rPr>
          <w:rFonts w:ascii="Arial" w:hAnsi="Arial" w:cs="Arial"/>
          <w:sz w:val="24"/>
          <w:szCs w:val="24"/>
          <w:lang w:val="uk-UA"/>
        </w:rPr>
        <w:t xml:space="preserve"> на підпорядкованій території щонаймен</w:t>
      </w:r>
      <w:r>
        <w:rPr>
          <w:rFonts w:ascii="Arial" w:hAnsi="Arial" w:cs="Arial"/>
          <w:sz w:val="24"/>
          <w:szCs w:val="24"/>
          <w:lang w:val="uk-UA"/>
        </w:rPr>
        <w:t xml:space="preserve">ше</w:t>
      </w:r>
      <w:r>
        <w:rPr>
          <w:rFonts w:ascii="Arial" w:hAnsi="Arial" w:cs="Arial"/>
          <w:sz w:val="24"/>
          <w:szCs w:val="24"/>
          <w:lang w:val="uk-UA"/>
        </w:rPr>
        <w:t xml:space="preserve"> на 30% відносно базового 2019</w:t>
      </w:r>
      <w:r>
        <w:rPr>
          <w:rFonts w:ascii="Arial" w:hAnsi="Arial" w:cs="Arial"/>
          <w:sz w:val="24"/>
          <w:szCs w:val="24"/>
          <w:lang w:val="uk-UA"/>
        </w:rPr>
        <w:t xml:space="preserve"> року визначило основну мету Плану дій зі сталого енергетичного розвитку </w:t>
      </w:r>
      <w:r>
        <w:rPr>
          <w:rFonts w:ascii="Arial" w:hAnsi="Arial" w:cs="Arial"/>
          <w:sz w:val="24"/>
          <w:szCs w:val="24"/>
          <w:lang w:val="uk-UA"/>
        </w:rPr>
        <w:t xml:space="preserve">громади</w:t>
      </w:r>
      <w:r>
        <w:rPr>
          <w:rFonts w:ascii="Arial" w:hAnsi="Arial" w:cs="Arial"/>
          <w:sz w:val="24"/>
          <w:szCs w:val="24"/>
          <w:lang w:val="uk-UA"/>
        </w:rPr>
        <w:t xml:space="preserve">  до 2030 року.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Стратегічною ціллю ПДСЕРК </w:t>
      </w:r>
      <w:r>
        <w:rPr>
          <w:rFonts w:ascii="Arial" w:hAnsi="Arial" w:cs="Arial"/>
          <w:sz w:val="24"/>
          <w:szCs w:val="24"/>
          <w:lang w:val="uk-UA"/>
        </w:rPr>
        <w:t xml:space="preserve">є забезпечення комфорту проживання мешканців шляхом підвищення якості наданих послуг з одночасним зниженням енерговитрат м інфраструктури та збільшення частки </w:t>
      </w:r>
      <w:r>
        <w:rPr>
          <w:rFonts w:ascii="Arial" w:hAnsi="Arial" w:cs="Arial"/>
          <w:sz w:val="24"/>
          <w:szCs w:val="24"/>
          <w:lang w:val="uk-UA"/>
        </w:rPr>
        <w:t xml:space="preserve">відновлювальних джерел енергії.</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Конкретними цілями ПДСЕРК є:</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w:t>
      </w:r>
      <w:r>
        <w:rPr>
          <w:rFonts w:ascii="Arial" w:hAnsi="Arial" w:cs="Arial"/>
          <w:sz w:val="24"/>
          <w:szCs w:val="24"/>
          <w:lang w:val="uk-UA"/>
        </w:rPr>
        <w:t xml:space="preserve">зменшення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до 2030 року у визначених секторах не менше ніж на </w:t>
      </w:r>
      <w:r>
        <w:rPr>
          <w:rFonts w:ascii="Arial" w:hAnsi="Arial" w:cs="Arial"/>
          <w:b/>
          <w:sz w:val="24"/>
          <w:szCs w:val="24"/>
          <w:lang w:val="uk-UA"/>
        </w:rPr>
        <w:t xml:space="preserve">31,78</w:t>
      </w:r>
      <w:r>
        <w:rPr>
          <w:rFonts w:ascii="Arial" w:hAnsi="Arial" w:cs="Arial"/>
          <w:b/>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зменшення загального використання енергії на </w:t>
      </w:r>
      <w:r>
        <w:rPr>
          <w:rFonts w:ascii="Arial" w:hAnsi="Arial" w:cs="Arial"/>
          <w:b/>
          <w:sz w:val="24"/>
          <w:szCs w:val="24"/>
          <w:lang w:val="uk-UA"/>
        </w:rPr>
        <w:t xml:space="preserve">23,5</w:t>
      </w:r>
      <w:r>
        <w:rPr>
          <w:rFonts w:ascii="Arial" w:hAnsi="Arial" w:cs="Arial"/>
          <w:b/>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збільшення частки відновлювальних джерел енергії до</w:t>
      </w:r>
      <w:r>
        <w:rPr>
          <w:rFonts w:ascii="Arial" w:hAnsi="Arial" w:cs="Arial"/>
          <w:b/>
          <w:sz w:val="24"/>
          <w:szCs w:val="24"/>
          <w:lang w:val="uk-UA"/>
        </w:rPr>
        <w:t xml:space="preserve"> </w:t>
      </w:r>
      <w:r>
        <w:rPr>
          <w:rFonts w:ascii="Arial" w:hAnsi="Arial" w:cs="Arial"/>
          <w:b/>
          <w:sz w:val="24"/>
          <w:szCs w:val="24"/>
          <w:lang w:val="uk-UA"/>
        </w:rPr>
        <w:t xml:space="preserve">5,04</w:t>
      </w:r>
      <w:r>
        <w:rPr>
          <w:rFonts w:ascii="Arial" w:hAnsi="Arial" w:cs="Arial"/>
          <w:b/>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підвищення раціональності використання ПЕР тепло- та водопостачальними організаціями;</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підвищення свідомості та відповідальності мешканців за раціональне використання ПЕР;</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w:t>
      </w:r>
      <w:r>
        <w:rPr>
          <w:rFonts w:ascii="Arial" w:hAnsi="Arial" w:cs="Arial"/>
          <w:sz w:val="24"/>
          <w:szCs w:val="24"/>
          <w:lang w:val="uk-UA"/>
        </w:rPr>
        <w:t xml:space="preserve">залученням інвестицій у проекти з енергозбереження.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Реалізація мети та передбачених Планом дій конкретних цілей здійснюється шляхом впровадження </w:t>
      </w:r>
      <w:r>
        <w:rPr>
          <w:rFonts w:ascii="Arial" w:hAnsi="Arial" w:cs="Arial"/>
          <w:sz w:val="24"/>
          <w:szCs w:val="24"/>
          <w:lang w:val="uk-UA"/>
        </w:rPr>
        <w:t xml:space="preserve">енергозберігаючих заходів та проведення інформаційних кампаній на енергозберігаючу тематику.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Даний розділ містить проекти та заходи, які спря</w:t>
      </w:r>
      <w:r>
        <w:rPr>
          <w:rFonts w:ascii="Arial" w:hAnsi="Arial" w:cs="Arial"/>
          <w:sz w:val="24"/>
          <w:szCs w:val="24"/>
          <w:lang w:val="uk-UA"/>
        </w:rPr>
        <w:t xml:space="preserve">мовані на скорочення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та пов'язані з виробництвом теплової енергії, водозабезпеченням </w:t>
      </w:r>
      <w:r>
        <w:rPr>
          <w:rFonts w:ascii="Arial" w:hAnsi="Arial" w:cs="Arial"/>
          <w:sz w:val="24"/>
          <w:szCs w:val="24"/>
          <w:lang w:val="uk-UA"/>
        </w:rPr>
        <w:t xml:space="preserve">громади</w:t>
      </w:r>
      <w:r>
        <w:rPr>
          <w:rFonts w:ascii="Arial" w:hAnsi="Arial" w:cs="Arial"/>
          <w:sz w:val="24"/>
          <w:szCs w:val="24"/>
          <w:lang w:val="uk-UA"/>
        </w:rPr>
        <w:t xml:space="preserve">, </w:t>
      </w:r>
      <w:r>
        <w:rPr>
          <w:rFonts w:ascii="Arial" w:hAnsi="Arial" w:cs="Arial"/>
          <w:sz w:val="24"/>
          <w:szCs w:val="24"/>
          <w:lang w:val="uk-UA"/>
        </w:rPr>
        <w:t xml:space="preserve">зовніш</w:t>
      </w:r>
      <w:r>
        <w:rPr>
          <w:rFonts w:ascii="Arial" w:hAnsi="Arial" w:cs="Arial"/>
          <w:sz w:val="24"/>
          <w:szCs w:val="24"/>
          <w:lang w:val="uk-UA"/>
        </w:rPr>
        <w:t xml:space="preserve">нім вуличним освітленням, а також із скороченням споживання енергетичних ресурсів в бюджетному та житловому секторах, громадському транспорті, промисловості.</w:t>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t xml:space="preserve">4.2. Обмеже</w:t>
      </w:r>
      <w:r>
        <w:rPr>
          <w:rFonts w:ascii="Arial" w:hAnsi="Arial" w:cs="Arial"/>
          <w:b/>
          <w:sz w:val="24"/>
          <w:szCs w:val="24"/>
          <w:lang w:val="uk-UA"/>
        </w:rPr>
        <w:t xml:space="preserve">ння і пріоритети ПДСЕРК </w:t>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Розроблення будь-якого плану базується на аналізі ситуації сьогодення та минулих п</w:t>
      </w:r>
      <w:r>
        <w:rPr>
          <w:rFonts w:ascii="Arial" w:hAnsi="Arial" w:cs="Arial"/>
          <w:sz w:val="24"/>
          <w:szCs w:val="24"/>
          <w:lang w:val="uk-UA"/>
        </w:rPr>
        <w:t xml:space="preserve">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Такі законодавчі та регуляторні обмеження враховувалися при формуванні переліку проектів чистої енергії, у результаті реалізації яких досягаються цілі ПДСЕРК, а саме:</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вимоги законодавства України, що регулюють містобудівельну діяльність і зобов'язують органи місцевого самоврядування, фізичних та юридичних осіб як суб’єктів містобудування, виконувати вимоги містобудівної документації;</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вимоги законодавства України «Про благоустрій населених пунктів»;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вимоги законодавства України щодо визначення умов і порядку переобладнання, перебудови, перепланування будівель, Правил утримання житлових будинків і прибудинкових територій.</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При формуванні інвестиційної стратегії реалізації ПДСЕРК враховувалися чинні на сьогодні</w:t>
      </w:r>
      <w:r>
        <w:rPr>
          <w:rFonts w:ascii="Arial" w:hAnsi="Arial" w:cs="Arial"/>
          <w:sz w:val="24"/>
          <w:szCs w:val="24"/>
          <w:lang w:val="uk-UA"/>
        </w:rPr>
        <w:t xml:space="preserve"> </w:t>
      </w:r>
      <w:r>
        <w:rPr>
          <w:rFonts w:ascii="Arial" w:hAnsi="Arial" w:cs="Arial"/>
          <w:sz w:val="24"/>
          <w:szCs w:val="24"/>
          <w:lang w:val="uk-UA"/>
        </w:rPr>
        <w:t xml:space="preserve">бюджетні обмеження:</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стаття 18 Бюджетного кодексу України, яка встановлює граничні обсяги державного (місцевого) боргу та державних (місцевих) гарантій:</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загальний обсяг місцевого боргу, гарантованого територіальною громадою міста </w:t>
      </w:r>
      <w:r>
        <w:rPr>
          <w:rFonts w:ascii="Arial" w:hAnsi="Arial" w:cs="Arial"/>
          <w:sz w:val="24"/>
          <w:szCs w:val="24"/>
          <w:lang w:val="uk-UA"/>
        </w:rPr>
        <w:t xml:space="preserve">(без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 середньорічного індикативного прогнозного обсягу надходжень бюджету розвитк</w:t>
      </w:r>
      <w:r>
        <w:rPr>
          <w:rFonts w:ascii="Arial" w:hAnsi="Arial" w:cs="Arial"/>
          <w:sz w:val="24"/>
          <w:szCs w:val="24"/>
          <w:lang w:val="uk-UA"/>
        </w:rPr>
        <w:t xml:space="preserve">у (без урахування обсягу місцевих запозичень і капітальних трансфертів (субвенцій) з інших бюджетів), визначеного прогнозом відповідного місцевого бюджету на наступні за плановим два бюджетні періоди відповідно до частини четвертої статті 21 цього Кодексу;</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стаття 74 Бюджетного кодексу України, яка встановлює особливості здійснення місцевих запозичень і надання місцевих гарантій:</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видатки місцевого бюджету на обслуговування місцевого боргу не можуть перевищувати 10 % видатків загального фонду місцевого бюджету протягом будь-якого бюджетного періоду, коли планується обслуговування місцевого боргу;</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відсутність можливості залишати бюджетні кошти, зекономлені внаслідок упровадження в місті проектів з </w:t>
      </w:r>
      <w:r>
        <w:rPr>
          <w:rFonts w:ascii="Arial" w:hAnsi="Arial" w:cs="Arial"/>
          <w:sz w:val="24"/>
          <w:szCs w:val="24"/>
          <w:lang w:val="uk-UA"/>
        </w:rPr>
        <w:t xml:space="preserve">енергоефективності, в бюджеті міста (згідно з чинним Бюджетним кодексом України).</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При формуванні інвестиційної стратегії реалізації ПДСЕРК міста (джерела та обсяги фінансування за роками) враховувалися:</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складна політична ситуація в Україні (політична нестабільність);</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обмежена можливість фінансування проектів із боку центральних органів влади, а також складна процедура залучення коштів із державного бюджету;</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обмежена можливість співфінансування з боку мешканців багатоквартирних будинків (крім будинків, де створені ОСББ);</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неготовність фінансово-кредитних установ співпрацювати з ОСББ і комунальними підприємствами міста.</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Тим не менш, розробники ПДСЕРК виходили з набору припущень, які створюють умови для досягнення поставлених цілей за певний період планування (2030 р.):</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політична та економічна ситуація в країні в найближчі роки стабілізується, і країна почне повільний поступальний рух до виходу із кризи;</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енергоефективність і заміщення природного газу буде пріоритетом для центральних і місцевих органів влади;</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пріоритети розвитку міста, які відображені в даному документі, будуть незмінними незалежно від змін у керівництві міста;</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передбачається подальше зростання цін на енергоносії, але при цьому тарифи для всіх категорій споживачів протягом найближчих декількох років досягнуть економічно обумовленого рівня, а до 2026 зрівняються з середньоєвропейськими;</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передбачається, що місто буде вести активну діяльність із залучення позикових коштів із метою фінансування проектів ПДСЕРК. При цьому активність МФО в У</w:t>
      </w:r>
      <w:r>
        <w:rPr>
          <w:rFonts w:ascii="Arial" w:hAnsi="Arial" w:cs="Arial"/>
          <w:sz w:val="24"/>
          <w:szCs w:val="24"/>
          <w:lang w:val="uk-UA"/>
        </w:rPr>
        <w:t xml:space="preserve">країні буде зростати, а обсяги фінансування — збільшуватися. Це припущення пов'язане як із політичною асоціацією України з Європейським Союзом у цілому, так і з актуалізацією проблеми енергонезалежності України для розвинених країн світу — наших партнерів;</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передбачається збільшення активності приват</w:t>
      </w:r>
      <w:r>
        <w:rPr>
          <w:rFonts w:ascii="Arial" w:hAnsi="Arial" w:cs="Arial"/>
          <w:sz w:val="24"/>
          <w:szCs w:val="24"/>
          <w:lang w:val="uk-UA"/>
        </w:rPr>
        <w:t xml:space="preserve">-</w:t>
      </w:r>
      <w:r>
        <w:rPr>
          <w:rFonts w:ascii="Arial" w:hAnsi="Arial" w:cs="Arial"/>
          <w:sz w:val="24"/>
          <w:szCs w:val="24"/>
          <w:lang w:val="uk-UA"/>
        </w:rPr>
        <w:t xml:space="preserve">них інвесторів у</w:t>
      </w:r>
      <w:r>
        <w:rPr>
          <w:rFonts w:ascii="Arial" w:hAnsi="Arial" w:cs="Arial"/>
          <w:sz w:val="24"/>
          <w:szCs w:val="24"/>
          <w:lang w:val="uk-UA"/>
        </w:rPr>
        <w:t xml:space="preserve"> сфері реалізації енергоефективних проектів і проектів із заміщення природного газу альтернативними джерелами енергії на умовах державно-приватного партнерства. Також з’явиться інтерес приватних інвесторів до інфраструктурних проектів в секторі транспорту;</w:t>
      </w:r>
      <w:r/>
    </w:p>
    <w:p>
      <w:pPr>
        <w:pStyle w:val="519"/>
        <w:numPr>
          <w:ilvl w:val="0"/>
          <w:numId w:val="1"/>
        </w:numPr>
        <w:ind w:left="0"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усі проекти щодо підвищення енергоефективності житлових будівель пропонується фінансувати тільки на умовах співфінансування з мешканцями цих будинків.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Для того, щоб забезпечити активну участь жителів у співфінансуванні проектів підвищення енергетичної ефективності в житловому секторі, необхідно подолати ряд наявних зараз обмежень, пов'язаних із так званим «людським фактором»:</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відсутність або недостатня кількість представницьких організацій (ресурсних центрів чистої енергії);</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не усвідомлення споживачами своєї ролі в енергоощадливому споживанні ресурсів;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недостатня поінформованість громадськості (про потреби/можливості співфінансування заходів/проектів).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Усунення або мінімізація негативного впливу даних факторів передбачається за рахунок розробки та впровадження комплексу «м'яких заходів» — інформаційно-</w:t>
      </w:r>
      <w:r>
        <w:rPr>
          <w:rFonts w:ascii="Arial" w:hAnsi="Arial" w:cs="Arial"/>
          <w:sz w:val="24"/>
          <w:szCs w:val="24"/>
          <w:lang w:val="uk-UA"/>
        </w:rPr>
        <w:t xml:space="preserve">просвітницьких заходів, які фінансуватимуться в рамках окремої цільової програми протягом усього періоду дії ПДСЕРК.</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Крім того, окремо варто вказати, що міська влада має слабкий вплив на деякі сектори, що обмежує вибір інвестиційних проектів і джерел фінансування.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При складанні Каталогу інвестиційних проектів ПДСЕРК, який є невід'ємним додатком до цього документу, враховувалися такі техніко-економічні обмеження, які мають свої особливості для кожного із секторів ПДСЕРК:</w:t>
      </w:r>
      <w:r/>
    </w:p>
    <w:p>
      <w:pPr>
        <w:ind w:right="-1" w:firstLine="708"/>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08"/>
        <w:jc w:val="both"/>
        <w:spacing w:lineRule="auto" w:line="240" w:after="0"/>
        <w:rPr>
          <w:rFonts w:ascii="Arial" w:hAnsi="Arial" w:cs="Arial"/>
          <w:b/>
          <w:i/>
          <w:sz w:val="24"/>
          <w:szCs w:val="24"/>
          <w:lang w:val="uk-UA"/>
        </w:rPr>
      </w:pPr>
      <w:r>
        <w:rPr>
          <w:rFonts w:ascii="Arial" w:hAnsi="Arial" w:cs="Arial"/>
          <w:b/>
          <w:i/>
          <w:sz w:val="24"/>
          <w:szCs w:val="24"/>
          <w:lang w:val="uk-UA"/>
        </w:rPr>
        <w:t xml:space="preserve">Сектор теплозабезпечення (теплопостачання та будівлі):</w:t>
      </w:r>
      <w:r/>
    </w:p>
    <w:p>
      <w:pPr>
        <w:ind w:right="-1" w:firstLine="708"/>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термодинамічна обмеженість величини </w:t>
      </w:r>
      <w:r>
        <w:rPr>
          <w:rFonts w:ascii="Arial" w:hAnsi="Arial" w:cs="Arial"/>
          <w:sz w:val="24"/>
          <w:szCs w:val="24"/>
          <w:lang w:val="uk-UA"/>
        </w:rPr>
        <w:t xml:space="preserve">отримува</w:t>
      </w:r>
      <w:r>
        <w:rPr>
          <w:rFonts w:ascii="Arial" w:hAnsi="Arial" w:cs="Arial"/>
          <w:sz w:val="24"/>
          <w:szCs w:val="24"/>
          <w:lang w:val="uk-UA"/>
        </w:rPr>
        <w:t xml:space="preserve">ного енергозберігаючого ефекту в ході впровадження енергоощадних заходів і проектів;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відсутня економічна доцільність включення в програму підвищення енергетичної ефективності малоповерхових будівель міста;</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відсутні можливості досягнення значного ефекту економії енергії та коштів шляхом упровадження окремих заходів з енергозбереження в будівлях міських </w:t>
      </w:r>
      <w:r>
        <w:rPr>
          <w:rFonts w:ascii="Arial" w:hAnsi="Arial" w:cs="Arial"/>
          <w:sz w:val="24"/>
          <w:szCs w:val="24"/>
          <w:lang w:val="uk-UA"/>
        </w:rPr>
        <w:t xml:space="preserve">секторів освіти, охорони здоров’я</w:t>
      </w:r>
      <w:r>
        <w:rPr>
          <w:rFonts w:ascii="Arial" w:hAnsi="Arial" w:cs="Arial"/>
          <w:sz w:val="24"/>
          <w:szCs w:val="24"/>
          <w:lang w:val="uk-UA"/>
        </w:rPr>
        <w:t xml:space="preserve">, </w:t>
      </w:r>
      <w:r>
        <w:rPr>
          <w:rFonts w:ascii="Arial" w:hAnsi="Arial" w:cs="Arial"/>
          <w:sz w:val="24"/>
          <w:szCs w:val="24"/>
          <w:lang w:val="uk-UA"/>
        </w:rPr>
        <w:t xml:space="preserve">житловому секторі, а також провести </w:t>
      </w:r>
      <w:r>
        <w:rPr>
          <w:rFonts w:ascii="Arial" w:hAnsi="Arial" w:cs="Arial"/>
          <w:sz w:val="24"/>
          <w:szCs w:val="24"/>
          <w:lang w:val="uk-UA"/>
        </w:rPr>
        <w:t xml:space="preserve">сертифікацію будівель, які фінансуються за рахунок місцевого бюджету за стандартом </w:t>
      </w:r>
      <w:r>
        <w:rPr>
          <w:rFonts w:ascii="Arial" w:hAnsi="Arial" w:cs="Arial"/>
          <w:sz w:val="24"/>
          <w:szCs w:val="24"/>
          <w:lang w:val="uk-UA"/>
        </w:rPr>
        <w:t xml:space="preserve">Passivhausinstituts</w:t>
      </w:r>
      <w:r>
        <w:rPr>
          <w:rFonts w:ascii="Arial" w:hAnsi="Arial" w:cs="Arial"/>
          <w:sz w:val="24"/>
          <w:szCs w:val="24"/>
          <w:lang w:val="uk-UA"/>
        </w:rPr>
        <w:t xml:space="preserve"> </w:t>
      </w:r>
      <w:r>
        <w:rPr>
          <w:rFonts w:ascii="Arial" w:hAnsi="Arial" w:cs="Arial"/>
          <w:sz w:val="24"/>
          <w:szCs w:val="24"/>
          <w:lang w:val="uk-UA"/>
        </w:rPr>
        <w:t xml:space="preserve">Darmstadt</w:t>
      </w:r>
      <w:r>
        <w:rPr>
          <w:rFonts w:ascii="Arial" w:hAnsi="Arial" w:cs="Arial"/>
          <w:sz w:val="24"/>
          <w:szCs w:val="24"/>
          <w:lang w:val="uk-UA"/>
        </w:rPr>
        <w:t xml:space="preserve"> (PHI), Європейського Інституту Пасивного Будинку</w:t>
      </w:r>
      <w:r/>
    </w:p>
    <w:p>
      <w:pPr>
        <w:ind w:right="-1" w:firstLine="708"/>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b/>
          <w:i/>
          <w:sz w:val="24"/>
          <w:szCs w:val="24"/>
          <w:lang w:val="uk-UA"/>
        </w:rPr>
        <w:t xml:space="preserve">Вуличне освітлення</w:t>
      </w:r>
      <w:r>
        <w:rPr>
          <w:rFonts w:ascii="Arial" w:hAnsi="Arial" w:cs="Arial"/>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необхідність капітального ремонту мереж вуличного освітлення, шляхом технічного переоснащення світильників </w:t>
      </w:r>
      <w:r>
        <w:rPr>
          <w:rFonts w:ascii="Arial" w:hAnsi="Arial" w:cs="Arial"/>
          <w:sz w:val="24"/>
          <w:szCs w:val="24"/>
          <w:lang w:val="uk-UA"/>
        </w:rPr>
        <w:t xml:space="preserve">на основі LED технологій та впровадження загальноміської системи управління освітленням вулиць.</w:t>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lang w:val="uk-UA" w:eastAsia="uk-UA"/>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column">
                  <wp:posOffset>4757420</wp:posOffset>
                </wp:positionH>
                <wp:positionV relativeFrom="paragraph">
                  <wp:posOffset>184150</wp:posOffset>
                </wp:positionV>
                <wp:extent cx="4419600" cy="1098550"/>
                <wp:effectExtent l="0" t="0" r="0" b="6350"/>
                <wp:wrapTight wrapText="bothSides">
                  <wp:wrapPolygon edited="1">
                    <wp:start x="0" y="0"/>
                    <wp:lineTo x="0" y="21350"/>
                    <wp:lineTo x="21507" y="21350"/>
                    <wp:lineTo x="21507" y="0"/>
                    <wp:lineTo x="0" y="0"/>
                  </wp:wrapPolygon>
                </wp:wrapTight>
                <wp:docPr id="30" name="Рисунок 47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Рисунок 470" hidden="0"/>
                        <pic:cNvPicPr>
                          <a:picLocks noChangeAspect="1"/>
                        </pic:cNvPicPr>
                      </pic:nvPicPr>
                      <pic:blipFill>
                        <a:blip r:embed="rId37"/>
                        <a:stretch/>
                      </pic:blipFill>
                      <pic:spPr bwMode="auto">
                        <a:xfrm>
                          <a:off x="0" y="0"/>
                          <a:ext cx="4419600" cy="10985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59264;o:allowoverlap:true;o:allowincell:true;mso-position-horizontal-relative:text;margin-left:374.6pt;mso-position-horizontal:absolute;mso-position-vertical-relative:text;margin-top:14.5pt;mso-position-vertical:absolute;width:348.0pt;height:86.5pt;" wrapcoords="0 0 0 98843 99569 98843 99569 0 0 0">
                <v:path textboxrect="0,0,0,0"/>
                <v:imagedata r:id="rId37" o:title=""/>
              </v:shape>
            </w:pict>
          </mc:Fallback>
        </mc:AlternateContent>
      </w:r>
      <w:r>
        <w:rPr>
          <w:rFonts w:ascii="Arial" w:hAnsi="Arial" w:cs="Arial"/>
          <w:b/>
          <w:i/>
          <w:sz w:val="24"/>
          <w:szCs w:val="24"/>
          <w:lang w:val="uk-UA"/>
        </w:rPr>
        <w:t xml:space="preserve">Водопостачання та водовідведення</w:t>
      </w:r>
      <w:r>
        <w:rPr>
          <w:rFonts w:ascii="Arial" w:hAnsi="Arial" w:cs="Arial"/>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передбачена повна технологічна модернізація водопостачання і водовідведення, що дасть змогу значно покращити показники енергозбереження.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b/>
          <w:i/>
          <w:sz w:val="24"/>
          <w:szCs w:val="24"/>
          <w:lang w:val="uk-UA"/>
        </w:rPr>
        <w:t xml:space="preserve">Упровадження альтернативних і </w:t>
      </w:r>
      <w:r>
        <w:rPr>
          <w:rFonts w:ascii="Arial" w:hAnsi="Arial" w:cs="Arial"/>
          <w:b/>
          <w:i/>
          <w:sz w:val="24"/>
          <w:szCs w:val="24"/>
          <w:lang w:val="uk-UA"/>
        </w:rPr>
        <w:t xml:space="preserve">відновлюва</w:t>
      </w:r>
      <w:r>
        <w:rPr>
          <w:rFonts w:ascii="Arial" w:hAnsi="Arial" w:cs="Arial"/>
          <w:b/>
          <w:i/>
          <w:sz w:val="24"/>
          <w:szCs w:val="24"/>
          <w:lang w:val="uk-UA"/>
        </w:rPr>
        <w:t xml:space="preserve">льних джерел енергії</w:t>
      </w:r>
      <w:r>
        <w:rPr>
          <w:rFonts w:ascii="Arial" w:hAnsi="Arial" w:cs="Arial"/>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відсутність необхідного потенціалу </w:t>
      </w:r>
      <w:r>
        <w:rPr>
          <w:rFonts w:ascii="Arial" w:hAnsi="Arial" w:cs="Arial"/>
          <w:sz w:val="24"/>
          <w:szCs w:val="24"/>
          <w:lang w:val="uk-UA"/>
        </w:rPr>
        <w:t xml:space="preserve">відновлюва</w:t>
      </w:r>
      <w:r>
        <w:rPr>
          <w:rFonts w:ascii="Arial" w:hAnsi="Arial" w:cs="Arial"/>
          <w:sz w:val="24"/>
          <w:szCs w:val="24"/>
          <w:lang w:val="uk-UA"/>
        </w:rPr>
        <w:t xml:space="preserve">льних джерел енергії. Серед усіх видів АДЕ найбільший потенціал має біомаса, яку можна використовувати для виробництва теплової та електричної енергії, заміщаючи таким</w:t>
      </w:r>
      <w:r>
        <w:rPr>
          <w:rFonts w:ascii="Arial" w:hAnsi="Arial" w:cs="Arial"/>
          <w:sz w:val="24"/>
          <w:szCs w:val="24"/>
          <w:lang w:val="uk-UA"/>
        </w:rPr>
        <w:t xml:space="preserve"> чином природний газ і вугілля;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необхідність у дублюючих теплових </w:t>
      </w:r>
      <w:r>
        <w:rPr>
          <w:rFonts w:ascii="Arial" w:hAnsi="Arial" w:cs="Arial"/>
          <w:sz w:val="24"/>
          <w:szCs w:val="24"/>
          <w:lang w:val="uk-UA"/>
        </w:rPr>
        <w:t xml:space="preserve">потужностях</w:t>
      </w:r>
      <w:r>
        <w:rPr>
          <w:rFonts w:ascii="Arial" w:hAnsi="Arial" w:cs="Arial"/>
          <w:sz w:val="24"/>
          <w:szCs w:val="24"/>
          <w:lang w:val="uk-UA"/>
        </w:rPr>
        <w:t xml:space="preserve"> при використанні відновлювальних джерел енергії. Це обмежує можливість отримання «зеленого тарифу» для </w:t>
      </w:r>
      <w:r>
        <w:rPr>
          <w:rFonts w:ascii="Arial" w:hAnsi="Arial" w:cs="Arial"/>
          <w:sz w:val="24"/>
          <w:szCs w:val="24"/>
          <w:lang w:val="uk-UA"/>
        </w:rPr>
        <w:t xml:space="preserve">біо</w:t>
      </w:r>
      <w:r>
        <w:rPr>
          <w:rFonts w:ascii="Arial" w:hAnsi="Arial" w:cs="Arial"/>
          <w:sz w:val="24"/>
          <w:szCs w:val="24"/>
          <w:lang w:val="uk-UA"/>
        </w:rPr>
        <w:t xml:space="preserve">-ТЕЦ;</w:t>
      </w:r>
      <w:r/>
    </w:p>
    <w:p>
      <w:pPr>
        <w:pStyle w:val="519"/>
        <w:ind w:left="0"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енергія сонця навпаки за останній час збільшила свою інвестиційну привабливість і була включена до ПДСЕРК;</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інші види АДЕ з різних причин (обмеженість потенціалу, низь</w:t>
      </w:r>
      <w:r>
        <w:rPr>
          <w:rFonts w:ascii="Arial" w:hAnsi="Arial" w:cs="Arial"/>
          <w:sz w:val="24"/>
          <w:szCs w:val="24"/>
          <w:lang w:val="uk-UA"/>
        </w:rPr>
        <w:t xml:space="preserve">кі показники інвестиційної привабливості) не може бути значною мірою застосований у масштабах міста для заміщення традиційних джерел енергії. У каталозі інвестиційних проектів ПДСЕРК вони представлені виключно у вигляді пілотних і демонстраційних проектів.</w:t>
      </w:r>
      <w:r/>
    </w:p>
    <w:p>
      <w:pPr>
        <w:ind w:right="-1"/>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b/>
          <w:i/>
          <w:sz w:val="24"/>
          <w:szCs w:val="24"/>
          <w:lang w:val="uk-UA"/>
        </w:rPr>
        <w:t xml:space="preserve">Екологічні обмеження</w:t>
      </w:r>
      <w:r>
        <w:rPr>
          <w:rFonts w:ascii="Arial" w:hAnsi="Arial" w:cs="Arial"/>
          <w:sz w:val="24"/>
          <w:szCs w:val="24"/>
          <w:lang w:val="uk-UA"/>
        </w:rPr>
        <w:t xml:space="preserve">:</w:t>
      </w:r>
      <w:r/>
    </w:p>
    <w:p>
      <w:pPr>
        <w:pStyle w:val="557"/>
        <w:numPr>
          <w:ilvl w:val="0"/>
          <w:numId w:val="16"/>
        </w:numPr>
        <w:ind w:right="-1"/>
        <w:jc w:val="both"/>
        <w:spacing w:lineRule="auto" w:line="240" w:after="0"/>
        <w:rPr>
          <w:rFonts w:ascii="Arial" w:hAnsi="Arial" w:cs="Arial"/>
          <w:sz w:val="24"/>
          <w:szCs w:val="24"/>
          <w:lang w:val="uk-UA"/>
        </w:rPr>
      </w:pPr>
      <w:r>
        <w:rPr>
          <w:rFonts w:ascii="Arial" w:hAnsi="Arial" w:cs="Arial"/>
          <w:sz w:val="24"/>
          <w:szCs w:val="24"/>
          <w:lang w:val="uk-UA"/>
        </w:rPr>
        <w:t xml:space="preserve">за</w:t>
      </w:r>
      <w:r>
        <w:rPr>
          <w:rFonts w:ascii="Arial" w:hAnsi="Arial" w:cs="Arial"/>
          <w:sz w:val="24"/>
          <w:szCs w:val="24"/>
          <w:lang w:val="uk-UA"/>
        </w:rPr>
        <w:t xml:space="preserve">міщення природного газу біомасою призводить до збільшення викидів шкідливих речовин, тому, реалізуючи такі проекти, необхідно ретельно опрацьовувати оцінку впливу проекту на навколишнє середовище, передбачати різні системи очищення відхідних газів, що приз</w:t>
      </w:r>
      <w:r>
        <w:rPr>
          <w:rFonts w:ascii="Arial" w:hAnsi="Arial" w:cs="Arial"/>
          <w:sz w:val="24"/>
          <w:szCs w:val="24"/>
          <w:lang w:val="uk-UA"/>
        </w:rPr>
        <w:t xml:space="preserve">водить до здорожчання проекту. </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Таким чином, можна виділити пріоритети ПДСЕРК щодо вибору інвестиційних проектів і заходів:</w:t>
      </w:r>
      <w:r/>
    </w:p>
    <w:p>
      <w:pPr>
        <w:ind w:right="-1" w:firstLine="720"/>
        <w:jc w:val="both"/>
        <w:spacing w:lineRule="auto" w:line="240" w:after="0"/>
        <w:tabs>
          <w:tab w:val="left" w:pos="1080" w:leader="none"/>
        </w:tabs>
        <w:rPr>
          <w:rFonts w:ascii="Arial" w:hAnsi="Arial" w:cs="Arial"/>
          <w:sz w:val="24"/>
          <w:szCs w:val="24"/>
          <w:lang w:val="uk-UA"/>
        </w:rPr>
      </w:pPr>
      <w:r>
        <w:rPr>
          <w:rFonts w:ascii="Arial" w:hAnsi="Arial" w:cs="Arial"/>
          <w:sz w:val="24"/>
          <w:szCs w:val="24"/>
          <w:lang w:val="uk-UA"/>
        </w:rPr>
        <w:t xml:space="preserve">1. Проекти у сфері теплопостачання, </w:t>
      </w:r>
      <w:r>
        <w:rPr>
          <w:rFonts w:ascii="Arial" w:hAnsi="Arial" w:cs="Arial"/>
          <w:sz w:val="24"/>
          <w:szCs w:val="24"/>
          <w:lang w:val="uk-UA"/>
        </w:rPr>
        <w:t xml:space="preserve">водопоста</w:t>
      </w:r>
      <w:r>
        <w:rPr>
          <w:rFonts w:ascii="Arial" w:hAnsi="Arial" w:cs="Arial"/>
          <w:sz w:val="24"/>
          <w:szCs w:val="24"/>
          <w:lang w:val="uk-UA"/>
        </w:rPr>
        <w:t xml:space="preserve">чання, водовідведення та вуличного освітлення формуються на основі інвестиційних програм підприємств із включенням погоджених із керівництвом підприємств і міста проектів.</w:t>
      </w:r>
      <w:r/>
    </w:p>
    <w:p>
      <w:pPr>
        <w:ind w:right="-1" w:firstLine="720"/>
        <w:jc w:val="both"/>
        <w:spacing w:lineRule="auto" w:line="240" w:after="0"/>
        <w:tabs>
          <w:tab w:val="left" w:pos="1080" w:leader="none"/>
        </w:tabs>
        <w:rPr>
          <w:rFonts w:ascii="Arial" w:hAnsi="Arial" w:cs="Arial"/>
          <w:sz w:val="24"/>
          <w:szCs w:val="24"/>
          <w:lang w:val="uk-UA"/>
        </w:rPr>
      </w:pPr>
      <w:r>
        <w:rPr>
          <w:rFonts w:ascii="Arial" w:hAnsi="Arial" w:cs="Arial"/>
          <w:sz w:val="24"/>
          <w:szCs w:val="24"/>
          <w:lang w:val="uk-UA"/>
        </w:rPr>
        <w:t xml:space="preserve">2. Підвищення енергоефективності в секторі громадських будівель передбачається шляхом поетапного впровадження пакетів енергоефективних заходів з обов'язковою повною </w:t>
      </w:r>
      <w:r>
        <w:rPr>
          <w:rFonts w:ascii="Arial" w:hAnsi="Arial" w:cs="Arial"/>
          <w:sz w:val="24"/>
          <w:szCs w:val="24"/>
          <w:lang w:val="uk-UA"/>
        </w:rPr>
        <w:t xml:space="preserve">термомодернізацією</w:t>
      </w:r>
      <w:r>
        <w:rPr>
          <w:rFonts w:ascii="Arial" w:hAnsi="Arial" w:cs="Arial"/>
          <w:sz w:val="24"/>
          <w:szCs w:val="24"/>
          <w:lang w:val="uk-UA"/>
        </w:rPr>
        <w:t xml:space="preserve"> громадських будівель за період дії ПДСЕРК.</w:t>
      </w:r>
      <w:r/>
    </w:p>
    <w:p>
      <w:pPr>
        <w:ind w:right="-1" w:firstLine="720"/>
        <w:jc w:val="both"/>
        <w:spacing w:lineRule="auto" w:line="240" w:after="0"/>
        <w:tabs>
          <w:tab w:val="left" w:pos="1080" w:leader="none"/>
        </w:tabs>
        <w:rPr>
          <w:rFonts w:ascii="Arial" w:hAnsi="Arial" w:cs="Arial"/>
          <w:sz w:val="24"/>
          <w:szCs w:val="24"/>
          <w:lang w:val="uk-UA"/>
        </w:rPr>
      </w:pPr>
      <w:r>
        <w:rPr>
          <w:rFonts w:ascii="Arial" w:hAnsi="Arial" w:cs="Arial"/>
          <w:sz w:val="24"/>
          <w:szCs w:val="24"/>
          <w:lang w:val="uk-UA"/>
        </w:rPr>
        <w:t xml:space="preserve">3. Підвищення енергоефективності в секторі житлових будинків передбачається шляхом поетапного впровадження пакетів енергоефективних заходів з обов'язковою участю мешканців багатоквартирних будинків у співфінансуванні енергоефективних заходів.</w:t>
      </w:r>
      <w:r/>
    </w:p>
    <w:p>
      <w:pPr>
        <w:ind w:right="-1" w:firstLine="720"/>
        <w:jc w:val="both"/>
        <w:spacing w:lineRule="auto" w:line="240" w:after="0"/>
        <w:tabs>
          <w:tab w:val="left" w:pos="1080" w:leader="none"/>
        </w:tabs>
        <w:rPr>
          <w:rFonts w:ascii="Arial" w:hAnsi="Arial" w:cs="Arial"/>
          <w:sz w:val="24"/>
          <w:szCs w:val="24"/>
          <w:lang w:val="uk-UA"/>
        </w:rPr>
      </w:pPr>
      <w:r>
        <w:rPr>
          <w:rFonts w:ascii="Arial" w:hAnsi="Arial" w:cs="Arial"/>
          <w:sz w:val="24"/>
          <w:szCs w:val="24"/>
          <w:lang w:val="uk-UA"/>
        </w:rPr>
        <w:t xml:space="preserve">4. Реалізація інфраструктурних проектів у сфері транспорту, що при</w:t>
      </w:r>
      <w:r>
        <w:rPr>
          <w:rFonts w:ascii="Arial" w:hAnsi="Arial" w:cs="Arial"/>
          <w:sz w:val="24"/>
          <w:szCs w:val="24"/>
          <w:lang w:val="uk-UA"/>
        </w:rPr>
        <w:t xml:space="preserve">зводить до зменшення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передбачає широке залучення приватних інвестицій, у т. ч. на умовах державно-приватного партнерства.</w:t>
      </w:r>
      <w:r/>
    </w:p>
    <w:p>
      <w:pPr>
        <w:ind w:right="-1" w:firstLine="720"/>
        <w:jc w:val="both"/>
        <w:spacing w:lineRule="auto" w:line="240" w:after="0"/>
        <w:tabs>
          <w:tab w:val="left" w:pos="1080" w:leader="none"/>
        </w:tabs>
        <w:rPr>
          <w:rFonts w:ascii="Arial" w:hAnsi="Arial" w:cs="Arial"/>
          <w:sz w:val="24"/>
          <w:szCs w:val="24"/>
          <w:lang w:val="uk-UA"/>
        </w:rPr>
      </w:pPr>
      <w:r>
        <w:rPr>
          <w:rFonts w:ascii="Arial" w:hAnsi="Arial" w:cs="Arial"/>
          <w:sz w:val="24"/>
          <w:szCs w:val="24"/>
          <w:lang w:val="uk-UA"/>
        </w:rPr>
        <w:t xml:space="preserve">5. Основними джерелами фінансування в інших секторах визначені бюджет розвитку міста, кошти підприємств, кредити міжнародних фінансових організацій.</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b/>
          <w:sz w:val="24"/>
          <w:szCs w:val="24"/>
          <w:lang w:val="uk-UA"/>
        </w:rPr>
        <w:t xml:space="preserve">4.3. Створення дієвої структури енергетичного менеджменту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Для виконання ПДСЕРК та всіх стратегічних завдань </w:t>
      </w:r>
      <w:r>
        <w:rPr>
          <w:rFonts w:ascii="Arial" w:hAnsi="Arial" w:cs="Arial"/>
          <w:sz w:val="24"/>
          <w:szCs w:val="24"/>
          <w:lang w:val="uk-UA"/>
        </w:rPr>
        <w:t xml:space="preserve">Менської громади</w:t>
      </w:r>
      <w:r>
        <w:rPr>
          <w:rFonts w:ascii="Arial" w:hAnsi="Arial" w:cs="Arial"/>
          <w:sz w:val="24"/>
          <w:szCs w:val="24"/>
          <w:lang w:val="uk-UA"/>
        </w:rPr>
        <w:t xml:space="preserve"> першочерговим завданням є створення дієвої структури енергоменеджменту. Програма створення структури енергоменеджменту включає ряд основних етапів:</w:t>
      </w:r>
      <w:r/>
    </w:p>
    <w:p>
      <w:pPr>
        <w:numPr>
          <w:ilvl w:val="0"/>
          <w:numId w:val="7"/>
        </w:numPr>
        <w:ind w:left="720" w:right="-1" w:firstLine="3"/>
        <w:jc w:val="both"/>
        <w:spacing w:lineRule="auto" w:line="240" w:after="0"/>
        <w:rPr>
          <w:rFonts w:ascii="Arial" w:hAnsi="Arial" w:cs="Arial"/>
          <w:sz w:val="24"/>
          <w:szCs w:val="24"/>
          <w:lang w:val="uk-UA"/>
        </w:rPr>
      </w:pPr>
      <w:r>
        <w:rPr>
          <w:rFonts w:ascii="Arial" w:hAnsi="Arial" w:cs="Arial"/>
          <w:sz w:val="24"/>
          <w:szCs w:val="24"/>
          <w:lang w:val="uk-UA"/>
        </w:rPr>
        <w:t xml:space="preserve">розробку та впровадження;</w:t>
      </w:r>
      <w:r/>
    </w:p>
    <w:p>
      <w:pPr>
        <w:numPr>
          <w:ilvl w:val="0"/>
          <w:numId w:val="7"/>
        </w:numPr>
        <w:ind w:left="720" w:right="-1" w:firstLine="3"/>
        <w:jc w:val="both"/>
        <w:spacing w:lineRule="auto" w:line="240" w:after="0"/>
        <w:rPr>
          <w:rFonts w:ascii="Arial" w:hAnsi="Arial" w:cs="Arial"/>
          <w:sz w:val="24"/>
          <w:szCs w:val="24"/>
          <w:lang w:val="uk-UA"/>
        </w:rPr>
      </w:pPr>
      <w:r>
        <w:rPr>
          <w:rFonts w:ascii="Arial" w:hAnsi="Arial" w:cs="Arial"/>
          <w:sz w:val="24"/>
          <w:szCs w:val="24"/>
          <w:lang w:val="uk-UA"/>
        </w:rPr>
        <w:t xml:space="preserve">енергетичний аудит та оцінку ефективності;</w:t>
      </w:r>
      <w:r/>
    </w:p>
    <w:p>
      <w:pPr>
        <w:numPr>
          <w:ilvl w:val="0"/>
          <w:numId w:val="7"/>
        </w:numPr>
        <w:ind w:left="720" w:right="-1" w:firstLine="3"/>
        <w:jc w:val="both"/>
        <w:spacing w:lineRule="auto" w:line="240" w:after="0"/>
        <w:rPr>
          <w:rFonts w:ascii="Arial" w:hAnsi="Arial" w:cs="Arial"/>
          <w:sz w:val="24"/>
          <w:szCs w:val="24"/>
          <w:lang w:val="uk-UA"/>
        </w:rPr>
      </w:pPr>
      <w:r>
        <w:rPr>
          <w:rFonts w:ascii="Arial" w:hAnsi="Arial" w:cs="Arial"/>
          <w:sz w:val="24"/>
          <w:szCs w:val="24"/>
          <w:lang w:val="uk-UA"/>
        </w:rPr>
        <w:t xml:space="preserve">підготовку та сертифікацію;</w:t>
      </w:r>
      <w:r/>
    </w:p>
    <w:p>
      <w:pPr>
        <w:numPr>
          <w:ilvl w:val="0"/>
          <w:numId w:val="7"/>
        </w:numPr>
        <w:ind w:left="720" w:right="-1" w:firstLine="3"/>
        <w:jc w:val="both"/>
        <w:spacing w:lineRule="auto" w:line="240" w:after="0"/>
        <w:rPr>
          <w:rFonts w:ascii="Arial" w:hAnsi="Arial" w:cs="Arial"/>
          <w:sz w:val="24"/>
          <w:szCs w:val="24"/>
          <w:lang w:val="uk-UA"/>
        </w:rPr>
      </w:pPr>
      <w:r>
        <w:rPr>
          <w:rFonts w:ascii="Arial" w:hAnsi="Arial" w:cs="Arial"/>
          <w:sz w:val="24"/>
          <w:szCs w:val="24"/>
          <w:lang w:val="uk-UA"/>
        </w:rPr>
        <w:t xml:space="preserve">обстеження, аналіз та діагностику.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Всі ці дії є досить витратними та передбачають високий рівень фахівців і значні капіталовкладення в експертний потенціал.</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В ЄС постійно ведеться робота з підб</w:t>
      </w:r>
      <w:r>
        <w:rPr>
          <w:rFonts w:ascii="Arial" w:hAnsi="Arial" w:cs="Arial"/>
          <w:sz w:val="24"/>
          <w:szCs w:val="24"/>
          <w:lang w:val="uk-UA"/>
        </w:rPr>
        <w:t xml:space="preserve">ору організаційних інструментів, що дозволяють гармонійно управляти підвищенням енергоефективності. У поняття гармонійності входить розуміння того факту, що управління суспільними інтересами зовсім не є прерогативою держави або муніципалітетів. В Європі за</w:t>
      </w:r>
      <w:r>
        <w:rPr>
          <w:rFonts w:ascii="Arial" w:hAnsi="Arial" w:cs="Arial"/>
          <w:sz w:val="24"/>
          <w:szCs w:val="24"/>
          <w:lang w:val="uk-UA"/>
        </w:rPr>
        <w:t xml:space="preserve">стосовують різні способи здійснення державно-приватного партнерства, головною метою якого є зниження ризиків здійснення суспільно значимих проектів. При цьому, там виходять з того, що муніципальні та державні службовці за визначенням не можуть володіти всі</w:t>
      </w:r>
      <w:r>
        <w:rPr>
          <w:rFonts w:ascii="Arial" w:hAnsi="Arial" w:cs="Arial"/>
          <w:sz w:val="24"/>
          <w:szCs w:val="24"/>
          <w:lang w:val="uk-UA"/>
        </w:rPr>
        <w:t xml:space="preserve">м необхідним інструментарієм для вдалого здійснення конкретних проектів, таких, наприклад, як модернізація об’єктів інфраструктури, ремонт будівель, управління нерухомістю. Для реалізації проектів необхідно застосовувати бізнес інструментарій та підтримку </w:t>
      </w:r>
      <w:r>
        <w:rPr>
          <w:rFonts w:ascii="Arial" w:hAnsi="Arial" w:cs="Arial"/>
          <w:sz w:val="24"/>
          <w:szCs w:val="24"/>
          <w:lang w:val="uk-UA"/>
        </w:rPr>
        <w:t xml:space="preserve">громадянського суспільства, яким немає необхідності користуватися державним та муніципальним службовцям.</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У сфері організації енергозбереження там працюють муніципальні та регіональні енергетичні агенції у формі некомерційних </w:t>
      </w:r>
      <w:r>
        <w:rPr>
          <w:rFonts w:ascii="Arial" w:hAnsi="Arial" w:cs="Arial"/>
          <w:sz w:val="24"/>
          <w:szCs w:val="24"/>
          <w:lang w:val="uk-UA"/>
        </w:rPr>
        <w:t xml:space="preserve">партнерств</w:t>
      </w:r>
      <w:r>
        <w:rPr>
          <w:rFonts w:ascii="Arial" w:hAnsi="Arial" w:cs="Arial"/>
          <w:sz w:val="24"/>
          <w:szCs w:val="24"/>
          <w:lang w:val="uk-UA"/>
        </w:rPr>
        <w:t xml:space="preserve"> та акціонерних товариств. Голо</w:t>
      </w:r>
      <w:r>
        <w:rPr>
          <w:rFonts w:ascii="Arial" w:hAnsi="Arial" w:cs="Arial"/>
          <w:sz w:val="24"/>
          <w:szCs w:val="24"/>
          <w:lang w:val="uk-UA"/>
        </w:rPr>
        <w:t xml:space="preserve">вна ідея створення таких агенцій полягає у віддаленні органів влади від питань управління господарською діяльністю та зниження господарських і політичних ризиків. При цьому, прийняття політичних рішень та політична підтримка залишається прерогативою влади.</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Стійкість діяльності забезпечується відстороненістю від влади і тим, що, в більшості випадків, влада ставить перед своїм виконавчим апаратом</w:t>
      </w:r>
      <w:r>
        <w:rPr>
          <w:rFonts w:ascii="Arial" w:hAnsi="Arial" w:cs="Arial"/>
          <w:sz w:val="24"/>
          <w:szCs w:val="24"/>
          <w:lang w:val="uk-UA"/>
        </w:rPr>
        <w:t xml:space="preserve"> завдання обслуговування тих політичних завдань, які ставляться перед цими консолідованими організаціями. Головним завданням є забезпечення комфортних умов для проживання, енергетичної стійкості, скорочення витрат з мінімальним залученням бюджетних коштів.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Питаннями організації роботи з розвитку енергетики та раціоналізації споживання енергії </w:t>
      </w:r>
      <w:r>
        <w:rPr>
          <w:rFonts w:ascii="Arial" w:hAnsi="Arial" w:cs="Arial"/>
          <w:sz w:val="24"/>
          <w:szCs w:val="24"/>
          <w:lang w:val="uk-UA"/>
        </w:rPr>
        <w:t xml:space="preserve">у</w:t>
      </w:r>
      <w:r>
        <w:rPr>
          <w:rFonts w:ascii="Arial" w:hAnsi="Arial" w:cs="Arial"/>
          <w:sz w:val="24"/>
          <w:szCs w:val="24"/>
          <w:lang w:val="uk-UA"/>
        </w:rPr>
        <w:t xml:space="preserve"> </w:t>
      </w:r>
      <w:r>
        <w:rPr>
          <w:rFonts w:ascii="Arial" w:hAnsi="Arial" w:cs="Arial"/>
          <w:sz w:val="24"/>
          <w:szCs w:val="24"/>
          <w:lang w:val="uk-UA"/>
        </w:rPr>
        <w:t xml:space="preserve">громаді</w:t>
      </w:r>
      <w:r>
        <w:rPr>
          <w:rFonts w:ascii="Arial" w:hAnsi="Arial" w:cs="Arial"/>
          <w:sz w:val="24"/>
          <w:szCs w:val="24"/>
          <w:lang w:val="uk-UA"/>
        </w:rPr>
        <w:t xml:space="preserve"> </w:t>
      </w:r>
      <w:r>
        <w:rPr>
          <w:rFonts w:ascii="Arial" w:hAnsi="Arial" w:cs="Arial"/>
          <w:sz w:val="24"/>
          <w:szCs w:val="24"/>
          <w:lang w:val="uk-UA"/>
        </w:rPr>
        <w:t xml:space="preserve">повинен займатися не муніципалітет, а енергетична агенція, яка візьме на себе всі витрати на власне забезпечення та на залучення експертного потенціалу.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Основними завданнями агенції є:</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numPr>
          <w:ilvl w:val="0"/>
          <w:numId w:val="8"/>
        </w:numPr>
        <w:ind w:left="1620" w:right="-1" w:hanging="911"/>
        <w:jc w:val="both"/>
        <w:spacing w:lineRule="auto" w:line="240" w:after="0"/>
        <w:tabs>
          <w:tab w:val="clear" w:pos="1077" w:leader="none"/>
          <w:tab w:val="left" w:pos="1620" w:leader="none"/>
        </w:tabs>
        <w:rPr>
          <w:rFonts w:ascii="Arial" w:hAnsi="Arial" w:cs="Arial"/>
          <w:sz w:val="24"/>
          <w:szCs w:val="24"/>
          <w:lang w:val="uk-UA"/>
        </w:rPr>
      </w:pPr>
      <w:r>
        <w:rPr>
          <w:rFonts w:ascii="Arial" w:hAnsi="Arial" w:cs="Arial"/>
          <w:sz w:val="24"/>
          <w:szCs w:val="24"/>
          <w:lang w:val="uk-UA"/>
        </w:rPr>
        <w:t xml:space="preserve">впровадження енергоефективних та енергозберігаючих проектів з метою скорочення витрат місцевого бюджету та зниження рівня викиді</w:t>
      </w:r>
      <w:r>
        <w:rPr>
          <w:rFonts w:ascii="Arial" w:hAnsi="Arial" w:cs="Arial"/>
          <w:sz w:val="24"/>
          <w:szCs w:val="24"/>
          <w:lang w:val="uk-UA"/>
        </w:rPr>
        <w:t xml:space="preserve">в шкідливих речовин, зокрема СО</w:t>
      </w:r>
      <w:r>
        <w:rPr>
          <w:rFonts w:ascii="Arial" w:hAnsi="Arial" w:cs="Arial"/>
          <w:sz w:val="24"/>
          <w:szCs w:val="24"/>
          <w:vertAlign w:val="subscript"/>
          <w:lang w:val="uk-UA"/>
        </w:rPr>
        <w:t xml:space="preserve">2</w:t>
      </w:r>
      <w:r>
        <w:rPr>
          <w:rFonts w:ascii="Arial" w:hAnsi="Arial" w:cs="Arial"/>
          <w:sz w:val="24"/>
          <w:szCs w:val="24"/>
          <w:lang w:val="uk-UA"/>
        </w:rPr>
        <w:t xml:space="preserve">;</w:t>
      </w:r>
      <w:r/>
    </w:p>
    <w:p>
      <w:pPr>
        <w:numPr>
          <w:ilvl w:val="0"/>
          <w:numId w:val="8"/>
        </w:numPr>
        <w:ind w:left="1620" w:right="-1" w:hanging="900"/>
        <w:jc w:val="both"/>
        <w:spacing w:lineRule="auto" w:line="240" w:after="0"/>
        <w:tabs>
          <w:tab w:val="clear" w:pos="1077" w:leader="none"/>
          <w:tab w:val="left" w:pos="1620" w:leader="none"/>
        </w:tabs>
        <w:rPr>
          <w:rFonts w:ascii="Arial" w:hAnsi="Arial" w:cs="Arial"/>
          <w:sz w:val="24"/>
          <w:szCs w:val="24"/>
          <w:lang w:val="uk-UA"/>
        </w:rPr>
      </w:pPr>
      <w:r>
        <w:rPr>
          <w:rFonts w:ascii="Arial" w:hAnsi="Arial" w:cs="Arial"/>
          <w:sz w:val="24"/>
          <w:szCs w:val="24"/>
          <w:lang w:val="uk-UA"/>
        </w:rPr>
        <w:t xml:space="preserve">впровадження дієвої системи енергомоніторингу та енергоменеджменту </w:t>
      </w:r>
      <w:r>
        <w:rPr>
          <w:rFonts w:ascii="Arial" w:hAnsi="Arial" w:cs="Arial"/>
          <w:sz w:val="24"/>
          <w:szCs w:val="24"/>
          <w:lang w:val="uk-UA"/>
        </w:rPr>
        <w:t xml:space="preserve">бюджетних та комунальних установ з метою скорочення витрат місцевого бюджету;</w:t>
      </w:r>
      <w:r/>
    </w:p>
    <w:p>
      <w:pPr>
        <w:numPr>
          <w:ilvl w:val="0"/>
          <w:numId w:val="8"/>
        </w:numPr>
        <w:ind w:left="1620" w:right="-1" w:hanging="900"/>
        <w:jc w:val="both"/>
        <w:spacing w:lineRule="auto" w:line="240" w:after="0"/>
        <w:tabs>
          <w:tab w:val="clear" w:pos="1077" w:leader="none"/>
          <w:tab w:val="left" w:pos="1620" w:leader="none"/>
        </w:tabs>
        <w:rPr>
          <w:rFonts w:ascii="Arial" w:hAnsi="Arial" w:cs="Arial"/>
          <w:sz w:val="24"/>
          <w:szCs w:val="24"/>
          <w:lang w:val="uk-UA"/>
        </w:rPr>
      </w:pPr>
      <w:r>
        <w:rPr>
          <w:rFonts w:ascii="Arial" w:hAnsi="Arial" w:cs="Arial"/>
          <w:sz w:val="24"/>
          <w:szCs w:val="24"/>
          <w:lang w:val="uk-UA"/>
        </w:rPr>
        <w:t xml:space="preserve">впровадження «зелених» проектів з метою збереження навколишнього природного середовища та покращення інфраструктури й екології міста;</w:t>
      </w:r>
      <w:r/>
    </w:p>
    <w:p>
      <w:pPr>
        <w:numPr>
          <w:ilvl w:val="0"/>
          <w:numId w:val="8"/>
        </w:numPr>
        <w:ind w:left="1620" w:right="-1" w:hanging="900"/>
        <w:jc w:val="both"/>
        <w:spacing w:lineRule="auto" w:line="240" w:after="0"/>
        <w:tabs>
          <w:tab w:val="clear" w:pos="1077" w:leader="none"/>
          <w:tab w:val="left" w:pos="1620" w:leader="none"/>
        </w:tabs>
        <w:rPr>
          <w:rFonts w:ascii="Arial" w:hAnsi="Arial" w:cs="Arial"/>
          <w:sz w:val="24"/>
          <w:szCs w:val="24"/>
          <w:lang w:val="uk-UA"/>
        </w:rPr>
      </w:pPr>
      <w:r>
        <w:rPr>
          <w:rFonts w:ascii="Arial" w:hAnsi="Arial" w:cs="Arial"/>
          <w:sz w:val="24"/>
          <w:szCs w:val="24"/>
          <w:lang w:val="uk-UA"/>
        </w:rPr>
        <w:t xml:space="preserve">залучення іноземних та вітчизняних інвестицій для реалізації перерахованих завдань.</w:t>
      </w:r>
      <w:r/>
    </w:p>
    <w:p>
      <w:pPr>
        <w:ind w:right="-1" w:firstLine="708"/>
        <w:jc w:val="both"/>
        <w:spacing w:lineRule="auto" w:line="240" w:after="0"/>
        <w:tabs>
          <w:tab w:val="left" w:pos="1620" w:leader="none"/>
        </w:tabs>
        <w:rPr>
          <w:rFonts w:ascii="Arial" w:hAnsi="Arial" w:cs="Arial"/>
          <w:sz w:val="24"/>
          <w:szCs w:val="24"/>
          <w:lang w:val="uk-UA"/>
        </w:rPr>
      </w:pPr>
      <w:r>
        <w:rPr>
          <w:rFonts w:ascii="Arial" w:hAnsi="Arial" w:cs="Arial"/>
          <w:sz w:val="24"/>
          <w:szCs w:val="24"/>
          <w:lang w:val="uk-UA"/>
        </w:rPr>
        <w:t xml:space="preserve">Основними напрямками діяльності агенції мають стати:</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1. Консультативний супровід інвестиційних проектів на всіх стадіях:</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Вибір предмету проекту, формулювання технічного завдання, технічне та економічне опрацювання, складання техніко-комерційної пропози</w:t>
      </w:r>
      <w:r>
        <w:rPr>
          <w:rFonts w:ascii="Arial" w:hAnsi="Arial" w:cs="Arial"/>
          <w:sz w:val="24"/>
          <w:szCs w:val="24"/>
          <w:lang w:val="uk-UA"/>
        </w:rPr>
        <w:t xml:space="preserve">ції, написання бізнес-плану, пошук інвесторів та способів фінансування, узгодження з фінансовими та державними установами, супровід протягом проектування, вибір постачальників та підрядників, супровід протягом імплементації, технічний та фінансовий нагляд.</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2. Виконання підрядних робіт:</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Планування, фінансування, будівництво та експлуатація систем, що працюють від сонячної енергії, а також альтернативних систем освітлення.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3. Консультування на умовах аутсорсингу: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Консультування представників промисловості, торгів</w:t>
      </w:r>
      <w:r>
        <w:rPr>
          <w:rFonts w:ascii="Arial" w:hAnsi="Arial" w:cs="Arial"/>
          <w:sz w:val="24"/>
          <w:szCs w:val="24"/>
          <w:lang w:val="uk-UA"/>
        </w:rPr>
        <w:t xml:space="preserve">-</w:t>
      </w:r>
      <w:r>
        <w:rPr>
          <w:rFonts w:ascii="Arial" w:hAnsi="Arial" w:cs="Arial"/>
          <w:sz w:val="24"/>
          <w:szCs w:val="24"/>
          <w:lang w:val="uk-UA"/>
        </w:rPr>
        <w:t xml:space="preserve">лі, а також приватного, муніципального секторів та сектору послуг з усіх аспектів ефективного енергоспоживання.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4. Міжнародний обмін ноу-хау: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Надання успішних моделей ефективного енергоспоживання та застосування відновлюваної енергії міжнародних ринків.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Як показує європейський досвід, ця форма управління енергоефективністю та економікою досить результативна. </w:t>
      </w:r>
      <w:r>
        <w:rPr>
          <w:rFonts w:ascii="Arial" w:hAnsi="Arial" w:cs="Arial"/>
          <w:sz w:val="24"/>
          <w:szCs w:val="24"/>
          <w:lang w:val="uk-UA"/>
        </w:rPr>
        <w:t xml:space="preserve">Також, одним з основних інструментів діяльності агенції повинні стати </w:t>
      </w:r>
      <w:r>
        <w:rPr>
          <w:rFonts w:ascii="Arial" w:hAnsi="Arial" w:cs="Arial"/>
          <w:sz w:val="24"/>
          <w:szCs w:val="24"/>
          <w:lang w:val="uk-UA"/>
        </w:rPr>
        <w:t xml:space="preserve">енергосервісні</w:t>
      </w:r>
      <w:r>
        <w:rPr>
          <w:rFonts w:ascii="Arial" w:hAnsi="Arial" w:cs="Arial"/>
          <w:sz w:val="24"/>
          <w:szCs w:val="24"/>
          <w:lang w:val="uk-UA"/>
        </w:rPr>
        <w:t xml:space="preserve"> контракти. Міжнародні фінансові організації вважають, що енергетичний </w:t>
      </w:r>
      <w:r>
        <w:rPr>
          <w:rFonts w:ascii="Arial" w:hAnsi="Arial" w:cs="Arial"/>
          <w:sz w:val="24"/>
          <w:szCs w:val="24"/>
          <w:lang w:val="uk-UA"/>
        </w:rPr>
        <w:t xml:space="preserve">перфоманс-контрактинг</w:t>
      </w:r>
      <w:r>
        <w:rPr>
          <w:rFonts w:ascii="Arial" w:hAnsi="Arial" w:cs="Arial"/>
          <w:sz w:val="24"/>
          <w:szCs w:val="24"/>
          <w:lang w:val="uk-UA"/>
        </w:rPr>
        <w:t xml:space="preserve"> – це безпрограшна стратегія з точки зору економіки та клімату. Цей досвід рекомендований до застосування в </w:t>
      </w:r>
      <w:r>
        <w:rPr>
          <w:rFonts w:ascii="Arial" w:hAnsi="Arial" w:cs="Arial"/>
          <w:sz w:val="24"/>
          <w:szCs w:val="24"/>
          <w:lang w:val="uk-UA"/>
        </w:rPr>
        <w:t xml:space="preserve">Менській громаді</w:t>
      </w:r>
      <w:r>
        <w:rPr>
          <w:rFonts w:ascii="Arial" w:hAnsi="Arial" w:cs="Arial"/>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Інспектор з енергетичного менеджменту виконавчого комітету міської ради повинен провадити функції енергомоніторингу та контролю з боку влади і підтримувати постійний робочий контакт з агенцією, </w:t>
      </w:r>
      <w:r>
        <w:rPr>
          <w:rFonts w:ascii="Arial" w:hAnsi="Arial" w:cs="Arial"/>
          <w:sz w:val="24"/>
          <w:szCs w:val="24"/>
          <w:lang w:val="uk-UA"/>
        </w:rPr>
        <w:t xml:space="preserve">енергоменеджерами</w:t>
      </w:r>
      <w:r>
        <w:rPr>
          <w:rFonts w:ascii="Arial" w:hAnsi="Arial" w:cs="Arial"/>
          <w:sz w:val="24"/>
          <w:szCs w:val="24"/>
          <w:lang w:val="uk-UA"/>
        </w:rPr>
        <w:t xml:space="preserve"> та </w:t>
      </w:r>
      <w:r>
        <w:rPr>
          <w:rFonts w:ascii="Arial" w:hAnsi="Arial" w:cs="Arial"/>
          <w:sz w:val="24"/>
          <w:szCs w:val="24"/>
          <w:lang w:val="uk-UA"/>
        </w:rPr>
        <w:t xml:space="preserve">фасіліті</w:t>
      </w:r>
      <w:r>
        <w:rPr>
          <w:rFonts w:ascii="Arial" w:hAnsi="Arial" w:cs="Arial"/>
          <w:sz w:val="24"/>
          <w:szCs w:val="24"/>
          <w:lang w:val="uk-UA"/>
        </w:rPr>
        <w:t xml:space="preserve">-менеджерами муніципальних будівель.</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Підготовка, зміни й постійний моніторинг ПДСЕРК та інших стратегічних документів, пов’язаних з енергозбереженням, повинні проводитися агенцією на постійній основі, під контролем інспектора, в складі робочої групи.</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Саме ці кроки дозволять впровадити ефективний інструмент енергоменеджменту в </w:t>
      </w:r>
      <w:r>
        <w:rPr>
          <w:rFonts w:ascii="Arial" w:hAnsi="Arial" w:cs="Arial"/>
          <w:sz w:val="24"/>
          <w:szCs w:val="24"/>
          <w:lang w:val="uk-UA"/>
        </w:rPr>
        <w:t xml:space="preserve">громаді</w:t>
      </w:r>
      <w:r>
        <w:rPr>
          <w:rFonts w:ascii="Arial" w:hAnsi="Arial" w:cs="Arial"/>
          <w:sz w:val="24"/>
          <w:szCs w:val="24"/>
          <w:lang w:val="uk-UA"/>
        </w:rPr>
        <w:t xml:space="preserve"> </w:t>
      </w:r>
      <w:r>
        <w:rPr>
          <w:rFonts w:ascii="Arial" w:hAnsi="Arial" w:cs="Arial"/>
          <w:sz w:val="24"/>
          <w:szCs w:val="24"/>
          <w:lang w:val="uk-UA"/>
        </w:rPr>
        <w:t xml:space="preserve">та успішно втілити у життя План дій сталого енергетичного розвитку та клімату на виконання Угоди Мерів.</w:t>
      </w:r>
      <w:r/>
    </w:p>
    <w:p>
      <w:pPr>
        <w:ind w:right="-1" w:firstLine="708"/>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t xml:space="preserve">4.4. Інформаційно-просвітницькі (м’які заходи)</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Потенціал енергоефективност</w:t>
      </w:r>
      <w:r>
        <w:rPr>
          <w:rFonts w:ascii="Arial" w:hAnsi="Arial" w:cs="Arial"/>
          <w:sz w:val="24"/>
          <w:szCs w:val="24"/>
          <w:lang w:val="uk-UA"/>
        </w:rPr>
        <w:t xml:space="preserve">і (а отже, зменшення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за рахунок зміни поведінкових установок і впровадження мало витратних заходів організаційного характеру мешканцями багатоквартирних будинків, працівниками організацій чи установ може досягати 10% базового рівня споживання енергоресурсів.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Крім прямого ефекту з енергозбереження в секторі громадських і житлових будівель, заходи даної цільової програми допоможуть подолати деякі обмеження, які перешкоджають або знижують ефективність реалізації </w:t>
      </w:r>
      <w:r>
        <w:rPr>
          <w:rFonts w:ascii="Arial" w:hAnsi="Arial" w:cs="Arial"/>
          <w:sz w:val="24"/>
          <w:szCs w:val="24"/>
          <w:lang w:val="uk-UA"/>
        </w:rPr>
        <w:t xml:space="preserve">енергоощадних заходів, наприклад, не усвідомлення споживачем своєї ролі в енергоощадливому споживанні </w:t>
      </w:r>
      <w:r/>
    </w:p>
    <w:p>
      <w:pPr>
        <w:ind w:right="-1"/>
        <w:jc w:val="both"/>
        <w:spacing w:lineRule="auto" w:line="240" w:after="0"/>
        <w:rPr>
          <w:rFonts w:ascii="Arial" w:hAnsi="Arial" w:cs="Arial"/>
          <w:sz w:val="24"/>
          <w:szCs w:val="24"/>
          <w:lang w:val="uk-UA"/>
        </w:rPr>
      </w:pPr>
      <w:r>
        <w:rPr>
          <w:rFonts w:ascii="Arial" w:hAnsi="Arial" w:cs="Arial"/>
          <w:sz w:val="24"/>
          <w:szCs w:val="24"/>
          <w:lang w:val="uk-UA"/>
        </w:rPr>
        <w:t xml:space="preserve">ресурсів або відсутність бажання співфінансувати енергоефективні заходи у багатоквартирних будинках.</w:t>
      </w:r>
      <w:r/>
    </w:p>
    <w:p>
      <w:pPr>
        <w:ind w:right="-1" w:firstLine="708"/>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2" w:sep="0" w:space="708" w:equalWidth="0">
            <w:col w:w="6789" w:space="708"/>
            <w:col w:w="6789" w:space="0"/>
          </w:cols>
          <w:docGrid w:linePitch="360"/>
          <w:titlePg/>
        </w:sectPr>
      </w:pPr>
      <w:r>
        <w:rPr>
          <w:rFonts w:ascii="Arial" w:hAnsi="Arial" w:cs="Arial"/>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b/>
          <w:sz w:val="24"/>
          <w:szCs w:val="24"/>
          <w:lang w:val="uk-UA"/>
        </w:rPr>
        <w:t xml:space="preserve">4.4.1. Упровадження</w:t>
      </w:r>
      <w:r>
        <w:rPr>
          <w:rFonts w:ascii="Arial" w:hAnsi="Arial" w:cs="Arial"/>
          <w:sz w:val="24"/>
          <w:szCs w:val="24"/>
          <w:lang w:val="uk-UA"/>
        </w:rPr>
        <w:t xml:space="preserve"> </w:t>
      </w:r>
      <w:r>
        <w:rPr>
          <w:rFonts w:ascii="Arial" w:hAnsi="Arial" w:cs="Arial"/>
          <w:b/>
          <w:sz w:val="24"/>
          <w:szCs w:val="24"/>
          <w:lang w:val="uk-UA"/>
        </w:rPr>
        <w:t xml:space="preserve">освітніх практичної спрямованості семінарів у загальноосвітніх навчальних закладах</w:t>
      </w:r>
      <w:r>
        <w:rPr>
          <w:rFonts w:ascii="Arial" w:hAnsi="Arial" w:cs="Arial"/>
          <w:sz w:val="24"/>
          <w:szCs w:val="24"/>
          <w:lang w:val="uk-UA"/>
        </w:rPr>
        <w:t xml:space="preserve">, зокрема:</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енергозбереження у школі та вдома;</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житлово-комунальної грамотності.</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Упровадження таких семінарів може бути </w:t>
      </w:r>
      <w:r>
        <w:rPr>
          <w:rFonts w:ascii="Arial" w:hAnsi="Arial" w:cs="Arial"/>
          <w:sz w:val="24"/>
          <w:szCs w:val="24"/>
          <w:lang w:val="uk-UA"/>
        </w:rPr>
        <w:t xml:space="preserve">оформлено у вигляді офіційних факультативів, навчальні програми можуть реалізовуватися на конкурсних умовах, де учасники змагаються між собою за критеріями: скільки енергії (теплової та електричної) вони зможуть заощадити; які енергоефективні заходи/проект</w:t>
      </w:r>
      <w:r>
        <w:rPr>
          <w:rFonts w:ascii="Arial" w:hAnsi="Arial" w:cs="Arial"/>
          <w:sz w:val="24"/>
          <w:szCs w:val="24"/>
          <w:lang w:val="uk-UA"/>
        </w:rPr>
        <w:t xml:space="preserve">и зможуть реалізувати у своїх школах / квартирах / будинках; які проектні пропозиції зможуть кваліфіковано скласти для залучення фінансових ресурсів. Кращі пропозиції можуть фінансуватися в рамках цільових програм у сфері громадських або житлових будівель.</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В Україні вже є позитив</w:t>
      </w:r>
      <w:r>
        <w:rPr>
          <w:rFonts w:ascii="Arial" w:hAnsi="Arial" w:cs="Arial"/>
          <w:sz w:val="24"/>
          <w:szCs w:val="24"/>
          <w:lang w:val="uk-UA"/>
        </w:rPr>
        <w:t xml:space="preserve">ний досвід реалізації подібних освітніх проектів у школах, у т. ч. у рамках Проекту USAID «Реформа міського теплозабезпечення в Україні» (2009-2013 рр.), а також у Проекті ДТЕК «Енергоефективні школи», який впроваджувався у низці населених пунктів України.</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У середньому споживання електричної енергії школами в конкурсному періоді зменшилося на 20,5% порівняно з базовим.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Якщо впровадження подібних факультативних курсів буде супроводжуватись інформаційно-роз'яснювальною роботою (у </w:t>
      </w:r>
      <w:r>
        <w:rPr>
          <w:rFonts w:ascii="Arial" w:hAnsi="Arial" w:cs="Arial"/>
          <w:sz w:val="24"/>
          <w:szCs w:val="24"/>
          <w:lang w:val="uk-UA"/>
        </w:rPr>
        <w:t xml:space="preserve">т.ч</w:t>
      </w:r>
      <w:r>
        <w:rPr>
          <w:rFonts w:ascii="Arial" w:hAnsi="Arial" w:cs="Arial"/>
          <w:sz w:val="24"/>
          <w:szCs w:val="24"/>
          <w:lang w:val="uk-UA"/>
        </w:rPr>
        <w:t xml:space="preserve">., яка проводитиметься школярами), розробники ПДСЕРК упевнені, що економія до </w:t>
      </w:r>
      <w:r>
        <w:rPr>
          <w:rFonts w:ascii="Arial" w:hAnsi="Arial" w:cs="Arial"/>
          <w:b/>
          <w:sz w:val="24"/>
          <w:szCs w:val="24"/>
          <w:lang w:val="uk-UA"/>
        </w:rPr>
        <w:t xml:space="preserve">10%</w:t>
      </w:r>
      <w:r>
        <w:rPr>
          <w:rFonts w:ascii="Arial" w:hAnsi="Arial" w:cs="Arial"/>
          <w:sz w:val="24"/>
          <w:szCs w:val="24"/>
          <w:lang w:val="uk-UA"/>
        </w:rPr>
        <w:t xml:space="preserve"> електричної енергії, спожитої в бюджетн</w:t>
      </w:r>
      <w:r>
        <w:rPr>
          <w:rFonts w:ascii="Arial" w:hAnsi="Arial" w:cs="Arial"/>
          <w:sz w:val="24"/>
          <w:szCs w:val="24"/>
          <w:lang w:val="uk-UA"/>
        </w:rPr>
        <w:t xml:space="preserve">ому секторі, абсолютно можлива.</w:t>
      </w:r>
      <w:r/>
    </w:p>
    <w:p>
      <w:pPr>
        <w:ind w:right="-1" w:firstLine="708"/>
        <w:jc w:val="both"/>
        <w:spacing w:lineRule="auto" w:line="240" w:after="0"/>
        <w:rPr>
          <w:rFonts w:ascii="Arial" w:hAnsi="Arial" w:cs="Arial"/>
          <w:sz w:val="24"/>
          <w:szCs w:val="24"/>
          <w:lang w:val="uk-UA"/>
        </w:rPr>
      </w:pPr>
      <w:r>
        <w:rPr>
          <w:rFonts w:ascii="Arial" w:hAnsi="Arial" w:cs="Arial"/>
          <w:b/>
          <w:sz w:val="24"/>
          <w:szCs w:val="24"/>
          <w:lang w:val="uk-UA"/>
        </w:rPr>
        <w:t xml:space="preserve">4.4.2.</w:t>
      </w:r>
      <w:r>
        <w:rPr>
          <w:rFonts w:ascii="Arial" w:hAnsi="Arial" w:cs="Arial"/>
          <w:sz w:val="24"/>
          <w:szCs w:val="24"/>
          <w:lang w:val="uk-UA"/>
        </w:rPr>
        <w:t xml:space="preserve"> </w:t>
      </w:r>
      <w:r>
        <w:rPr>
          <w:rFonts w:ascii="Arial" w:hAnsi="Arial" w:cs="Arial"/>
          <w:b/>
          <w:sz w:val="24"/>
          <w:szCs w:val="24"/>
          <w:lang w:val="uk-UA"/>
        </w:rPr>
        <w:t xml:space="preserve">Проведення інформаційно-роз'яснювальної роботи з населенням міста, спрямованої на ощадливе споживання енергоресурсів</w:t>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t xml:space="preserve">Захід передбачає робот</w:t>
      </w:r>
      <w:r>
        <w:rPr>
          <w:rFonts w:ascii="Arial" w:hAnsi="Arial" w:cs="Arial"/>
          <w:sz w:val="24"/>
          <w:szCs w:val="24"/>
          <w:lang w:val="uk-UA"/>
        </w:rPr>
        <w:t xml:space="preserve">у з широкими верствами населення міста, спрямовану на пропаганду дбайливого ставлення до енергоресурсів, особистої відповідальності кожного за тепло та комфорт у своїх помешканнях, формування свідомого екологічно-орієнтованого споживача комунальних послуг.</w:t>
      </w:r>
      <w:r>
        <w:rPr>
          <w:rFonts w:ascii="Arial" w:hAnsi="Arial" w:cs="Arial"/>
          <w:sz w:val="24"/>
          <w:szCs w:val="24"/>
          <w:lang w:val="uk-UA"/>
        </w:rPr>
        <w:t xml:space="preserve">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Також необхідно розробляти та поширювати інформаційні матеріали, що містять набір конкретних рекомендацій щодо раціонального споживання електроенергії, теплової енергії, води та газу.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Наприклад, у рамках Проекту USAID «Муніципальна енергетична реформа в Україні» розроблені роздаткові матеріали (</w:t>
      </w:r>
      <w:r>
        <w:rPr>
          <w:rFonts w:ascii="Arial" w:hAnsi="Arial" w:cs="Arial"/>
          <w:sz w:val="24"/>
          <w:szCs w:val="24"/>
          <w:lang w:val="uk-UA"/>
        </w:rPr>
        <w:t xml:space="preserve">лифлети</w:t>
      </w:r>
      <w:r>
        <w:rPr>
          <w:rFonts w:ascii="Arial" w:hAnsi="Arial" w:cs="Arial"/>
          <w:sz w:val="24"/>
          <w:szCs w:val="24"/>
          <w:lang w:val="uk-UA"/>
        </w:rPr>
        <w:t xml:space="preserve">, брошури) та інформаційні плакати.</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Позитивна практика поширення порад з енергозбереження на зворотній стороні рахунків за електроенергію ініційована у 2014 р. в Києві спільно із Проектом USAID і ПАТ «Київенерго».</w:t>
      </w:r>
      <w:r>
        <w:rPr>
          <w:rFonts w:ascii="Arial" w:hAnsi="Arial" w:cs="Arial"/>
          <w:sz w:val="24"/>
          <w:szCs w:val="24"/>
          <w:lang w:val="uk-UA"/>
        </w:rPr>
        <w:t xml:space="preserve"> Сучасним способом інформування є роз’яснювальні кампанії в соціальних мережа</w:t>
      </w:r>
      <w:r>
        <w:rPr>
          <w:rFonts w:ascii="Arial" w:hAnsi="Arial" w:cs="Arial"/>
          <w:sz w:val="24"/>
          <w:szCs w:val="24"/>
          <w:lang w:val="uk-UA"/>
        </w:rPr>
        <w:t xml:space="preserve">х. Вони не потребують витрат на виготовлення друкованої продукції, а розповсюдження матеріалів не обмежується географічними факторами. До такого методу роботи із громадськістю вдалися спеціалісти проекту USAID «Муніципальна енергетична реформа в Україні».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Крім того, економію енергії та енергоємних матеріальних ресурсів, а також фінансових коштів жителів на оплату комунальних послуг можна стимулювати за рахунок</w:t>
      </w:r>
      <w:r/>
    </w:p>
    <w:p>
      <w:pPr>
        <w:ind w:right="-1" w:firstLine="708"/>
        <w:jc w:val="center"/>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2" w:sep="0" w:space="708" w:equalWidth="1"/>
          <w:docGrid w:linePitch="360"/>
          <w:titlePg/>
        </w:sectPr>
      </w:pPr>
      <w:r>
        <w:rPr>
          <w:rFonts w:ascii="Arial" w:hAnsi="Arial" w:cs="Arial"/>
          <w:b/>
          <w:sz w:val="24"/>
          <w:szCs w:val="24"/>
          <w:lang w:val="uk-UA"/>
        </w:rPr>
      </w:r>
      <w:r/>
    </w:p>
    <w:p>
      <w:pPr>
        <w:ind w:right="-1" w:firstLine="708"/>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jc w:val="both"/>
        <w:spacing w:lineRule="auto" w:line="240" w:after="0"/>
        <w:rPr>
          <w:rFonts w:ascii="Arial" w:hAnsi="Arial" w:cs="Arial"/>
          <w:sz w:val="24"/>
          <w:szCs w:val="24"/>
          <w:lang w:val="uk-UA" w:eastAsia="ru-RU"/>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sz w:val="24"/>
          <w:szCs w:val="24"/>
          <w:lang w:val="uk-UA" w:eastAsia="ru-RU"/>
        </w:rPr>
      </w:r>
      <w:r/>
    </w:p>
    <w:p>
      <w:pPr>
        <w:ind w:right="-1"/>
        <w:spacing w:lineRule="auto" w:line="240" w:after="0"/>
        <w:rPr>
          <w:rFonts w:ascii="Arial" w:hAnsi="Arial" w:cs="Arial"/>
          <w:sz w:val="24"/>
          <w:szCs w:val="24"/>
          <w:lang w:val="uk-UA" w:eastAsia="ru-RU"/>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sz w:val="24"/>
          <w:szCs w:val="24"/>
          <w:lang w:val="uk-UA" w:eastAsia="ru-RU"/>
        </w:rPr>
      </w:r>
      <w:r/>
    </w:p>
    <w:p>
      <w:pPr>
        <w:ind w:right="-1"/>
        <w:jc w:val="both"/>
        <w:spacing w:lineRule="auto" w:line="240" w:after="0"/>
        <w:rPr>
          <w:rFonts w:ascii="Arial" w:hAnsi="Arial" w:cs="Arial"/>
          <w:sz w:val="16"/>
          <w:szCs w:val="16"/>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sz w:val="16"/>
          <w:szCs w:val="16"/>
          <w:lang w:val="uk-UA"/>
        </w:rPr>
      </w:r>
      <w:r/>
    </w:p>
    <w:p>
      <w:pPr>
        <w:ind w:right="-1"/>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sz w:val="24"/>
          <w:szCs w:val="24"/>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t xml:space="preserve">установлення приладів обліку в квартирах: гарячої, холодної води, газу.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Для підвищення ефективності реалізації зазначених заходів і створення постійного майданчика обміну досвідом з енергоефективності, вивчення технологій, матеріалів та методів енергозбереження доцільно укласти угоду з енергетичним агентством для: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забезпечення інформаційно-консультативної підтримки з питань енергоефективності, найкращих енергоощадних практик та новітніх енергоефективних технологій;</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міжнародної співпраці в галузі енергоефективності та екології, обміну досвідом між регіонами України;</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поширення знань про оптима</w:t>
      </w:r>
      <w:r>
        <w:rPr>
          <w:rFonts w:ascii="Arial" w:hAnsi="Arial" w:cs="Arial"/>
          <w:sz w:val="24"/>
          <w:szCs w:val="24"/>
          <w:lang w:val="uk-UA"/>
        </w:rPr>
        <w:t xml:space="preserve">льні можливості зменшення витрат на енергозабезпечення в середовищі органів державної та місцевої влади, комунальних і державних підприємств, бюджетних установ, які відповідають за виконання заходів міської програми енергозбереження та активного населення;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демонстрації робочих зразків енергоефективного обладнання.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Очікувані результати від реалізації даного комплексу інформаційно-освітніх заходів — скорочення в житловому та бюджетному секторах споживання енергетичних ресурсів: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w:t>
      </w:r>
      <w:r>
        <w:rPr>
          <w:rFonts w:ascii="Arial" w:hAnsi="Arial" w:cs="Arial"/>
          <w:sz w:val="24"/>
          <w:szCs w:val="24"/>
          <w:lang w:val="uk-UA"/>
        </w:rPr>
        <w:t xml:space="preserve">- </w:t>
      </w:r>
      <w:r>
        <w:rPr>
          <w:rFonts w:ascii="Arial" w:hAnsi="Arial" w:cs="Arial"/>
          <w:sz w:val="24"/>
          <w:szCs w:val="24"/>
          <w:lang w:val="uk-UA"/>
        </w:rPr>
        <w:t xml:space="preserve">природного газу для приготування їжі та індивідуального опалення в секторі житлових будівель (категорія «населення») від споживання природного газу</w:t>
      </w:r>
      <w:r>
        <w:rPr>
          <w:rFonts w:ascii="Arial" w:hAnsi="Arial" w:cs="Arial"/>
          <w:sz w:val="24"/>
          <w:szCs w:val="24"/>
          <w:lang w:val="uk-UA"/>
        </w:rPr>
        <w:t xml:space="preserve"> за категорією «населення»</w:t>
      </w:r>
      <w:r>
        <w:rPr>
          <w:rFonts w:ascii="Arial" w:hAnsi="Arial" w:cs="Arial"/>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w:t>
      </w:r>
      <w:r>
        <w:rPr>
          <w:rFonts w:ascii="Arial" w:hAnsi="Arial" w:cs="Arial"/>
          <w:sz w:val="24"/>
          <w:szCs w:val="24"/>
          <w:lang w:val="uk-UA"/>
        </w:rPr>
        <w:t xml:space="preserve">- </w:t>
      </w:r>
      <w:r>
        <w:rPr>
          <w:rFonts w:ascii="Arial" w:hAnsi="Arial" w:cs="Arial"/>
          <w:sz w:val="24"/>
          <w:szCs w:val="24"/>
          <w:lang w:val="uk-UA"/>
        </w:rPr>
        <w:t xml:space="preserve">електричної енергії в секторі житлових будівель (категорія «населення») на 5% споживання електричної енергії за катег</w:t>
      </w:r>
      <w:r>
        <w:rPr>
          <w:rFonts w:ascii="Arial" w:hAnsi="Arial" w:cs="Arial"/>
          <w:sz w:val="24"/>
          <w:szCs w:val="24"/>
          <w:lang w:val="uk-UA"/>
        </w:rPr>
        <w:t xml:space="preserve">орією «населення»</w:t>
      </w:r>
      <w:r>
        <w:rPr>
          <w:rFonts w:ascii="Arial" w:hAnsi="Arial" w:cs="Arial"/>
          <w:sz w:val="24"/>
          <w:szCs w:val="24"/>
          <w:lang w:val="uk-UA"/>
        </w:rPr>
        <w:t xml:space="preserve">.</w:t>
      </w:r>
      <w:r/>
    </w:p>
    <w:p>
      <w:pPr>
        <w:ind w:right="-1" w:firstLine="708"/>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08"/>
        <w:jc w:val="both"/>
        <w:spacing w:lineRule="auto" w:line="240" w:after="0"/>
        <w:rPr>
          <w:rFonts w:ascii="Arial" w:hAnsi="Arial" w:cs="Arial"/>
          <w:b/>
          <w:sz w:val="24"/>
          <w:szCs w:val="24"/>
          <w:vertAlign w:val="subscript"/>
          <w:lang w:val="uk-UA"/>
        </w:rPr>
      </w:pPr>
      <w:r>
        <w:rPr>
          <w:rFonts w:ascii="Arial" w:hAnsi="Arial" w:cs="Arial"/>
          <w:b/>
          <w:sz w:val="24"/>
          <w:szCs w:val="24"/>
          <w:lang w:val="uk-UA"/>
        </w:rPr>
        <w:t xml:space="preserve">4.4.3. Комплекс адміністративно-організаційних заходів, які </w:t>
      </w:r>
      <w:r>
        <w:rPr>
          <w:rFonts w:ascii="Arial" w:hAnsi="Arial" w:cs="Arial"/>
          <w:b/>
          <w:sz w:val="24"/>
          <w:szCs w:val="24"/>
          <w:lang w:val="uk-UA"/>
        </w:rPr>
        <w:t xml:space="preserve">стимулюють зменшення викидів СО</w:t>
      </w:r>
      <w:r>
        <w:rPr>
          <w:rFonts w:ascii="Arial" w:hAnsi="Arial" w:cs="Arial"/>
          <w:b/>
          <w:sz w:val="24"/>
          <w:szCs w:val="24"/>
          <w:vertAlign w:val="subscript"/>
          <w:lang w:val="uk-UA"/>
        </w:rPr>
        <w:t xml:space="preserve">2</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До комплексу включено заходи адміністративного характеру, які </w:t>
      </w:r>
      <w:r>
        <w:rPr>
          <w:rFonts w:ascii="Arial" w:hAnsi="Arial" w:cs="Arial"/>
          <w:sz w:val="24"/>
          <w:szCs w:val="24"/>
          <w:lang w:val="uk-UA"/>
        </w:rPr>
        <w:t xml:space="preserve">стимулюють зменшення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в основних секторах, які увійшли до ПДСЕРК, у т. ч.:</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розроблення енергетичних сертифікатів для будівель, які враховуватимуться при проведенні капітальних ремонтів, оптимізації схеми теплопостачання, про</w:t>
      </w:r>
      <w:r>
        <w:rPr>
          <w:rFonts w:ascii="Arial" w:hAnsi="Arial" w:cs="Arial"/>
          <w:sz w:val="24"/>
          <w:szCs w:val="24"/>
          <w:lang w:val="uk-UA"/>
        </w:rPr>
        <w:t xml:space="preserve">-</w:t>
      </w:r>
      <w:r>
        <w:rPr>
          <w:rFonts w:ascii="Arial" w:hAnsi="Arial" w:cs="Arial"/>
          <w:sz w:val="24"/>
          <w:szCs w:val="24"/>
          <w:lang w:val="uk-UA"/>
        </w:rPr>
        <w:t xml:space="preserve">веденні інформаційно-роз'яснювальної роботи і т. ін.;</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уведення у п</w:t>
      </w:r>
      <w:r>
        <w:rPr>
          <w:rFonts w:ascii="Arial" w:hAnsi="Arial" w:cs="Arial"/>
          <w:sz w:val="24"/>
          <w:szCs w:val="24"/>
          <w:lang w:val="uk-UA"/>
        </w:rPr>
        <w:t xml:space="preserve">рактику так званих «зелених закупівель», коли при проведенні будь-яких закупівель із бюджету міста, бюджетів комунальних підприємств, бюджетних організацій перевага буде віддаватися разом з іншими критеріями тим організаціям / продукції / обладнанню, які с</w:t>
      </w:r>
      <w:r>
        <w:rPr>
          <w:rFonts w:ascii="Arial" w:hAnsi="Arial" w:cs="Arial"/>
          <w:sz w:val="24"/>
          <w:szCs w:val="24"/>
          <w:lang w:val="uk-UA"/>
        </w:rPr>
        <w:t xml:space="preserve">приятимуть зменшенню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дотримання вимог щодо енергоефективності при новому будівництві та під час проведення реконструкцій громадських та житлових будівель;</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реалізація програми обладнання приладами обліку теплової енергії 100% житлових багатоквартирних будинків;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удосконалення системи енергомоніторингу міста;</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 стимулювання розвитку ОСББ;</w:t>
      </w:r>
      <w:r/>
    </w:p>
    <w:p>
      <w:pPr>
        <w:ind w:right="-1" w:firstLine="708"/>
        <w:spacing w:lineRule="auto" w:line="240" w:after="0"/>
        <w:rPr>
          <w:rFonts w:ascii="Arial" w:hAnsi="Arial" w:cs="Arial"/>
          <w:sz w:val="24"/>
          <w:szCs w:val="24"/>
          <w:lang w:val="uk-UA"/>
        </w:rPr>
      </w:pPr>
      <w:r>
        <w:rPr>
          <w:rFonts w:ascii="Arial" w:hAnsi="Arial" w:cs="Arial"/>
          <w:sz w:val="24"/>
          <w:szCs w:val="24"/>
          <w:lang w:val="uk-UA"/>
        </w:rPr>
        <w:t xml:space="preserve">• інші заходи адміністративно-організаційного характеру.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Очікувані результати від реалізації даного комплексу адміністративно-організаційних заходів — скорочення споживання енергоресурсів мінімум на </w:t>
      </w:r>
      <w:r>
        <w:rPr>
          <w:rFonts w:ascii="Arial" w:hAnsi="Arial" w:cs="Arial"/>
          <w:b/>
          <w:sz w:val="24"/>
          <w:szCs w:val="24"/>
          <w:lang w:val="uk-UA"/>
        </w:rPr>
        <w:t xml:space="preserve">7%</w:t>
      </w:r>
      <w:r>
        <w:rPr>
          <w:rFonts w:ascii="Arial" w:hAnsi="Arial" w:cs="Arial"/>
          <w:sz w:val="24"/>
          <w:szCs w:val="24"/>
          <w:lang w:val="uk-UA"/>
        </w:rPr>
        <w:t xml:space="preserve"> базового рівня в секторі опалення бюджетних установ, на </w:t>
      </w:r>
      <w:r>
        <w:rPr>
          <w:rFonts w:ascii="Arial" w:hAnsi="Arial" w:cs="Arial"/>
          <w:b/>
          <w:sz w:val="24"/>
          <w:szCs w:val="24"/>
          <w:lang w:val="uk-UA"/>
        </w:rPr>
        <w:t xml:space="preserve">2%</w:t>
      </w:r>
      <w:r>
        <w:rPr>
          <w:rFonts w:ascii="Arial" w:hAnsi="Arial" w:cs="Arial"/>
          <w:sz w:val="24"/>
          <w:szCs w:val="24"/>
          <w:lang w:val="uk-UA"/>
        </w:rPr>
        <w:t xml:space="preserve"> — у секторі житлових будівель, на </w:t>
      </w:r>
      <w:r>
        <w:rPr>
          <w:rFonts w:ascii="Arial" w:hAnsi="Arial" w:cs="Arial"/>
          <w:b/>
          <w:sz w:val="24"/>
          <w:szCs w:val="24"/>
          <w:lang w:val="uk-UA"/>
        </w:rPr>
        <w:t xml:space="preserve">2%</w:t>
      </w:r>
      <w:r>
        <w:rPr>
          <w:rFonts w:ascii="Arial" w:hAnsi="Arial" w:cs="Arial"/>
          <w:sz w:val="24"/>
          <w:szCs w:val="24"/>
          <w:lang w:val="uk-UA"/>
        </w:rPr>
        <w:t xml:space="preserve"> — у секторі водопостачання та водовідведення.</w:t>
      </w:r>
      <w:r/>
    </w:p>
    <w:p>
      <w:pPr>
        <w:ind w:right="-1" w:firstLine="708"/>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t xml:space="preserve">4.4.4. Проведення заходів щодо підвищення обізнаності та залучення громадськості до вирішення екологічних проблем</w:t>
      </w:r>
      <w:r/>
    </w:p>
    <w:p>
      <w:pPr>
        <w:ind w:right="-1" w:firstLine="708"/>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Для успішної реалізації Програми дій зі сталого енергетичного розвитку пропонується організація та проведення комплексу заходів з інформування громадськості та залучення різних груп населення д</w:t>
      </w:r>
      <w:r>
        <w:rPr>
          <w:rFonts w:ascii="Arial" w:hAnsi="Arial" w:cs="Arial"/>
          <w:sz w:val="24"/>
          <w:szCs w:val="24"/>
          <w:lang w:val="uk-UA"/>
        </w:rPr>
        <w:t xml:space="preserve">о вирішення екологічних завдань, зокрема в секторі озеленення і заощадження всіх видів енергоресурсів. До реалізації проекту планується долучити навчальні заклади, комунальні підприємства, відповідні органи місцевого самоврядування, громадські організації.</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Головна мета проекту — підвищення обізнаності населення міста з питань адаптації до кліматичних змін, дося</w:t>
      </w:r>
      <w:r>
        <w:rPr>
          <w:rFonts w:ascii="Arial" w:hAnsi="Arial" w:cs="Arial"/>
          <w:sz w:val="24"/>
          <w:szCs w:val="24"/>
          <w:lang w:val="uk-UA"/>
        </w:rPr>
        <w:t xml:space="preserve">гнення енергетичної незалежності, забезпечення екологічної безпеки, а також залучення окремих громадян, громадських об’єднань до виконання визначених завдань сталого розвитку, обговорення досягнутих результатів, моніторинг, формування подальшого плану дій.</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Головні заходи та завдання проекту: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У секторі озеленення: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Залучення громадськості до обговорення планів розвитку зелених насаджень міста, розроблення заходів щодо їхнього збереження, розвитку та відновлення.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Проведення з</w:t>
      </w:r>
      <w:r>
        <w:rPr>
          <w:rFonts w:ascii="Arial" w:hAnsi="Arial" w:cs="Arial"/>
          <w:sz w:val="24"/>
          <w:szCs w:val="24"/>
          <w:lang w:val="uk-UA"/>
        </w:rPr>
        <w:t xml:space="preserve">агальноміських акцій, спрямованих на збільшення площі зелених насаджень, залучення молоді до висадження зелених насаджень і догляду за ними. Створення нових об’єктів зелених насаджень за участі громадськості, учнів, студентів, молодіжних організацій та ін.</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Проведення</w:t>
      </w:r>
      <w:r>
        <w:rPr>
          <w:rFonts w:ascii="Arial" w:hAnsi="Arial" w:cs="Arial"/>
          <w:sz w:val="24"/>
          <w:szCs w:val="24"/>
          <w:lang w:val="uk-UA"/>
        </w:rPr>
        <w:t xml:space="preserve"> на базі навчальних закладів інформаційно-просвітницьких заходів, проекту «Я </w:t>
      </w:r>
      <w:r>
        <w:rPr>
          <w:rFonts w:ascii="Arial" w:hAnsi="Arial" w:cs="Arial"/>
          <w:sz w:val="24"/>
          <w:szCs w:val="24"/>
          <w:lang w:val="uk-UA"/>
        </w:rPr>
        <w:t xml:space="preserve">–</w:t>
      </w:r>
      <w:r>
        <w:rPr>
          <w:rFonts w:ascii="Arial" w:hAnsi="Arial" w:cs="Arial"/>
          <w:sz w:val="24"/>
          <w:szCs w:val="24"/>
          <w:lang w:val="uk-UA"/>
        </w:rPr>
        <w:t xml:space="preserve"> за чисту  </w:t>
      </w:r>
      <w:r>
        <w:rPr>
          <w:rFonts w:ascii="Arial" w:hAnsi="Arial" w:cs="Arial"/>
          <w:sz w:val="24"/>
          <w:szCs w:val="24"/>
          <w:lang w:val="uk-UA"/>
        </w:rPr>
        <w:t xml:space="preserve">громаду</w:t>
      </w:r>
      <w:r>
        <w:rPr>
          <w:rFonts w:ascii="Arial" w:hAnsi="Arial" w:cs="Arial"/>
          <w:sz w:val="24"/>
          <w:szCs w:val="24"/>
          <w:lang w:val="uk-UA"/>
        </w:rPr>
        <w:t xml:space="preserve">», заохочення населення до участі в заходах з озеленення та благоустрою міста.</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Створення «тематичних» скверів і ділянок на території наявних рекреаційних зон і закріплення за підприємствами та громадськими організаціями догляду за ними та відновлення зелених насаджень.</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Проведення конкурсів проектів із реконструкції та відновлення парків, скверів, бульварів міста серед молодих дизайнерів, студентів і школярів.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Проведення конкурсів і майстер-класів із вирощування декоративних рослин. Залучення громадських організацій, населення, навчальних закладів до обміну досвідом, надання посадкового матеріалу, вирощування декоративних рослин у рекреаційних зонах.</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Проведення тренінгів для учасників моніторингу стану зелених насаджень, відповідальних за інвентаризацію зелених насаджень, особливо тих, що розташовані у приватному секторі, на території житлової забудови, що не обслуговується спеціалізованим КП.</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Створення загальноміської мережі громадського моніторингу стану зелених насаджень.</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Видання та розповсюдження інформаційних і навчальних матеріалів, проведення заходів за участю ЗМІ.</w:t>
      </w:r>
      <w:r>
        <w:rPr>
          <w:rFonts w:ascii="Arial" w:hAnsi="Arial" w:cs="Arial"/>
          <w:sz w:val="24"/>
          <w:szCs w:val="24"/>
          <w:lang w:val="uk-UA"/>
        </w:rPr>
        <w:t xml:space="preserve"> </w:t>
      </w:r>
      <w:r>
        <w:rPr>
          <w:rFonts w:ascii="Arial" w:hAnsi="Arial" w:cs="Arial"/>
          <w:sz w:val="24"/>
          <w:szCs w:val="24"/>
          <w:lang w:val="uk-UA"/>
        </w:rPr>
        <w:t xml:space="preserve">Організація проекту глобального </w:t>
      </w:r>
      <w:r>
        <w:rPr>
          <w:rFonts w:ascii="Arial" w:hAnsi="Arial" w:cs="Arial"/>
          <w:sz w:val="24"/>
          <w:szCs w:val="24"/>
          <w:lang w:val="uk-UA"/>
        </w:rPr>
        <w:t xml:space="preserve">відеомоніторингу</w:t>
      </w:r>
      <w:r>
        <w:rPr>
          <w:rFonts w:ascii="Arial" w:hAnsi="Arial" w:cs="Arial"/>
          <w:sz w:val="24"/>
          <w:szCs w:val="24"/>
          <w:lang w:val="uk-UA"/>
        </w:rPr>
        <w:t xml:space="preserve"> «Безпечна громада</w:t>
      </w:r>
      <w:r>
        <w:rPr>
          <w:rFonts w:ascii="Arial" w:hAnsi="Arial" w:cs="Arial"/>
          <w:sz w:val="24"/>
          <w:szCs w:val="24"/>
          <w:lang w:val="uk-UA"/>
        </w:rPr>
        <w:t xml:space="preserve">».</w:t>
      </w:r>
      <w:r>
        <w:rPr>
          <w:rFonts w:ascii="Arial" w:hAnsi="Arial" w:cs="Arial"/>
          <w:sz w:val="24"/>
          <w:szCs w:val="24"/>
          <w:lang w:val="uk-UA"/>
        </w:rPr>
        <w:t xml:space="preserve"> </w:t>
      </w:r>
      <w:r>
        <w:rPr>
          <w:rFonts w:ascii="Arial" w:hAnsi="Arial" w:cs="Arial"/>
          <w:sz w:val="24"/>
          <w:szCs w:val="24"/>
          <w:lang w:val="uk-UA"/>
        </w:rPr>
        <w:t xml:space="preserve">Тривалість проекту — </w:t>
      </w:r>
      <w:r>
        <w:rPr>
          <w:rFonts w:ascii="Arial" w:hAnsi="Arial" w:cs="Arial"/>
          <w:b/>
          <w:sz w:val="24"/>
          <w:szCs w:val="24"/>
          <w:lang w:val="uk-UA"/>
        </w:rPr>
        <w:t xml:space="preserve">5</w:t>
      </w:r>
      <w:r>
        <w:rPr>
          <w:rFonts w:ascii="Arial" w:hAnsi="Arial" w:cs="Arial"/>
          <w:sz w:val="24"/>
          <w:szCs w:val="24"/>
          <w:lang w:val="uk-UA"/>
        </w:rPr>
        <w:t xml:space="preserve"> років.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У нашому випадку ми очікуємо збільшення поглинання парникових газів на </w:t>
      </w:r>
      <w:r>
        <w:rPr>
          <w:rFonts w:ascii="Arial" w:hAnsi="Arial" w:cs="Arial"/>
          <w:b/>
          <w:sz w:val="24"/>
          <w:szCs w:val="24"/>
          <w:lang w:val="uk-UA"/>
        </w:rPr>
        <w:t xml:space="preserve">0,05%</w:t>
      </w:r>
      <w:r>
        <w:rPr>
          <w:rFonts w:ascii="Arial" w:hAnsi="Arial" w:cs="Arial"/>
          <w:sz w:val="24"/>
          <w:szCs w:val="24"/>
          <w:lang w:val="uk-UA"/>
        </w:rPr>
        <w:t xml:space="preserve">. Поступове формування взаємодії міської влади, громадськості та комунальних підприємств призведе до зростання цього показника в перспективі.</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Джерела фінансування — міський бюджет, фонд охорони навколишнього середовища, гранти міжнародних екологічних програм.</w:t>
      </w:r>
      <w:r/>
    </w:p>
    <w:p>
      <w:pPr>
        <w:ind w:right="-1" w:firstLine="708"/>
        <w:jc w:val="both"/>
        <w:spacing w:lineRule="auto" w:line="240" w:after="0"/>
        <w:rPr>
          <w:rFonts w:ascii="Arial" w:hAnsi="Arial" w:cs="Arial"/>
          <w:b/>
          <w:i/>
          <w:lang w:val="uk-UA"/>
        </w:rPr>
      </w:pPr>
      <w:r>
        <w:rPr>
          <w:rFonts w:ascii="Arial" w:hAnsi="Arial" w:cs="Arial"/>
          <w:b/>
          <w:i/>
          <w:lang w:val="uk-UA"/>
        </w:rPr>
      </w:r>
      <w:r/>
    </w:p>
    <w:p>
      <w:pPr>
        <w:ind w:right="-1" w:firstLine="708"/>
        <w:jc w:val="both"/>
        <w:spacing w:lineRule="auto" w:line="240" w:after="0"/>
        <w:rPr>
          <w:rFonts w:ascii="Arial" w:hAnsi="Arial" w:cs="Arial"/>
          <w:b/>
          <w:i/>
          <w:color w:val="FF0000"/>
          <w:lang w:val="uk-UA"/>
        </w:rPr>
      </w:pPr>
      <w:r>
        <w:rPr>
          <w:rFonts w:ascii="Arial" w:hAnsi="Arial" w:cs="Arial"/>
          <w:b/>
          <w:i/>
          <w:lang w:val="uk-UA"/>
        </w:rPr>
        <w:t xml:space="preserve">*Д</w:t>
      </w:r>
      <w:r>
        <w:rPr>
          <w:rFonts w:ascii="Arial" w:hAnsi="Arial" w:cs="Arial"/>
          <w:b/>
          <w:i/>
          <w:lang w:val="uk-UA"/>
        </w:rPr>
        <w:t xml:space="preserve">одаток 3 «Скорочення викидів СО</w:t>
      </w:r>
      <w:r>
        <w:rPr>
          <w:rFonts w:ascii="Arial" w:hAnsi="Arial" w:cs="Arial"/>
          <w:b/>
          <w:i/>
          <w:vertAlign w:val="subscript"/>
          <w:lang w:val="uk-UA"/>
        </w:rPr>
        <w:t xml:space="preserve">2</w:t>
      </w:r>
      <w:r>
        <w:rPr>
          <w:rFonts w:ascii="Arial" w:hAnsi="Arial" w:cs="Arial"/>
          <w:b/>
          <w:i/>
          <w:lang w:val="uk-UA"/>
        </w:rPr>
        <w:t xml:space="preserve"> від </w:t>
      </w:r>
      <w:r>
        <w:rPr>
          <w:rFonts w:ascii="Arial" w:hAnsi="Arial" w:cs="Arial"/>
          <w:b/>
          <w:i/>
          <w:lang w:val="uk-UA"/>
        </w:rPr>
        <w:t xml:space="preserve">упровад</w:t>
      </w:r>
      <w:r>
        <w:rPr>
          <w:rFonts w:ascii="Arial" w:hAnsi="Arial" w:cs="Arial"/>
          <w:b/>
          <w:i/>
          <w:lang w:val="uk-UA"/>
        </w:rPr>
        <w:t xml:space="preserve">ження основних заходів ПДСЕРК в </w:t>
      </w:r>
      <w:r>
        <w:rPr>
          <w:rFonts w:ascii="Arial" w:hAnsi="Arial" w:cs="Arial"/>
          <w:b/>
          <w:i/>
          <w:lang w:val="uk-UA"/>
        </w:rPr>
        <w:t xml:space="preserve">Менській громаді</w:t>
      </w:r>
      <w:r>
        <w:rPr>
          <w:rFonts w:ascii="Arial" w:hAnsi="Arial" w:cs="Arial"/>
          <w:b/>
          <w:i/>
          <w:lang w:val="uk-UA"/>
        </w:rPr>
        <w:t xml:space="preserve">»</w:t>
      </w:r>
      <w:r/>
    </w:p>
    <w:p>
      <w:pPr>
        <w:ind w:right="-1" w:firstLine="708"/>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08"/>
        <w:jc w:val="both"/>
        <w:spacing w:lineRule="auto" w:line="240" w:after="0"/>
        <w:rPr>
          <w:rFonts w:ascii="Arial" w:hAnsi="Arial" w:cs="Arial"/>
          <w:b/>
          <w:sz w:val="24"/>
          <w:szCs w:val="24"/>
          <w:lang w:val="uk-UA"/>
        </w:rPr>
      </w:pPr>
      <w:r>
        <w:rPr>
          <w:rFonts w:ascii="Arial" w:hAnsi="Arial" w:cs="Arial"/>
          <w:b/>
          <w:sz w:val="24"/>
          <w:szCs w:val="24"/>
          <w:lang w:val="uk-UA"/>
        </w:rPr>
        <w:t xml:space="preserve">4.5. Очікувані результати і рекомендації експертів з реалізації ПДСЕРК: зменше</w:t>
      </w:r>
      <w:r>
        <w:rPr>
          <w:rFonts w:ascii="Arial" w:hAnsi="Arial" w:cs="Arial"/>
          <w:b/>
          <w:sz w:val="24"/>
          <w:szCs w:val="24"/>
          <w:lang w:val="uk-UA"/>
        </w:rPr>
        <w:t xml:space="preserve">ння викидів СО</w:t>
      </w:r>
      <w:r>
        <w:rPr>
          <w:rFonts w:ascii="Arial" w:hAnsi="Arial" w:cs="Arial"/>
          <w:b/>
          <w:sz w:val="24"/>
          <w:szCs w:val="24"/>
          <w:vertAlign w:val="subscript"/>
          <w:lang w:val="uk-UA"/>
        </w:rPr>
        <w:t xml:space="preserve">2</w:t>
      </w:r>
      <w:r>
        <w:rPr>
          <w:rFonts w:ascii="Arial" w:hAnsi="Arial" w:cs="Arial"/>
          <w:b/>
          <w:sz w:val="24"/>
          <w:szCs w:val="24"/>
          <w:lang w:val="uk-UA"/>
        </w:rPr>
        <w:t xml:space="preserve"> порівн</w:t>
      </w:r>
      <w:r>
        <w:rPr>
          <w:rFonts w:ascii="Arial" w:hAnsi="Arial" w:cs="Arial"/>
          <w:b/>
          <w:sz w:val="24"/>
          <w:szCs w:val="24"/>
          <w:lang w:val="uk-UA"/>
        </w:rPr>
        <w:t xml:space="preserve">яно з 2019</w:t>
      </w:r>
      <w:r>
        <w:rPr>
          <w:rFonts w:ascii="Arial" w:hAnsi="Arial" w:cs="Arial"/>
          <w:b/>
          <w:sz w:val="24"/>
          <w:szCs w:val="24"/>
          <w:lang w:val="uk-UA"/>
        </w:rPr>
        <w:t xml:space="preserve"> базовим роком</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Менська громада</w:t>
      </w:r>
      <w:r>
        <w:rPr>
          <w:rFonts w:ascii="Arial" w:hAnsi="Arial" w:cs="Arial"/>
          <w:sz w:val="24"/>
          <w:szCs w:val="24"/>
          <w:lang w:val="uk-UA"/>
        </w:rPr>
        <w:t xml:space="preserve">, приєднавшись до європейської ініціативи «Угода мерів», визначило для себе амбітні цілі щодо скорочення викидів шкідливих речовин у повітря та зниження енергоспоживання.</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Розрахунков</w:t>
      </w:r>
      <w:r>
        <w:rPr>
          <w:rFonts w:ascii="Arial" w:hAnsi="Arial" w:cs="Arial"/>
          <w:sz w:val="24"/>
          <w:szCs w:val="24"/>
          <w:lang w:val="uk-UA"/>
        </w:rPr>
        <w:t xml:space="preserve">ий показник зниження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у разі виконання інвестиційної</w:t>
      </w:r>
      <w:r>
        <w:rPr>
          <w:rFonts w:ascii="Arial" w:hAnsi="Arial" w:cs="Arial"/>
          <w:sz w:val="24"/>
          <w:szCs w:val="24"/>
          <w:lang w:val="uk-UA"/>
        </w:rPr>
        <w:t xml:space="preserve"> програми</w:t>
      </w:r>
      <w:r>
        <w:rPr>
          <w:rFonts w:ascii="Arial" w:hAnsi="Arial" w:cs="Arial"/>
          <w:sz w:val="24"/>
          <w:szCs w:val="24"/>
          <w:lang w:val="uk-UA"/>
        </w:rPr>
        <w:t xml:space="preserve"> </w:t>
      </w:r>
      <w:r>
        <w:rPr>
          <w:rFonts w:ascii="Arial" w:hAnsi="Arial" w:cs="Arial"/>
          <w:sz w:val="24"/>
          <w:szCs w:val="24"/>
          <w:lang w:val="uk-UA"/>
        </w:rPr>
        <w:t xml:space="preserve">11 430</w:t>
      </w:r>
      <w:r>
        <w:rPr>
          <w:rFonts w:ascii="Arial" w:hAnsi="Arial" w:cs="Arial"/>
          <w:sz w:val="24"/>
          <w:szCs w:val="24"/>
          <w:lang w:val="uk-UA"/>
        </w:rPr>
        <w:t xml:space="preserve"> т/рік, або </w:t>
      </w:r>
      <w:r>
        <w:rPr>
          <w:rFonts w:ascii="Arial" w:hAnsi="Arial" w:cs="Arial"/>
          <w:sz w:val="24"/>
          <w:szCs w:val="24"/>
          <w:lang w:val="uk-UA"/>
        </w:rPr>
        <w:t xml:space="preserve">31,78</w:t>
      </w:r>
      <w:r>
        <w:rPr>
          <w:rFonts w:ascii="Arial" w:hAnsi="Arial" w:cs="Arial"/>
          <w:sz w:val="24"/>
          <w:szCs w:val="24"/>
          <w:lang w:val="uk-UA"/>
        </w:rPr>
        <w:t xml:space="preserve">% </w:t>
      </w:r>
      <w:r>
        <w:rPr>
          <w:rFonts w:ascii="Arial" w:hAnsi="Arial" w:cs="Arial"/>
          <w:sz w:val="24"/>
          <w:szCs w:val="24"/>
          <w:lang w:val="uk-UA"/>
        </w:rPr>
        <w:t xml:space="preserve">базового </w:t>
      </w:r>
      <w:r>
        <w:rPr>
          <w:rFonts w:ascii="Arial" w:hAnsi="Arial" w:cs="Arial"/>
          <w:sz w:val="24"/>
          <w:szCs w:val="24"/>
          <w:lang w:val="uk-UA"/>
        </w:rPr>
        <w:t xml:space="preserve">2019</w:t>
      </w:r>
      <w:r>
        <w:rPr>
          <w:rFonts w:ascii="Arial" w:hAnsi="Arial" w:cs="Arial"/>
          <w:sz w:val="24"/>
          <w:szCs w:val="24"/>
          <w:lang w:val="uk-UA"/>
        </w:rPr>
        <w:t xml:space="preserve"> року.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Такий ефект досягається, у першу чергу, за рахунок реалізації енергоефективних проектів і заходів за с</w:t>
      </w:r>
      <w:r>
        <w:rPr>
          <w:rFonts w:ascii="Arial" w:hAnsi="Arial" w:cs="Arial"/>
          <w:sz w:val="24"/>
          <w:szCs w:val="24"/>
          <w:lang w:val="uk-UA"/>
        </w:rPr>
        <w:t xml:space="preserve">екторами (Скорочення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від упровадження основних заходів ПДСЕРК в </w:t>
      </w:r>
      <w:r>
        <w:rPr>
          <w:rFonts w:ascii="Arial" w:hAnsi="Arial" w:cs="Arial"/>
          <w:sz w:val="24"/>
          <w:szCs w:val="24"/>
          <w:lang w:val="uk-UA"/>
        </w:rPr>
        <w:t xml:space="preserve">Менській громаді</w:t>
      </w:r>
      <w:r>
        <w:rPr>
          <w:rFonts w:ascii="Arial" w:hAnsi="Arial" w:cs="Arial"/>
          <w:sz w:val="24"/>
          <w:szCs w:val="24"/>
          <w:lang w:val="uk-UA"/>
        </w:rPr>
        <w:t xml:space="preserve">). Скорочення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відбувається за рахунок економії викопного палива (у першу чергу, природного газу), яке досягається шляхом упровадження енергоефективних проектів і проектів із заміщення природного газу АДЕ.</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Економія газу досягається за рахунок упровадження енергоефективних проектів підвищення енергоефективності будівель (житлових та громадських) та інформаційно-просвітницьким заходам.</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Заміщення використання природного газу в житлових будівлях альтернативними видами палива дасть змогу зекономити </w:t>
      </w:r>
      <w:r>
        <w:rPr>
          <w:rFonts w:ascii="Arial" w:hAnsi="Arial" w:cs="Arial"/>
          <w:sz w:val="24"/>
          <w:szCs w:val="24"/>
          <w:lang w:val="uk-UA"/>
        </w:rPr>
        <w:t xml:space="preserve">енергію</w:t>
      </w:r>
      <w:r>
        <w:rPr>
          <w:rFonts w:ascii="Arial" w:hAnsi="Arial" w:cs="Arial"/>
          <w:sz w:val="24"/>
          <w:szCs w:val="24"/>
          <w:lang w:val="uk-UA"/>
        </w:rPr>
        <w:t xml:space="preserve">. А в цілому впровадження енергозберігаючих заходів в приватних помешканнях зекономить майже </w:t>
      </w:r>
      <w:r>
        <w:rPr>
          <w:rFonts w:ascii="Arial" w:hAnsi="Arial" w:cs="Arial"/>
          <w:sz w:val="24"/>
          <w:szCs w:val="24"/>
          <w:lang w:val="uk-UA"/>
        </w:rPr>
        <w:t xml:space="preserve">15 533</w:t>
      </w:r>
      <w:r>
        <w:rPr>
          <w:rFonts w:ascii="Arial" w:hAnsi="Arial" w:cs="Arial"/>
          <w:sz w:val="24"/>
          <w:szCs w:val="24"/>
          <w:lang w:val="uk-UA"/>
        </w:rPr>
        <w:t xml:space="preserve"> </w:t>
      </w:r>
      <w:r>
        <w:rPr>
          <w:rFonts w:ascii="Arial" w:hAnsi="Arial" w:cs="Arial"/>
          <w:sz w:val="24"/>
          <w:szCs w:val="24"/>
          <w:lang w:val="uk-UA"/>
        </w:rPr>
        <w:t xml:space="preserve">МВт*</w:t>
      </w:r>
      <w:r>
        <w:rPr>
          <w:rFonts w:ascii="Arial" w:hAnsi="Arial" w:cs="Arial"/>
          <w:sz w:val="24"/>
          <w:szCs w:val="24"/>
          <w:lang w:val="uk-UA"/>
        </w:rPr>
        <w:t xml:space="preserve">год.</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Як ми бачимо, істотний вплив на економію природного газу здійснює сектор житлових будівель. Економія досягається шляхом упровадження пакетів </w:t>
      </w:r>
      <w:r>
        <w:rPr>
          <w:rFonts w:ascii="Arial" w:hAnsi="Arial" w:cs="Arial"/>
          <w:sz w:val="24"/>
          <w:szCs w:val="24"/>
          <w:lang w:val="uk-UA"/>
        </w:rPr>
        <w:t xml:space="preserve">енергоефективних заходів за умови співфінансування з боку мешканців багатоквартирних будинків (в тому числі ОСББ</w:t>
      </w:r>
      <w:r>
        <w:rPr>
          <w:rFonts w:ascii="Arial" w:hAnsi="Arial" w:cs="Arial"/>
          <w:sz w:val="24"/>
          <w:szCs w:val="24"/>
          <w:lang w:val="uk-UA"/>
        </w:rPr>
        <w:t xml:space="preserve">).</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Підвищення енергетичної ефективності в секторі громадських будівель з урахуванням зростання тарифів на теплову енергію вже за сьогоднішніх умов є рентабельним.</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Н</w:t>
      </w:r>
      <w:r>
        <w:rPr>
          <w:rFonts w:ascii="Arial" w:hAnsi="Arial" w:cs="Arial"/>
          <w:sz w:val="24"/>
          <w:szCs w:val="24"/>
          <w:lang w:val="uk-UA"/>
        </w:rPr>
        <w:t xml:space="preserve">айефективнішими проектами є проекти з впровадження енергоменеджменту, енергомоніторингу і інформаційно рекламні заходи серед насе</w:t>
      </w:r>
      <w:r>
        <w:rPr>
          <w:rFonts w:ascii="Arial" w:hAnsi="Arial" w:cs="Arial"/>
          <w:sz w:val="24"/>
          <w:szCs w:val="24"/>
          <w:lang w:val="uk-UA"/>
        </w:rPr>
        <w:t xml:space="preserve">лення, з питань утеплення і енергозбереження. Саме ці проекти є сенс в першу чергу фінансувати з бюджету. Досить невеликі капіталовкладення в результаті дають досить значний ефект. Натомість проекти з заміщення природного газу АДЕ, які є довгостроковими і </w:t>
      </w:r>
      <w:r>
        <w:rPr>
          <w:rFonts w:ascii="Arial" w:hAnsi="Arial" w:cs="Arial"/>
          <w:sz w:val="24"/>
          <w:szCs w:val="24"/>
          <w:lang w:val="uk-UA"/>
        </w:rPr>
        <w:t xml:space="preserve">капіталоємними</w:t>
      </w:r>
      <w:r>
        <w:rPr>
          <w:rFonts w:ascii="Arial" w:hAnsi="Arial" w:cs="Arial"/>
          <w:sz w:val="24"/>
          <w:szCs w:val="24"/>
          <w:lang w:val="uk-UA"/>
        </w:rPr>
        <w:t xml:space="preserve">, бажано фінансувати за принципом державно-приватного партнерства, кредитними довгостроковими коштами, або за рахунок грантів. Складова місцевого бюджету в таких проектах повинна складати 10 – 50%, не більше.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20"/>
        <w:jc w:val="both"/>
        <w:spacing w:lineRule="auto" w:line="240" w:after="0"/>
        <w:rPr>
          <w:rFonts w:ascii="Arial" w:hAnsi="Arial" w:cs="Arial"/>
          <w:b/>
          <w:sz w:val="24"/>
          <w:szCs w:val="24"/>
          <w:lang w:val="uk-UA"/>
        </w:rPr>
      </w:pPr>
      <w:r>
        <w:rPr>
          <w:rFonts w:ascii="Arial" w:hAnsi="Arial" w:cs="Arial"/>
          <w:b/>
          <w:sz w:val="24"/>
          <w:szCs w:val="24"/>
          <w:lang w:val="uk-UA"/>
        </w:rPr>
        <w:t xml:space="preserve">4.6. Джерела фінансування ПДСЕРК</w:t>
      </w:r>
      <w:r/>
    </w:p>
    <w:p>
      <w:pPr>
        <w:ind w:right="-1" w:firstLine="720"/>
        <w:jc w:val="both"/>
        <w:spacing w:lineRule="auto" w:line="240" w:after="0"/>
        <w:rPr>
          <w:rFonts w:ascii="Arial" w:hAnsi="Arial" w:cs="Arial"/>
          <w:b/>
          <w:color w:val="0099FF"/>
          <w:sz w:val="24"/>
          <w:szCs w:val="24"/>
          <w:lang w:val="uk-UA"/>
        </w:rPr>
      </w:pPr>
      <w:r>
        <w:rPr>
          <w:rFonts w:ascii="Arial" w:hAnsi="Arial" w:cs="Arial"/>
          <w:b/>
          <w:color w:val="0099FF"/>
          <w:sz w:val="24"/>
          <w:szCs w:val="24"/>
          <w:lang w:val="uk-UA"/>
        </w:rPr>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Фінансова складова ПСЕР є визначальною у процесі реалізації енергоефективних проектів, і саме від неї залежить реалістичність ПДСЕРК.</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Таким чином, з метою забезпечення виконання ПДСЕРК у </w:t>
      </w:r>
      <w:r>
        <w:rPr>
          <w:rFonts w:ascii="Arial" w:hAnsi="Arial" w:cs="Arial"/>
          <w:sz w:val="24"/>
          <w:szCs w:val="24"/>
          <w:lang w:val="uk-UA"/>
        </w:rPr>
        <w:t xml:space="preserve">Менській громаді</w:t>
      </w:r>
      <w:r>
        <w:rPr>
          <w:rFonts w:ascii="Arial" w:hAnsi="Arial" w:cs="Arial"/>
          <w:sz w:val="24"/>
          <w:szCs w:val="24"/>
          <w:lang w:val="uk-UA"/>
        </w:rPr>
        <w:t xml:space="preserve"> розглядаються наступні джерела фінансування заходів щодо ефективного використання паливно-енергетичних ресурсів:</w:t>
      </w:r>
      <w:r/>
    </w:p>
    <w:p>
      <w:pPr>
        <w:ind w:right="-1" w:firstLine="720"/>
        <w:jc w:val="both"/>
        <w:spacing w:lineRule="auto" w:line="240" w:after="0"/>
        <w:rPr>
          <w:rFonts w:ascii="Arial" w:hAnsi="Arial" w:cs="Arial"/>
          <w:sz w:val="24"/>
          <w:szCs w:val="24"/>
          <w:lang w:val="uk-UA"/>
        </w:rPr>
      </w:pPr>
      <w:r>
        <w:rPr>
          <w:rFonts w:ascii="Arial" w:hAnsi="Arial" w:cs="Arial"/>
          <w:i/>
          <w:sz w:val="24"/>
          <w:szCs w:val="24"/>
          <w:u w:val="single"/>
          <w:lang w:val="uk-UA"/>
        </w:rPr>
        <w:t xml:space="preserve">1. Власні кошти підприємств</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Власні кошти підприємств, які здійснюють діяльність у сфері виробництва та транспортування теплової енергії, а також мають енергоємне виробництво.</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Амортизаційні відрахування і прибуток, переважно є найдешевшими і найбільш надійними та доступними </w:t>
      </w:r>
      <w:r>
        <w:rPr>
          <w:rFonts w:ascii="Arial" w:hAnsi="Arial" w:cs="Arial"/>
          <w:sz w:val="24"/>
          <w:szCs w:val="24"/>
          <w:lang w:val="uk-UA"/>
        </w:rPr>
        <w:t xml:space="preserve">джерелами фінансування короткострокових капітальних інвестицій.</w:t>
      </w:r>
      <w:r/>
    </w:p>
    <w:p>
      <w:pPr>
        <w:ind w:right="-1" w:firstLine="720"/>
        <w:jc w:val="both"/>
        <w:spacing w:lineRule="auto" w:line="240" w:after="0"/>
        <w:rPr>
          <w:rFonts w:ascii="Arial" w:hAnsi="Arial" w:cs="Arial"/>
          <w:i/>
          <w:sz w:val="24"/>
          <w:szCs w:val="24"/>
          <w:u w:val="single"/>
          <w:lang w:val="uk-UA"/>
        </w:rPr>
      </w:pPr>
      <w:r>
        <w:rPr>
          <w:rFonts w:ascii="Arial" w:hAnsi="Arial" w:cs="Arial"/>
          <w:i/>
          <w:sz w:val="24"/>
          <w:szCs w:val="24"/>
          <w:u w:val="single"/>
          <w:lang w:val="uk-UA"/>
        </w:rPr>
        <w:t xml:space="preserve">2. Державні цільові програми (державний бюджет)</w:t>
      </w:r>
      <w:r/>
    </w:p>
    <w:p>
      <w:pPr>
        <w:ind w:right="-1" w:firstLine="720"/>
        <w:jc w:val="both"/>
        <w:spacing w:lineRule="auto" w:line="240" w:after="0"/>
        <w:rPr>
          <w:rFonts w:ascii="Arial" w:hAnsi="Arial" w:cs="Arial"/>
          <w:i/>
          <w:sz w:val="24"/>
          <w:szCs w:val="24"/>
          <w:u w:val="single"/>
          <w:lang w:val="uk-UA"/>
        </w:rPr>
      </w:pPr>
      <w:r>
        <w:rPr>
          <w:rFonts w:ascii="Arial" w:hAnsi="Arial" w:cs="Arial"/>
          <w:i/>
          <w:sz w:val="24"/>
          <w:szCs w:val="24"/>
          <w:u w:val="single"/>
          <w:lang w:val="uk-UA"/>
        </w:rPr>
        <w:t xml:space="preserve">3. Міські цільові програми (міський бюджет)</w:t>
      </w:r>
      <w:r/>
    </w:p>
    <w:p>
      <w:pPr>
        <w:ind w:right="-1" w:firstLine="720"/>
        <w:jc w:val="both"/>
        <w:spacing w:lineRule="auto" w:line="240" w:after="0"/>
        <w:rPr>
          <w:rFonts w:ascii="Arial" w:hAnsi="Arial" w:cs="Arial"/>
          <w:i/>
          <w:sz w:val="24"/>
          <w:szCs w:val="24"/>
          <w:u w:val="single"/>
          <w:lang w:val="uk-UA"/>
        </w:rPr>
      </w:pPr>
      <w:r>
        <w:rPr>
          <w:rFonts w:ascii="Arial" w:hAnsi="Arial" w:cs="Arial"/>
          <w:i/>
          <w:sz w:val="24"/>
          <w:szCs w:val="24"/>
          <w:u w:val="single"/>
          <w:lang w:val="uk-UA"/>
        </w:rPr>
        <w:t xml:space="preserve">4. Донорські гранти</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Зазвичай грантові кошти на впровадження інфраструктурних інвестиційних проектів надаються містам і підприємствам-учасникам проектів міжнародної технічної допомоги. Оскільки грант </w:t>
      </w:r>
      <w:r>
        <w:rPr>
          <w:rFonts w:ascii="Arial" w:hAnsi="Arial" w:cs="Arial"/>
          <w:sz w:val="24"/>
          <w:szCs w:val="24"/>
          <w:lang w:val="uk-UA"/>
        </w:rPr>
        <w:t xml:space="preserve">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перед проектних досліджень.</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За рахунок розширення повноважень та підвищення ефективності роботи системи ене</w:t>
      </w:r>
      <w:r>
        <w:rPr>
          <w:rFonts w:ascii="Arial" w:hAnsi="Arial" w:cs="Arial"/>
          <w:sz w:val="24"/>
          <w:szCs w:val="24"/>
          <w:lang w:val="uk-UA"/>
        </w:rPr>
        <w:t xml:space="preserve">ргоменеджменту, існує досить велика ймовірність залучення грантових коштів у короткостроковому і середньостроковому періоді для фінансування м'яких заходів, демонстраційних та пілотних проектів. Це найбільш бажане джерело в короткостроковому періоді, тому </w:t>
      </w:r>
      <w:r>
        <w:rPr>
          <w:rFonts w:ascii="Arial" w:hAnsi="Arial" w:cs="Arial"/>
          <w:sz w:val="24"/>
          <w:szCs w:val="24"/>
          <w:lang w:val="uk-UA"/>
        </w:rPr>
        <w:t xml:space="preserve">місту</w:t>
      </w:r>
      <w:r>
        <w:rPr>
          <w:rFonts w:ascii="Arial" w:hAnsi="Arial" w:cs="Arial"/>
          <w:sz w:val="24"/>
          <w:szCs w:val="24"/>
          <w:lang w:val="uk-UA"/>
        </w:rPr>
        <w:t xml:space="preserve"> необхідно активізувати роботу із залучення максимального обсягу грантових коштів у енергоефективність міста.</w:t>
      </w:r>
      <w:r/>
    </w:p>
    <w:p>
      <w:pPr>
        <w:ind w:right="-1" w:firstLine="720"/>
        <w:jc w:val="both"/>
        <w:spacing w:lineRule="auto" w:line="240" w:after="0"/>
        <w:rPr>
          <w:rFonts w:ascii="Arial" w:hAnsi="Arial" w:cs="Arial"/>
          <w:i/>
          <w:sz w:val="24"/>
          <w:szCs w:val="24"/>
          <w:u w:val="single"/>
          <w:lang w:val="uk-UA"/>
        </w:rPr>
      </w:pPr>
      <w:r>
        <w:rPr>
          <w:rFonts w:ascii="Arial" w:hAnsi="Arial" w:cs="Arial"/>
          <w:i/>
          <w:sz w:val="24"/>
          <w:szCs w:val="24"/>
          <w:u w:val="single"/>
          <w:lang w:val="uk-UA"/>
        </w:rPr>
        <w:t xml:space="preserve">5. Банківські кредити</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Найпоширенішою формою фінансування інвестицій</w:t>
      </w:r>
      <w:r>
        <w:rPr>
          <w:rFonts w:ascii="Arial" w:hAnsi="Arial" w:cs="Arial"/>
          <w:sz w:val="24"/>
          <w:szCs w:val="24"/>
          <w:lang w:val="uk-UA"/>
        </w:rPr>
        <w:t xml:space="preserve">-</w:t>
      </w:r>
      <w:r>
        <w:rPr>
          <w:rFonts w:ascii="Arial" w:hAnsi="Arial" w:cs="Arial"/>
          <w:sz w:val="24"/>
          <w:szCs w:val="24"/>
          <w:lang w:val="uk-UA"/>
        </w:rPr>
        <w:t xml:space="preserve">них проектів у житловій сфері та сфері виробництва, транспортування та споживання теплової енергії можуть стати банківські кредити для фінансування, як ко</w:t>
      </w:r>
      <w:r>
        <w:rPr>
          <w:rFonts w:ascii="Arial" w:hAnsi="Arial" w:cs="Arial"/>
          <w:sz w:val="24"/>
          <w:szCs w:val="24"/>
          <w:lang w:val="uk-UA"/>
        </w:rPr>
        <w:t xml:space="preserve">роткострокових проектів, так і середньострокових проектів, а також кредити міжнародних фінансових інститутів та іноземних державних установ, таких як Світовий банк, МФК, ЄБРР, ЄІБ, КФВ та ін. (для середньострокових і довгострокових інвестиційних проектів).</w:t>
      </w:r>
      <w:r/>
    </w:p>
    <w:p>
      <w:pPr>
        <w:ind w:right="-1" w:firstLine="720"/>
        <w:jc w:val="both"/>
        <w:spacing w:lineRule="auto" w:line="240" w:after="0"/>
        <w:rPr>
          <w:rFonts w:ascii="Arial" w:hAnsi="Arial" w:cs="Arial"/>
          <w:i/>
          <w:sz w:val="24"/>
          <w:szCs w:val="24"/>
          <w:u w:val="single"/>
          <w:lang w:val="uk-UA"/>
        </w:rPr>
      </w:pPr>
      <w:r>
        <w:rPr>
          <w:rFonts w:ascii="Arial" w:hAnsi="Arial" w:cs="Arial"/>
          <w:i/>
          <w:sz w:val="24"/>
          <w:szCs w:val="24"/>
          <w:u w:val="single"/>
          <w:lang w:val="uk-UA"/>
        </w:rPr>
        <w:t xml:space="preserve">6. Комерційний (товарний) кредит</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Комерційний кредит – це товарна форма кредиту, який надається продавцями для покупців у вигляді відстрочки платежу за продані товари, надані послуги. У покупця завдяки комерційному кредиту досягається тимчасова економія грош</w:t>
      </w:r>
      <w:r>
        <w:rPr>
          <w:rFonts w:ascii="Arial" w:hAnsi="Arial" w:cs="Arial"/>
          <w:sz w:val="24"/>
          <w:szCs w:val="24"/>
          <w:lang w:val="uk-UA"/>
        </w:rPr>
        <w:t xml:space="preserve">ових коштів, скорочується потреба в банківському кредиті. Комерційний кредит, в більшості випадків, має короткостроковий характер. Конкретні терміни і розмір кредиту залежать від виду та вартості товару, фінансового стану контрагентів та кон'юнктури ринку.</w:t>
      </w:r>
      <w:r/>
    </w:p>
    <w:p>
      <w:pPr>
        <w:ind w:right="-1" w:firstLine="720"/>
        <w:jc w:val="both"/>
        <w:spacing w:lineRule="auto" w:line="240" w:after="0"/>
        <w:rPr>
          <w:rFonts w:ascii="Arial" w:hAnsi="Arial" w:cs="Arial"/>
          <w:sz w:val="24"/>
          <w:szCs w:val="24"/>
          <w:lang w:val="uk-UA"/>
        </w:rPr>
      </w:pPr>
      <w:r>
        <w:rPr>
          <w:rFonts w:ascii="Arial" w:hAnsi="Arial" w:cs="Arial"/>
          <w:i/>
          <w:sz w:val="24"/>
          <w:szCs w:val="24"/>
          <w:u w:val="single"/>
          <w:lang w:val="uk-UA"/>
        </w:rPr>
        <w:t xml:space="preserve">7. Запозичення (облігації</w:t>
      </w:r>
      <w:r>
        <w:rPr>
          <w:rFonts w:ascii="Arial" w:hAnsi="Arial" w:cs="Arial"/>
          <w:sz w:val="24"/>
          <w:szCs w:val="24"/>
          <w:lang w:val="uk-UA"/>
        </w:rPr>
        <w:t xml:space="preserve">)</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Для фінансування своїх середньострокових інвестиційних проектів підприємства та місцева влада можуть залучати інвестиційні ресурси на внутрішньому, або зовнішніх фінансових ринках шляхом випуску облігацій.</w:t>
      </w:r>
      <w:r/>
    </w:p>
    <w:p>
      <w:pPr>
        <w:ind w:right="-1" w:firstLine="720"/>
        <w:jc w:val="both"/>
        <w:spacing w:lineRule="auto" w:line="240" w:after="0"/>
        <w:rPr>
          <w:rFonts w:ascii="Arial" w:hAnsi="Arial" w:cs="Arial"/>
          <w:i/>
          <w:sz w:val="24"/>
          <w:szCs w:val="24"/>
          <w:u w:val="single"/>
          <w:lang w:val="uk-UA"/>
        </w:rPr>
      </w:pPr>
      <w:r>
        <w:rPr>
          <w:rFonts w:ascii="Arial" w:hAnsi="Arial" w:cs="Arial"/>
          <w:i/>
          <w:sz w:val="24"/>
          <w:szCs w:val="24"/>
          <w:u w:val="single"/>
          <w:lang w:val="uk-UA"/>
        </w:rPr>
        <w:t xml:space="preserve">8. Цільові внески співвласників багатоквартирних будинків</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Цільові внески сплачуються співвласниками багато</w:t>
      </w:r>
      <w:r>
        <w:rPr>
          <w:rFonts w:ascii="Arial" w:hAnsi="Arial" w:cs="Arial"/>
          <w:sz w:val="24"/>
          <w:szCs w:val="24"/>
          <w:lang w:val="uk-UA"/>
        </w:rPr>
        <w:t xml:space="preserve">-</w:t>
      </w:r>
      <w:r>
        <w:rPr>
          <w:rFonts w:ascii="Arial" w:hAnsi="Arial" w:cs="Arial"/>
          <w:sz w:val="24"/>
          <w:szCs w:val="24"/>
          <w:lang w:val="uk-UA"/>
        </w:rPr>
        <w:t xml:space="preserve">квартирних будинків в обсязі, визначеному загальними зборами ОСББ, і спрямовуються, перш за все, на проведення робіт з удо</w:t>
      </w:r>
      <w:r>
        <w:rPr>
          <w:rFonts w:ascii="Arial" w:hAnsi="Arial" w:cs="Arial"/>
          <w:sz w:val="24"/>
          <w:szCs w:val="24"/>
          <w:lang w:val="uk-UA"/>
        </w:rPr>
        <w:t xml:space="preserve">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співфінансування.</w:t>
      </w:r>
      <w:r/>
    </w:p>
    <w:p>
      <w:pPr>
        <w:ind w:right="-1" w:firstLine="720"/>
        <w:jc w:val="both"/>
        <w:spacing w:lineRule="auto" w:line="240" w:after="0"/>
        <w:rPr>
          <w:rFonts w:ascii="Arial" w:hAnsi="Arial" w:cs="Arial"/>
          <w:i/>
          <w:sz w:val="24"/>
          <w:szCs w:val="24"/>
          <w:u w:val="single"/>
          <w:lang w:val="uk-UA"/>
        </w:rPr>
      </w:pPr>
      <w:r>
        <w:rPr>
          <w:rFonts w:ascii="Arial" w:hAnsi="Arial" w:cs="Arial"/>
          <w:i/>
          <w:sz w:val="24"/>
          <w:szCs w:val="24"/>
          <w:u w:val="single"/>
          <w:lang w:val="uk-UA"/>
        </w:rPr>
        <w:t xml:space="preserve">9. Фінансовий лізинг</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Фінансовий лізинг є одним з найбільш надійних законодавчо регламентованих інструментів залучення фінансування середньострокових інвестиційних проектів у сфері виробництва, транспортування та постачання теплової енергії.</w:t>
      </w:r>
      <w:r/>
    </w:p>
    <w:p>
      <w:pPr>
        <w:ind w:right="-1" w:firstLine="720"/>
        <w:jc w:val="both"/>
        <w:spacing w:lineRule="auto" w:line="240" w:after="0"/>
        <w:rPr>
          <w:rFonts w:ascii="Arial" w:hAnsi="Arial" w:cs="Arial"/>
          <w:i/>
          <w:sz w:val="24"/>
          <w:szCs w:val="24"/>
          <w:u w:val="single"/>
          <w:lang w:val="uk-UA"/>
        </w:rPr>
      </w:pPr>
      <w:r>
        <w:rPr>
          <w:rFonts w:ascii="Arial" w:hAnsi="Arial" w:cs="Arial"/>
          <w:i/>
          <w:sz w:val="24"/>
          <w:szCs w:val="24"/>
          <w:u w:val="single"/>
          <w:lang w:val="uk-UA"/>
        </w:rPr>
        <w:t xml:space="preserve">10. Залучення приватного капіталу</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Залучення приватного капіталу до фінансування довгострокових інвестиційних проектів може здійснюватися таким чином:</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 фінансування залучає компанія-підрядник (виконавець ремонтних робіт), надаючи відстрочку оплати виконаних робіт;</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 фінансування залучає компанія (ЕСКО), яка проводить роботи з </w:t>
      </w:r>
      <w:r>
        <w:rPr>
          <w:rFonts w:ascii="Arial" w:hAnsi="Arial" w:cs="Arial"/>
          <w:sz w:val="24"/>
          <w:szCs w:val="24"/>
          <w:lang w:val="uk-UA"/>
        </w:rPr>
        <w:t xml:space="preserve">термомодернізації</w:t>
      </w:r>
      <w:r>
        <w:rPr>
          <w:rFonts w:ascii="Arial" w:hAnsi="Arial" w:cs="Arial"/>
          <w:sz w:val="24"/>
          <w:szCs w:val="24"/>
          <w:lang w:val="uk-UA"/>
        </w:rPr>
        <w:t xml:space="preserve"> будівлі, а далі надає комунальні послуги в будинку, або в бюджетному закладі відповідно до довгострокового договору.</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У</w:t>
      </w:r>
      <w:r>
        <w:rPr>
          <w:rFonts w:ascii="Arial" w:hAnsi="Arial" w:cs="Arial"/>
          <w:sz w:val="24"/>
          <w:szCs w:val="24"/>
          <w:lang w:val="uk-UA"/>
        </w:rPr>
        <w:t xml:space="preserve"> </w:t>
      </w:r>
      <w:r>
        <w:rPr>
          <w:rFonts w:ascii="Arial" w:hAnsi="Arial" w:cs="Arial"/>
          <w:sz w:val="24"/>
          <w:szCs w:val="24"/>
          <w:lang w:val="uk-UA"/>
        </w:rPr>
        <w:t xml:space="preserve">Менській громаді</w:t>
      </w:r>
      <w:r>
        <w:rPr>
          <w:rFonts w:ascii="Arial" w:hAnsi="Arial" w:cs="Arial"/>
          <w:sz w:val="24"/>
          <w:szCs w:val="24"/>
          <w:lang w:val="uk-UA"/>
        </w:rPr>
        <w:t xml:space="preserve"> ключовим та гарантованим джерелом фінан</w:t>
      </w:r>
      <w:r>
        <w:rPr>
          <w:rFonts w:ascii="Arial" w:hAnsi="Arial" w:cs="Arial"/>
          <w:sz w:val="24"/>
          <w:szCs w:val="24"/>
          <w:lang w:val="uk-UA"/>
        </w:rPr>
        <w:t xml:space="preserve">сування заходів енергозбереження протягом останніх років був державний та місцевий бюджети. На даний час, беручи до уваги складне економічне становище в державі та труднощі з наповненням дохідної частини бюджету, акцент на джерела фінансування енергоефекти</w:t>
      </w:r>
      <w:r>
        <w:rPr>
          <w:rFonts w:ascii="Arial" w:hAnsi="Arial" w:cs="Arial"/>
          <w:sz w:val="24"/>
          <w:szCs w:val="24"/>
          <w:lang w:val="uk-UA"/>
        </w:rPr>
        <w:t xml:space="preserve">в</w:t>
      </w:r>
      <w:r>
        <w:rPr>
          <w:rFonts w:ascii="Arial" w:hAnsi="Arial" w:cs="Arial"/>
          <w:sz w:val="24"/>
          <w:szCs w:val="24"/>
          <w:lang w:val="uk-UA"/>
        </w:rPr>
        <w:t xml:space="preserve">них проектів повинен бути суттєво зміщений на користь кредитних та грантових ресурсів та приватних інвестицій.</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Очевидним є те, що обсягу коштів, які виділялись з міського бюджету (зокрема з бюджету розвитку), або ж які знаходяться на розгляді від міжнародних фінансових інституцій, є недостатньо, особливо для впровадження проектів глибокої </w:t>
      </w:r>
      <w:r>
        <w:rPr>
          <w:rFonts w:ascii="Arial" w:hAnsi="Arial" w:cs="Arial"/>
          <w:sz w:val="24"/>
          <w:szCs w:val="24"/>
          <w:lang w:val="uk-UA"/>
        </w:rPr>
        <w:t xml:space="preserve">термомодернізації</w:t>
      </w:r>
      <w:r>
        <w:rPr>
          <w:rFonts w:ascii="Arial" w:hAnsi="Arial" w:cs="Arial"/>
          <w:sz w:val="24"/>
          <w:szCs w:val="24"/>
          <w:lang w:val="uk-UA"/>
        </w:rPr>
        <w:t xml:space="preserve"> будівель. Кошти місько</w:t>
      </w:r>
      <w:r>
        <w:rPr>
          <w:rFonts w:ascii="Arial" w:hAnsi="Arial" w:cs="Arial"/>
          <w:sz w:val="24"/>
          <w:szCs w:val="24"/>
          <w:lang w:val="uk-UA"/>
        </w:rPr>
        <w:t xml:space="preserve">го бюджету повинні скеровуватись здебільшого на забезпечення необхідної долі співфінансування енергоефективних проектів. Можливими варіантами співпраці для реалізації майбутніх енергоефективних проектів вбачаються наступні міжнародні фінансові інституції: </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NEFCO (Північна екологічна фінансова корпорація (НЕФКО)), UNDP (Програма розвитку ООН в Україні), IFC</w:t>
      </w:r>
      <w:r>
        <w:rPr>
          <w:rFonts w:ascii="Arial" w:hAnsi="Arial" w:cs="Arial"/>
          <w:sz w:val="24"/>
          <w:szCs w:val="24"/>
          <w:lang w:val="uk-UA"/>
        </w:rPr>
        <w:t xml:space="preserve"> </w:t>
      </w:r>
      <w:r>
        <w:rPr>
          <w:rFonts w:ascii="Arial" w:hAnsi="Arial" w:cs="Arial"/>
          <w:sz w:val="24"/>
          <w:szCs w:val="24"/>
          <w:lang w:val="uk-UA"/>
        </w:rPr>
        <w:t xml:space="preserve">(Міжнародна фінансова корпорація),</w:t>
      </w:r>
      <w:r>
        <w:rPr>
          <w:rFonts w:ascii="Arial" w:hAnsi="Arial" w:cs="Arial"/>
          <w:sz w:val="24"/>
          <w:szCs w:val="24"/>
          <w:lang w:val="uk-UA"/>
        </w:rPr>
        <w:t xml:space="preserve"> </w:t>
      </w:r>
      <w:r>
        <w:rPr>
          <w:rFonts w:ascii="Arial" w:hAnsi="Arial" w:cs="Arial"/>
          <w:sz w:val="24"/>
          <w:szCs w:val="24"/>
          <w:lang w:val="uk-UA"/>
        </w:rPr>
        <w:t xml:space="preserve">EBRD (Європейський </w:t>
      </w:r>
      <w:r>
        <w:rPr>
          <w:rFonts w:ascii="Arial" w:hAnsi="Arial" w:cs="Arial"/>
          <w:sz w:val="24"/>
          <w:szCs w:val="24"/>
          <w:lang w:val="uk-UA"/>
        </w:rPr>
        <w:t xml:space="preserve">банк реконструкції та розвитку), E5P - </w:t>
      </w:r>
      <w:r>
        <w:rPr>
          <w:rFonts w:ascii="Arial" w:hAnsi="Arial" w:cs="Arial"/>
          <w:sz w:val="24"/>
          <w:szCs w:val="24"/>
          <w:lang w:val="uk-UA"/>
        </w:rPr>
        <w:t xml:space="preserve">Eastern</w:t>
      </w:r>
      <w:r>
        <w:rPr>
          <w:rFonts w:ascii="Arial" w:hAnsi="Arial" w:cs="Arial"/>
          <w:sz w:val="24"/>
          <w:szCs w:val="24"/>
          <w:lang w:val="uk-UA"/>
        </w:rPr>
        <w:t xml:space="preserve"> </w:t>
      </w:r>
      <w:r>
        <w:rPr>
          <w:rFonts w:ascii="Arial" w:hAnsi="Arial" w:cs="Arial"/>
          <w:sz w:val="24"/>
          <w:szCs w:val="24"/>
          <w:lang w:val="uk-UA"/>
        </w:rPr>
        <w:t xml:space="preserve">Europe</w:t>
      </w:r>
      <w:r>
        <w:rPr>
          <w:rFonts w:ascii="Arial" w:hAnsi="Arial" w:cs="Arial"/>
          <w:sz w:val="24"/>
          <w:szCs w:val="24"/>
          <w:lang w:val="uk-UA"/>
        </w:rPr>
        <w:t xml:space="preserve"> </w:t>
      </w:r>
      <w:r>
        <w:rPr>
          <w:rFonts w:ascii="Arial" w:hAnsi="Arial" w:cs="Arial"/>
          <w:sz w:val="24"/>
          <w:szCs w:val="24"/>
          <w:lang w:val="uk-UA"/>
        </w:rPr>
        <w:t xml:space="preserve">Energy</w:t>
      </w:r>
      <w:r>
        <w:rPr>
          <w:rFonts w:ascii="Arial" w:hAnsi="Arial" w:cs="Arial"/>
          <w:sz w:val="24"/>
          <w:szCs w:val="24"/>
          <w:lang w:val="uk-UA"/>
        </w:rPr>
        <w:t xml:space="preserve"> </w:t>
      </w:r>
      <w:r>
        <w:rPr>
          <w:rFonts w:ascii="Arial" w:hAnsi="Arial" w:cs="Arial"/>
          <w:sz w:val="24"/>
          <w:szCs w:val="24"/>
          <w:lang w:val="uk-UA"/>
        </w:rPr>
        <w:t xml:space="preserve">Efficiency</w:t>
      </w:r>
      <w:r>
        <w:rPr>
          <w:rFonts w:ascii="Arial" w:hAnsi="Arial" w:cs="Arial"/>
          <w:sz w:val="24"/>
          <w:szCs w:val="24"/>
          <w:lang w:val="uk-UA"/>
        </w:rPr>
        <w:t xml:space="preserve"> </w:t>
      </w:r>
      <w:r>
        <w:rPr>
          <w:rFonts w:ascii="Arial" w:hAnsi="Arial" w:cs="Arial"/>
          <w:sz w:val="24"/>
          <w:szCs w:val="24"/>
          <w:lang w:val="uk-UA"/>
        </w:rPr>
        <w:t xml:space="preserve">and</w:t>
      </w:r>
      <w:r>
        <w:rPr>
          <w:rFonts w:ascii="Arial" w:hAnsi="Arial" w:cs="Arial"/>
          <w:sz w:val="24"/>
          <w:szCs w:val="24"/>
          <w:lang w:val="uk-UA"/>
        </w:rPr>
        <w:t xml:space="preserve"> </w:t>
      </w:r>
      <w:r>
        <w:rPr>
          <w:rFonts w:ascii="Arial" w:hAnsi="Arial" w:cs="Arial"/>
          <w:sz w:val="24"/>
          <w:szCs w:val="24"/>
          <w:lang w:val="uk-UA"/>
        </w:rPr>
        <w:t xml:space="preserve">Environmental</w:t>
      </w:r>
      <w:r>
        <w:rPr>
          <w:rFonts w:ascii="Arial" w:hAnsi="Arial" w:cs="Arial"/>
          <w:sz w:val="24"/>
          <w:szCs w:val="24"/>
          <w:lang w:val="uk-UA"/>
        </w:rPr>
        <w:t xml:space="preserve"> </w:t>
      </w:r>
      <w:r>
        <w:rPr>
          <w:rFonts w:ascii="Arial" w:hAnsi="Arial" w:cs="Arial"/>
          <w:sz w:val="24"/>
          <w:szCs w:val="24"/>
          <w:lang w:val="uk-UA"/>
        </w:rPr>
        <w:t xml:space="preserve">Partnership</w:t>
      </w:r>
      <w:r>
        <w:rPr>
          <w:rFonts w:ascii="Arial" w:hAnsi="Arial" w:cs="Arial"/>
          <w:sz w:val="24"/>
          <w:szCs w:val="24"/>
          <w:lang w:val="uk-UA"/>
        </w:rPr>
        <w:t xml:space="preserve"> (Східна Європа «Енергоефективність» та Екологічне партнерство), WB (Світовий банк) та інші.</w:t>
      </w:r>
      <w:r/>
    </w:p>
    <w:p>
      <w:pPr>
        <w:ind w:right="-1" w:firstLine="720"/>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2" w:sep="0" w:space="708" w:equalWidth="0">
            <w:col w:w="6789" w:space="708"/>
            <w:col w:w="6789" w:space="0"/>
          </w:cols>
          <w:docGrid w:linePitch="360"/>
          <w:titlePg/>
        </w:sectPr>
      </w:pPr>
      <w:r>
        <w:rPr>
          <w:rFonts w:ascii="Arial" w:hAnsi="Arial" w:cs="Arial"/>
          <w:sz w:val="24"/>
          <w:szCs w:val="24"/>
          <w:lang w:val="uk-UA"/>
        </w:rPr>
        <w:t xml:space="preserve">У бюджетному секторі основним джерелом фінансування розглядаються кредитні та грантові кошти із забезпеченням співфінансування зі сторони міського бюджету міста. Для житлови</w:t>
      </w:r>
      <w:r>
        <w:rPr>
          <w:rFonts w:ascii="Arial" w:hAnsi="Arial" w:cs="Arial"/>
          <w:sz w:val="24"/>
          <w:szCs w:val="24"/>
          <w:lang w:val="uk-UA"/>
        </w:rPr>
        <w:t xml:space="preserve">х будівель – у структуру джерел фінансування додатково повинно бути внесено кошти мешканців (близько 30-50% співфінансування залежно від комплексності виконання енергоефективних заходів), крім того є можливість залучення банківських кредитів для впроваджен</w:t>
      </w:r>
      <w:r>
        <w:rPr>
          <w:rFonts w:ascii="Arial" w:hAnsi="Arial" w:cs="Arial"/>
          <w:sz w:val="24"/>
          <w:szCs w:val="24"/>
          <w:lang w:val="uk-UA"/>
        </w:rPr>
        <w:t xml:space="preserve">ня енергоефективних заходів, які починають надавати українські банки. Для інших секторів – визначальним джерелом фінансування, окрім кредитних та грантових коштів є власні кошти підприємств-постачальників енергетичних ресурсів, інших установ і організацій.</w:t>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t xml:space="preserve">РОЗДІЛ 5. КЛІМАТИЧНА СКЛАДОВА</w:t>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r>
      <w:r/>
    </w:p>
    <w:p>
      <w:pPr>
        <w:jc w:val="center"/>
        <w:spacing w:lineRule="auto" w:line="240" w:after="0"/>
        <w:shd w:val="clear" w:color="auto" w:fill="FFFFFF"/>
        <w:rPr>
          <w:rFonts w:ascii="Arial" w:hAnsi="Arial" w:cs="Arial"/>
          <w:b/>
          <w:bCs/>
          <w:sz w:val="24"/>
          <w:szCs w:val="24"/>
          <w:lang w:val="uk-UA"/>
        </w:rPr>
        <w:sectPr>
          <w:footnotePr/>
          <w:type w:val="continuous"/>
          <w:pgSz w:w="16839" w:h="11907" w:orient="landscape"/>
          <w:pgMar w:top="1440" w:right="1440" w:bottom="1440" w:left="1440" w:header="720" w:footer="720"/>
          <w:cols w:num="1" w:sep="0" w:space="720" w:equalWidth="1"/>
          <w:docGrid w:linePitch="360"/>
        </w:sectPr>
      </w:pPr>
      <w:r>
        <w:rPr>
          <w:rFonts w:ascii="Arial" w:hAnsi="Arial" w:cs="Arial"/>
          <w:b/>
          <w:bCs/>
          <w:sz w:val="24"/>
          <w:szCs w:val="24"/>
          <w:lang w:val="uk-UA"/>
        </w:rPr>
      </w:r>
      <w:r/>
    </w:p>
    <w:p>
      <w:pPr>
        <w:pStyle w:val="548"/>
        <w:ind w:firstLine="720"/>
        <w:jc w:val="both"/>
        <w:rPr>
          <w:b/>
          <w:bCs/>
          <w:color w:val="auto"/>
          <w:lang w:val="uk-UA"/>
        </w:rPr>
      </w:pPr>
      <w:r>
        <w:rPr>
          <w:b/>
          <w:bCs/>
          <w:color w:val="auto"/>
          <w:lang w:val="uk-UA"/>
        </w:rPr>
        <w:t xml:space="preserve">Вступ</w:t>
      </w:r>
      <w:r/>
    </w:p>
    <w:p>
      <w:pPr>
        <w:pStyle w:val="548"/>
        <w:ind w:firstLine="720"/>
        <w:jc w:val="both"/>
        <w:rPr>
          <w:b/>
          <w:bCs/>
          <w:color w:val="auto"/>
          <w:lang w:val="uk-UA"/>
        </w:rPr>
      </w:pPr>
      <w:r>
        <w:rPr>
          <w:b/>
          <w:bCs/>
          <w:color w:val="auto"/>
          <w:lang w:val="uk-UA"/>
        </w:rPr>
      </w:r>
      <w:r/>
    </w:p>
    <w:p>
      <w:pPr>
        <w:pStyle w:val="548"/>
        <w:ind w:firstLine="720"/>
        <w:jc w:val="both"/>
        <w:rPr>
          <w:color w:val="auto"/>
          <w:lang w:val="uk-UA"/>
        </w:rPr>
      </w:pPr>
      <w:r>
        <w:rPr>
          <w:color w:val="auto"/>
          <w:lang w:val="uk-UA"/>
        </w:rPr>
        <w:t xml:space="preserve">Клімат як довготривалий режим погод</w:t>
      </w:r>
      <w:r>
        <w:rPr>
          <w:color w:val="auto"/>
          <w:lang w:val="uk-UA"/>
        </w:rPr>
        <w:t xml:space="preserve">и помітно змінюється. Про це свідчать довготривалі гідрометеорологічні спостереження, на підставі яких зафіксовані чіткі тенденції у кліматичних показниках. На це вказують наші особисті спостереженні, зокрема, ми були свідками того, що ключові зимові атриб</w:t>
      </w:r>
      <w:r>
        <w:rPr>
          <w:color w:val="auto"/>
          <w:lang w:val="uk-UA"/>
        </w:rPr>
        <w:t xml:space="preserve">ути (снігопади і морози) в холодний сезон 2019-2020 р. були просто відсутні. Нарешті, неймовірно суха весна та надмірні опади в західних регіонах України на початку літа 2020 року переконали нас, що з кліматом відбуваються серйозні зміни. При цьому відпові</w:t>
      </w:r>
      <w:r>
        <w:rPr>
          <w:color w:val="auto"/>
          <w:lang w:val="uk-UA"/>
        </w:rPr>
        <w:t xml:space="preserve">ді на питання про те, настільки значущим у цьому процесі є вплив людини, чи можна запобігти таким змінам клімату, яким чином можна пом'якшити негативні наслідки та яким чином сформувати стратегію адаптації до кліматичних змін, перейшли у практичну площину.</w:t>
      </w:r>
      <w:r/>
    </w:p>
    <w:p>
      <w:pPr>
        <w:pStyle w:val="548"/>
        <w:ind w:firstLine="720"/>
        <w:jc w:val="both"/>
        <w:rPr>
          <w:color w:val="auto"/>
          <w:lang w:val="uk-UA"/>
        </w:rPr>
      </w:pPr>
      <w:r>
        <w:rPr>
          <w:color w:val="auto"/>
          <w:lang w:val="uk-UA"/>
        </w:rPr>
        <w:t xml:space="preserve">На території України кліматичні зміни підтверджуються наступними фактами. </w:t>
      </w:r>
      <w:r/>
    </w:p>
    <w:p>
      <w:pPr>
        <w:pStyle w:val="548"/>
        <w:ind w:firstLine="720"/>
        <w:jc w:val="both"/>
        <w:rPr>
          <w:color w:val="auto"/>
          <w:lang w:val="uk-UA"/>
        </w:rPr>
      </w:pPr>
      <w:r>
        <w:rPr>
          <w:color w:val="auto"/>
          <w:lang w:val="uk-UA"/>
        </w:rPr>
        <w:t xml:space="preserve">* Зростає середньорічна температура приземного повітря: впродовж останніх декад (1991-2020 рр.) середня річна температура зросла приблизно на 1°С відносно кліматичної норми. Ця тенденція поки що залишається незмінною.</w:t>
      </w:r>
      <w:r/>
    </w:p>
    <w:p>
      <w:pPr>
        <w:pStyle w:val="548"/>
        <w:ind w:firstLine="720"/>
        <w:jc w:val="both"/>
        <w:rPr>
          <w:color w:val="auto"/>
          <w:lang w:val="uk-UA"/>
        </w:rPr>
      </w:pPr>
      <w:r>
        <w:rPr>
          <w:color w:val="auto"/>
          <w:lang w:val="uk-UA"/>
        </w:rPr>
        <w:t xml:space="preserve">* Певні зміни зафіксовані в настанні весняного та осіннього сезонів  при переході температури повітря через 0°С. Зокрема, навесні такий перехід на всій території України </w:t>
      </w:r>
      <w:r>
        <w:rPr>
          <w:color w:val="auto"/>
          <w:lang w:val="uk-UA"/>
        </w:rPr>
        <w:t xml:space="preserve">відбувається раніше в порівнянні з кліматичною нормою на 1-5 днів в залежності від регіону країни.</w:t>
      </w:r>
      <w:r/>
    </w:p>
    <w:p>
      <w:pPr>
        <w:pStyle w:val="548"/>
        <w:ind w:firstLine="720"/>
        <w:jc w:val="both"/>
        <w:rPr>
          <w:color w:val="auto"/>
          <w:lang w:val="uk-UA"/>
        </w:rPr>
      </w:pPr>
      <w:r>
        <w:rPr>
          <w:color w:val="auto"/>
          <w:lang w:val="uk-UA"/>
        </w:rPr>
        <w:t xml:space="preserve">* Скорочується тривалість холодного періоду з характерними сніговими опадами, що впливають на формування водних ресурсів. Збільшується тривалість вег</w:t>
      </w:r>
      <w:r>
        <w:rPr>
          <w:color w:val="auto"/>
          <w:lang w:val="uk-UA"/>
        </w:rPr>
        <w:t xml:space="preserve">етаційного періоду. Підвищення температури повітря та нерівномірний розподіл опадів, які проявляються у вигляді локальних злив у теплий період, не забезпечують ефективне накопичення вологи в ґрунті. Навпаки, зростає загроза повторюваності та інтенсивності </w:t>
      </w:r>
      <w:r>
        <w:rPr>
          <w:color w:val="auto"/>
          <w:lang w:val="uk-UA"/>
        </w:rPr>
        <w:t xml:space="preserve">посух</w:t>
      </w:r>
      <w:r>
        <w:rPr>
          <w:color w:val="auto"/>
          <w:lang w:val="uk-UA"/>
        </w:rPr>
        <w:t xml:space="preserve">.</w:t>
      </w:r>
      <w:r/>
    </w:p>
    <w:p>
      <w:pPr>
        <w:pStyle w:val="548"/>
        <w:ind w:firstLine="720"/>
        <w:jc w:val="both"/>
        <w:rPr>
          <w:b/>
          <w:color w:val="auto"/>
          <w:lang w:val="uk-UA"/>
        </w:rPr>
      </w:pPr>
      <w:r>
        <w:rPr>
          <w:color w:val="auto"/>
          <w:lang w:val="uk-UA"/>
        </w:rPr>
        <w:t xml:space="preserve">* Зона більш посушливого клімату зсувається в північному напрямку.</w:t>
      </w:r>
      <w:r/>
    </w:p>
    <w:p>
      <w:pPr>
        <w:pStyle w:val="548"/>
        <w:ind w:firstLine="720"/>
        <w:jc w:val="both"/>
        <w:rPr>
          <w:color w:val="auto"/>
          <w:lang w:val="uk-UA"/>
        </w:rPr>
      </w:pPr>
      <w:r>
        <w:rPr>
          <w:color w:val="auto"/>
          <w:lang w:val="uk-UA"/>
        </w:rPr>
        <w:t xml:space="preserve">* Змінюється профіль щорічних опадів. Впродовж року загальна кількість опадів залишається майже без змін, але разом з тим відбувається їхній перерозподіл по регіонах країни та по сезонах. </w:t>
      </w:r>
      <w:r/>
    </w:p>
    <w:p>
      <w:pPr>
        <w:pStyle w:val="548"/>
        <w:ind w:firstLine="720"/>
        <w:jc w:val="both"/>
        <w:rPr>
          <w:color w:val="auto"/>
          <w:lang w:val="uk-UA"/>
        </w:rPr>
      </w:pPr>
      <w:r>
        <w:rPr>
          <w:color w:val="auto"/>
          <w:lang w:val="uk-UA"/>
        </w:rPr>
        <w:t xml:space="preserve">* Впродовж останніх десятиліть зростає частота й інтенсивність аномальних погодних явищ. Випадки, коли за кілька годин випадає значна частка місячної норми опадів, стають звичними. </w:t>
      </w:r>
      <w:r/>
    </w:p>
    <w:p>
      <w:pPr>
        <w:pStyle w:val="548"/>
        <w:ind w:firstLine="720"/>
        <w:jc w:val="both"/>
        <w:rPr>
          <w:color w:val="auto"/>
          <w:lang w:val="uk-UA"/>
        </w:rPr>
      </w:pPr>
      <w:r>
        <w:rPr>
          <w:color w:val="auto"/>
          <w:lang w:val="uk-UA"/>
        </w:rPr>
        <w:t xml:space="preserve">Змі</w:t>
      </w:r>
      <w:r>
        <w:rPr>
          <w:color w:val="auto"/>
          <w:lang w:val="uk-UA"/>
        </w:rPr>
        <w:t xml:space="preserve">ни клімату мають природні та антропогенні рушійні сили і причини. Саме тому можливості протидії зміні клімату є незначними й стосуються лише її антропогенної складової. При цьому адаптація суспільства до кліматичних змін стає основою кліматичної політики. </w:t>
      </w:r>
      <w:r/>
    </w:p>
    <w:p>
      <w:pPr>
        <w:pStyle w:val="548"/>
        <w:ind w:firstLine="720"/>
        <w:jc w:val="both"/>
        <w:rPr>
          <w:color w:val="auto"/>
          <w:lang w:val="uk-UA"/>
        </w:rPr>
      </w:pPr>
      <w:r>
        <w:rPr>
          <w:color w:val="auto"/>
          <w:lang w:val="uk-UA"/>
        </w:rPr>
        <w:t xml:space="preserve">Зміни клімату можуть мати як негативні, так і позитивні наслідки. Зокрема,  потепління може надати деяким регіонам певні можливості для розвитку (наприклад, за рахунок </w:t>
      </w:r>
      <w:r>
        <w:rPr>
          <w:color w:val="auto"/>
          <w:lang w:val="uk-UA"/>
        </w:rPr>
        <w:t xml:space="preserve">поліпшення умов для  рекреаційного туризму, можливостей вирощування нових теплолюбних сільськогосподарських культур, економії енергоресурсів для опалення та і</w:t>
      </w:r>
      <w:r>
        <w:rPr>
          <w:color w:val="auto"/>
          <w:lang w:val="uk-UA"/>
        </w:rPr>
        <w:t xml:space="preserve">н.). Разом з тим, більшого значення набувають зусилля, сконцентровані на адаптацію до прямих та опосередкованих негативних наслідків кліматичних процесів. Потенційні негативні наслідки зміни клімату можуть проявлятися і вже проявляються в населених пунктах</w:t>
      </w:r>
      <w:r>
        <w:rPr>
          <w:color w:val="auto"/>
          <w:lang w:val="uk-UA"/>
        </w:rPr>
        <w:t xml:space="preserve"> та природних екосистемах України у різних формах. Найбільш суттєвими з них є тепловий стрес, зміни водного режиму та якості місцевих вод, зміни частоти та інтенсивності стихійних гідрометеорологічних явищ, поширення інфекційних захворювань та алергійних п</w:t>
      </w:r>
      <w:r>
        <w:rPr>
          <w:color w:val="auto"/>
          <w:lang w:val="uk-UA"/>
        </w:rPr>
        <w:t xml:space="preserve">роявів. Загальне потепління сприяє появі посушливих періодів з підвищеною пожежонебезпечною обстановкою. Потепління сприяє також розширенню ареалів збудників інфекційних захворювань, шкідників сільськогосподарських та лісогосподарських культур. Всі ці та і</w:t>
      </w:r>
      <w:r>
        <w:rPr>
          <w:color w:val="auto"/>
          <w:lang w:val="uk-UA"/>
        </w:rPr>
        <w:t xml:space="preserve">нші чинники посилюють загрози для здоров’я людей та систем їх життєзабезпечення і потребують відповідної реакції з боку влади, громади, бізнесу. Саме тому цей розділ спрямований на оцінку вразливості території, інфраструктури та населення Менської міської </w:t>
      </w:r>
      <w:r>
        <w:rPr>
          <w:color w:val="auto"/>
          <w:lang w:val="uk-UA"/>
        </w:rPr>
        <w:t xml:space="preserve">територіальної громади</w:t>
      </w:r>
      <w:r>
        <w:rPr>
          <w:color w:val="auto"/>
          <w:lang w:val="uk-UA"/>
        </w:rPr>
        <w:t xml:space="preserve"> до змін клімату, заходам з протидії змінам клімату та адаптації до них.</w:t>
      </w:r>
      <w:r/>
    </w:p>
    <w:p>
      <w:pPr>
        <w:pStyle w:val="548"/>
        <w:ind w:firstLine="720"/>
        <w:jc w:val="both"/>
        <w:rPr>
          <w:color w:val="auto"/>
          <w:lang w:val="uk-UA"/>
        </w:rPr>
      </w:pPr>
      <w:r>
        <w:rPr>
          <w:color w:val="auto"/>
          <w:lang w:val="uk-UA"/>
        </w:rPr>
      </w:r>
      <w:r/>
    </w:p>
    <w:p>
      <w:pPr>
        <w:pStyle w:val="548"/>
        <w:ind w:firstLine="720"/>
        <w:jc w:val="both"/>
        <w:rPr>
          <w:b/>
          <w:bCs/>
          <w:color w:val="auto"/>
          <w:lang w:val="uk-UA"/>
        </w:rPr>
      </w:pPr>
      <w:r>
        <w:rPr>
          <w:b/>
          <w:bCs/>
          <w:color w:val="auto"/>
          <w:lang w:val="uk-UA"/>
        </w:rPr>
        <w:t xml:space="preserve">Методика оцінки вразливості території і населення до кліматичних процесів</w:t>
      </w:r>
      <w:r/>
    </w:p>
    <w:p>
      <w:pPr>
        <w:pStyle w:val="548"/>
        <w:ind w:right="-327" w:firstLine="720"/>
        <w:jc w:val="both"/>
        <w:rPr>
          <w:b/>
          <w:bCs/>
          <w:color w:val="auto"/>
          <w:lang w:val="uk-UA"/>
        </w:rPr>
      </w:pPr>
      <w:r>
        <w:rPr>
          <w:b/>
          <w:bCs/>
          <w:color w:val="auto"/>
          <w:lang w:val="uk-UA"/>
        </w:rPr>
      </w:r>
      <w:r/>
    </w:p>
    <w:p>
      <w:pPr>
        <w:pStyle w:val="558"/>
        <w:ind w:firstLine="720"/>
        <w:jc w:val="both"/>
        <w:rPr>
          <w:rFonts w:ascii="Arial" w:hAnsi="Arial" w:cs="Arial"/>
          <w:sz w:val="24"/>
          <w:szCs w:val="24"/>
          <w:lang w:val="uk-UA"/>
        </w:rPr>
      </w:pPr>
      <w:r>
        <w:rPr>
          <w:rFonts w:ascii="Arial" w:hAnsi="Arial" w:cs="Arial"/>
          <w:sz w:val="24"/>
          <w:szCs w:val="24"/>
          <w:lang w:val="uk-UA"/>
        </w:rPr>
        <w:t xml:space="preserve">Оцінк</w:t>
      </w:r>
      <w:r>
        <w:rPr>
          <w:rFonts w:ascii="Arial" w:hAnsi="Arial" w:cs="Arial"/>
          <w:sz w:val="24"/>
          <w:szCs w:val="24"/>
          <w:lang w:val="uk-UA"/>
        </w:rPr>
        <w:t xml:space="preserve">у вразливості Менської міської територіальної громади</w:t>
      </w:r>
      <w:r>
        <w:rPr>
          <w:rFonts w:ascii="Arial" w:hAnsi="Arial" w:cs="Arial"/>
          <w:sz w:val="24"/>
          <w:szCs w:val="24"/>
          <w:lang w:val="uk-UA"/>
        </w:rPr>
        <w:t xml:space="preserve"> до негативних наслідків кліматичних змін </w:t>
      </w:r>
      <w:r>
        <w:rPr>
          <w:rFonts w:ascii="Arial" w:hAnsi="Arial" w:cs="Arial"/>
          <w:sz w:val="24"/>
          <w:szCs w:val="24"/>
          <w:lang w:val="uk-UA"/>
        </w:rPr>
        <w:t xml:space="preserve">виконували на основі методології, рекомендованої Європейською Комісією</w:t>
      </w:r>
      <w:r>
        <w:rPr>
          <w:rStyle w:val="525"/>
          <w:rFonts w:ascii="Arial" w:hAnsi="Arial" w:cs="Arial"/>
          <w:sz w:val="24"/>
          <w:szCs w:val="24"/>
          <w:lang w:val="uk-UA"/>
        </w:rPr>
        <w:footnoteReference w:id="1"/>
      </w:r>
      <w:r>
        <w:rPr>
          <w:rFonts w:ascii="Arial" w:hAnsi="Arial" w:cs="Arial"/>
          <w:sz w:val="24"/>
          <w:szCs w:val="24"/>
          <w:lang w:val="uk-UA"/>
        </w:rPr>
        <w:t xml:space="preserve"> (ЄК). Зауважимо, що реальну оцінку вразливостей і ризиків можна зробити лише орієнтовно з огляду на обмеженість даних для оцінок впливу кліматичних факторів, а також на значні фактори невизначеності, що підкреслено і в посібнику ЄК. </w:t>
      </w:r>
      <w:r/>
    </w:p>
    <w:p>
      <w:pPr>
        <w:pStyle w:val="558"/>
        <w:ind w:firstLine="720"/>
        <w:jc w:val="both"/>
        <w:rPr>
          <w:rFonts w:ascii="Arial" w:hAnsi="Arial" w:cs="Arial"/>
          <w:sz w:val="24"/>
          <w:szCs w:val="24"/>
          <w:lang w:val="uk-UA"/>
        </w:rPr>
      </w:pPr>
      <w:r>
        <w:rPr>
          <w:rFonts w:ascii="Arial" w:hAnsi="Arial" w:cs="Arial"/>
          <w:sz w:val="24"/>
          <w:szCs w:val="24"/>
          <w:lang w:val="uk-UA"/>
        </w:rPr>
        <w:t xml:space="preserve">Алгоритм оцінки вразливості території і населення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до негативних наслідків кліматичних змін здійснювали за наступною схемою.</w:t>
      </w:r>
      <w:r/>
    </w:p>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720"/>
        <w:jc w:val="both"/>
        <w:rPr>
          <w:rFonts w:ascii="Arial" w:hAnsi="Arial" w:cs="Arial"/>
          <w:sz w:val="24"/>
          <w:szCs w:val="24"/>
          <w:lang w:val="uk-UA"/>
        </w:rPr>
      </w:pPr>
      <w:r>
        <w:rPr>
          <w:rFonts w:ascii="Arial" w:hAnsi="Arial" w:cs="Arial"/>
          <w:b/>
          <w:sz w:val="24"/>
          <w:szCs w:val="24"/>
          <w:lang w:val="uk-UA"/>
        </w:rPr>
        <w:t xml:space="preserve">А – Аналіз метеорологічних показників та їх динаміки за останні 4 – 5 декад, визначення тенденцій та сценаріїв подальших змін.</w:t>
      </w:r>
      <w:r>
        <w:rPr>
          <w:rFonts w:ascii="Arial" w:hAnsi="Arial" w:cs="Arial"/>
          <w:sz w:val="24"/>
          <w:szCs w:val="24"/>
          <w:lang w:val="uk-UA"/>
        </w:rPr>
        <w:t xml:space="preserve"> </w:t>
      </w:r>
      <w:r/>
    </w:p>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720"/>
        <w:jc w:val="both"/>
        <w:rPr>
          <w:rFonts w:ascii="Arial" w:hAnsi="Arial" w:cs="Arial"/>
          <w:sz w:val="24"/>
          <w:szCs w:val="24"/>
          <w:lang w:val="uk-UA"/>
        </w:rPr>
      </w:pPr>
      <w:r>
        <w:rPr>
          <w:rFonts w:ascii="Arial" w:hAnsi="Arial" w:cs="Arial"/>
          <w:sz w:val="24"/>
          <w:szCs w:val="24"/>
          <w:lang w:val="uk-UA"/>
        </w:rPr>
        <w:t xml:space="preserve">Картина кліматичних показників регіону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та їхня динаміка є об</w:t>
      </w:r>
      <w:r>
        <w:rPr>
          <w:rFonts w:ascii="Arial" w:hAnsi="Arial" w:cs="Arial"/>
          <w:sz w:val="24"/>
          <w:szCs w:val="24"/>
          <w:lang w:val="uk-UA"/>
        </w:rPr>
        <w:t xml:space="preserve">’єктивною основою для оцінки можливості, інтенсивності та періодичності впливу кліматичних процесів на населення, територію, інфраструктуру, екосистеми. Такі оцінки є підставою для планування та впровадження відповідних заходів реагування на зміни клімату.</w:t>
      </w:r>
      <w:r/>
    </w:p>
    <w:p>
      <w:pPr>
        <w:ind w:firstLine="567"/>
        <w:jc w:val="both"/>
        <w:spacing w:lineRule="auto" w:line="240" w:after="0"/>
        <w:rPr>
          <w:rFonts w:ascii="Arial" w:hAnsi="Arial" w:cs="Arial"/>
          <w:sz w:val="24"/>
          <w:szCs w:val="24"/>
          <w:lang w:val="uk-UA"/>
        </w:rPr>
      </w:pPr>
      <w:r>
        <w:rPr>
          <w:rFonts w:ascii="Arial" w:hAnsi="Arial" w:cs="Arial"/>
          <w:sz w:val="24"/>
          <w:szCs w:val="24"/>
          <w:lang w:val="uk-UA"/>
        </w:rPr>
        <w:t xml:space="preserve">Оскільки в Мені метеостанція відсутня, для характеристики кліматичних процесів в регіоні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використовували дані метеорологічних станції, що розташовані найближче: </w:t>
      </w:r>
      <w:r>
        <w:rPr>
          <w:rFonts w:ascii="Arial" w:hAnsi="Arial" w:cs="Arial"/>
          <w:b/>
          <w:sz w:val="24"/>
          <w:szCs w:val="24"/>
          <w:shd w:val="clear" w:color="auto" w:fill="FFFFFF"/>
          <w:lang w:val="uk-UA"/>
        </w:rPr>
        <w:t xml:space="preserve">Чернігів </w:t>
      </w:r>
      <w:r>
        <w:rPr>
          <w:rFonts w:ascii="Arial" w:hAnsi="Arial" w:cs="Arial"/>
          <w:sz w:val="24"/>
          <w:szCs w:val="24"/>
          <w:shd w:val="clear" w:color="auto" w:fill="FFFFFF"/>
          <w:lang w:val="uk-UA"/>
        </w:rPr>
        <w:t xml:space="preserve">(широта 51,50; довгота 31,3; висота над рівне моря 107 м, 64 км до Мени) та  </w:t>
      </w:r>
      <w:r>
        <w:rPr>
          <w:rFonts w:ascii="Arial" w:hAnsi="Arial" w:cs="Arial"/>
          <w:b/>
          <w:sz w:val="24"/>
          <w:szCs w:val="24"/>
          <w:shd w:val="clear" w:color="auto" w:fill="FFFFFF"/>
          <w:lang w:val="uk-UA"/>
        </w:rPr>
        <w:t xml:space="preserve">Сновськ </w:t>
      </w:r>
      <w:r>
        <w:rPr>
          <w:rFonts w:ascii="Arial" w:hAnsi="Arial" w:cs="Arial"/>
          <w:sz w:val="24"/>
          <w:szCs w:val="24"/>
          <w:shd w:val="clear" w:color="auto" w:fill="FFFFFF"/>
          <w:lang w:val="uk-UA"/>
        </w:rPr>
        <w:t xml:space="preserve">(широта 51,92; довгота 31,95; висота над рівне моря 119 м, 35 км до Мени).</w:t>
      </w:r>
      <w:r>
        <w:rPr>
          <w:rFonts w:ascii="Arial" w:hAnsi="Arial" w:cs="Arial"/>
          <w:sz w:val="24"/>
          <w:szCs w:val="24"/>
          <w:lang w:val="uk-UA"/>
        </w:rPr>
        <w:t xml:space="preserve"> При цьому також враховані місцеві особливості географічного </w:t>
      </w:r>
      <w:r>
        <w:rPr>
          <w:rFonts w:ascii="Arial" w:hAnsi="Arial" w:cs="Arial"/>
          <w:sz w:val="24"/>
          <w:szCs w:val="24"/>
          <w:lang w:val="uk-UA"/>
        </w:rPr>
        <w:t xml:space="preserve">положення, природних умов і ресурсів території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w:t>
      </w:r>
      <w:r/>
    </w:p>
    <w:p>
      <w:pPr>
        <w:pStyle w:val="558"/>
        <w:ind w:firstLine="720"/>
        <w:jc w:val="both"/>
        <w:rPr>
          <w:rFonts w:ascii="Arial" w:hAnsi="Arial" w:cs="Arial"/>
          <w:sz w:val="24"/>
          <w:szCs w:val="24"/>
          <w:lang w:val="uk-UA"/>
        </w:rPr>
      </w:pPr>
      <w:r>
        <w:rPr>
          <w:rFonts w:ascii="Arial" w:hAnsi="Arial" w:cs="Arial"/>
          <w:sz w:val="24"/>
          <w:szCs w:val="24"/>
          <w:lang w:val="uk-UA"/>
        </w:rPr>
        <w:t xml:space="preserve">Результат такого аналізу полягав у визначенні </w:t>
      </w:r>
      <w:r>
        <w:rPr>
          <w:rFonts w:ascii="Arial" w:hAnsi="Arial" w:cs="Arial"/>
          <w:b/>
          <w:sz w:val="24"/>
          <w:szCs w:val="24"/>
          <w:lang w:val="uk-UA"/>
        </w:rPr>
        <w:t xml:space="preserve">загроз (</w:t>
      </w:r>
      <w:r>
        <w:rPr>
          <w:rFonts w:ascii="Arial" w:hAnsi="Arial" w:cs="Arial"/>
          <w:b/>
          <w:sz w:val="24"/>
          <w:szCs w:val="24"/>
        </w:rPr>
        <w:t xml:space="preserve">Hazards</w:t>
      </w:r>
      <w:r>
        <w:rPr>
          <w:rFonts w:ascii="Arial" w:hAnsi="Arial" w:cs="Arial"/>
          <w:b/>
          <w:sz w:val="24"/>
          <w:szCs w:val="24"/>
          <w:lang w:val="uk-UA"/>
        </w:rPr>
        <w:t xml:space="preserve">)</w:t>
      </w:r>
      <w:r>
        <w:rPr>
          <w:rFonts w:ascii="Arial" w:hAnsi="Arial" w:cs="Arial"/>
          <w:sz w:val="24"/>
          <w:szCs w:val="24"/>
          <w:lang w:val="uk-UA"/>
        </w:rPr>
        <w:t xml:space="preserve">, що стосуються фізичних подій і впливів, пов'язаних з кліматом. </w:t>
      </w:r>
      <w:r>
        <w:rPr>
          <w:rFonts w:ascii="Arial" w:hAnsi="Arial" w:cs="Arial"/>
          <w:b/>
          <w:sz w:val="24"/>
          <w:szCs w:val="24"/>
          <w:lang w:val="uk-UA"/>
        </w:rPr>
        <w:t xml:space="preserve">«Загрозу»</w:t>
      </w:r>
      <w:r>
        <w:rPr>
          <w:rFonts w:ascii="Arial" w:hAnsi="Arial" w:cs="Arial"/>
          <w:sz w:val="24"/>
          <w:szCs w:val="24"/>
          <w:lang w:val="uk-UA"/>
        </w:rPr>
        <w:t xml:space="preserve"> розглядали як потенційне настання природного або антропогенного фізичного явища, тенденції або фізичн</w:t>
      </w:r>
      <w:r>
        <w:rPr>
          <w:rFonts w:ascii="Arial" w:hAnsi="Arial" w:cs="Arial"/>
          <w:sz w:val="24"/>
          <w:szCs w:val="24"/>
          <w:lang w:val="uk-UA"/>
        </w:rPr>
        <w:t xml:space="preserve">ого впливу, які можуть викликати втрату життя, травму або інший вплив на здоров'я людей, а також пошкодження або втрату майна, інфраструктури, засобів до існування, надання послуг, порушення природних екосистем та ресурсів навколишнього середовища. Термін </w:t>
      </w:r>
      <w:r>
        <w:rPr>
          <w:rFonts w:ascii="Arial" w:hAnsi="Arial" w:cs="Arial"/>
          <w:b/>
          <w:sz w:val="24"/>
          <w:szCs w:val="24"/>
          <w:lang w:val="uk-UA"/>
        </w:rPr>
        <w:t xml:space="preserve">«Вплив» </w:t>
      </w:r>
      <w:r>
        <w:rPr>
          <w:rFonts w:ascii="Arial" w:hAnsi="Arial" w:cs="Arial"/>
          <w:sz w:val="24"/>
          <w:szCs w:val="24"/>
          <w:lang w:val="uk-UA"/>
        </w:rPr>
        <w:t xml:space="preserve">в даному контексті використовували, в першу чергу, як посилання на вплив екстремальних погодних або кліматичних явищ і зміни клімату на природні та антропогенні системи.</w:t>
      </w:r>
      <w:r/>
    </w:p>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720"/>
        <w:jc w:val="both"/>
        <w:rPr>
          <w:rFonts w:ascii="Arial" w:hAnsi="Arial" w:cs="Arial"/>
          <w:sz w:val="24"/>
          <w:szCs w:val="24"/>
          <w:lang w:val="uk-UA"/>
        </w:rPr>
      </w:pPr>
      <w:r>
        <w:rPr>
          <w:rFonts w:ascii="Arial" w:hAnsi="Arial" w:cs="Arial"/>
          <w:b/>
          <w:sz w:val="24"/>
          <w:szCs w:val="24"/>
          <w:lang w:val="uk-UA"/>
        </w:rPr>
        <w:t xml:space="preserve">В - Визначення об’єктів впливу (</w:t>
      </w:r>
      <w:r>
        <w:rPr>
          <w:rFonts w:ascii="Arial" w:hAnsi="Arial" w:cs="Arial"/>
          <w:b/>
          <w:sz w:val="24"/>
          <w:szCs w:val="24"/>
        </w:rPr>
        <w:t xml:space="preserve">Assets</w:t>
      </w:r>
      <w:r>
        <w:rPr>
          <w:rFonts w:ascii="Arial" w:hAnsi="Arial" w:cs="Arial"/>
          <w:b/>
          <w:sz w:val="24"/>
          <w:szCs w:val="24"/>
          <w:lang w:val="uk-UA"/>
        </w:rPr>
        <w:t xml:space="preserve">) - скринінг компонентів територіальної системи, для яких вплив кліматичних процесів має (чи може мати) суттєве значення (</w:t>
      </w:r>
      <w:r>
        <w:rPr>
          <w:rFonts w:ascii="Arial" w:hAnsi="Arial" w:cs="Arial"/>
          <w:b/>
          <w:sz w:val="24"/>
          <w:szCs w:val="24"/>
        </w:rPr>
        <w:t xml:space="preserve">Exposure</w:t>
      </w:r>
      <w:r>
        <w:rPr>
          <w:rFonts w:ascii="Arial" w:hAnsi="Arial" w:cs="Arial"/>
          <w:b/>
          <w:sz w:val="24"/>
          <w:szCs w:val="24"/>
          <w:lang w:val="uk-UA"/>
        </w:rPr>
        <w:t xml:space="preserve">).</w:t>
      </w:r>
      <w:r>
        <w:rPr>
          <w:rFonts w:ascii="Arial" w:hAnsi="Arial" w:cs="Arial"/>
          <w:sz w:val="24"/>
          <w:szCs w:val="24"/>
          <w:lang w:val="uk-UA"/>
        </w:rPr>
        <w:t xml:space="preserve"> </w:t>
      </w:r>
      <w:r/>
    </w:p>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720"/>
        <w:jc w:val="both"/>
        <w:rPr>
          <w:rFonts w:ascii="Arial" w:hAnsi="Arial" w:cs="Arial"/>
          <w:sz w:val="24"/>
          <w:szCs w:val="24"/>
          <w:lang w:val="uk-UA"/>
        </w:rPr>
      </w:pPr>
      <w:r>
        <w:rPr>
          <w:rFonts w:ascii="Arial" w:hAnsi="Arial" w:cs="Arial"/>
          <w:sz w:val="24"/>
          <w:szCs w:val="24"/>
          <w:lang w:val="uk-UA"/>
        </w:rPr>
        <w:t xml:space="preserve">Цю процедуру здійснювали з урахуванням положень рамкового керівництва програм міжнародного співробітництва Європейського Союзу</w:t>
      </w:r>
      <w:r>
        <w:rPr>
          <w:rStyle w:val="525"/>
          <w:rFonts w:ascii="Arial" w:hAnsi="Arial" w:cs="Arial"/>
          <w:sz w:val="24"/>
          <w:szCs w:val="24"/>
          <w:lang w:val="uk-UA"/>
        </w:rPr>
        <w:footnoteReference w:id="2"/>
      </w:r>
      <w:r>
        <w:rPr>
          <w:rFonts w:ascii="Arial" w:hAnsi="Arial" w:cs="Arial"/>
          <w:sz w:val="24"/>
          <w:szCs w:val="24"/>
          <w:lang w:val="uk-UA"/>
        </w:rPr>
        <w:t xml:space="preserve">. Такими компонентами  є наявність людей, засобів існування, видів або екосистем, екологічних функцій, послуг і ресурсів, інфраструктури, економічних, соціальних або культурних активів в місцях і середовищі, які можуть бути об’єктом негативного впливу. </w:t>
      </w:r>
      <w:r/>
    </w:p>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720"/>
        <w:jc w:val="both"/>
        <w:rPr>
          <w:rFonts w:ascii="Arial" w:hAnsi="Arial" w:cs="Arial"/>
          <w:sz w:val="24"/>
          <w:szCs w:val="24"/>
          <w:lang w:val="uk-UA"/>
        </w:rPr>
      </w:pPr>
      <w:r>
        <w:rPr>
          <w:rFonts w:ascii="Arial" w:hAnsi="Arial" w:cs="Arial"/>
          <w:sz w:val="24"/>
          <w:szCs w:val="24"/>
          <w:lang w:val="uk-UA"/>
        </w:rPr>
        <w:t xml:space="preserve">Такими секторами і об’єктами впливу визначені:</w:t>
      </w:r>
      <w:r/>
    </w:p>
    <w:p>
      <w:pPr>
        <w:pStyle w:val="558"/>
        <w:ind w:firstLine="720"/>
        <w:jc w:val="both"/>
        <w:rPr>
          <w:rFonts w:ascii="Arial" w:hAnsi="Arial" w:cs="Arial"/>
          <w:sz w:val="24"/>
          <w:szCs w:val="24"/>
          <w:lang w:val="uk-UA"/>
        </w:rPr>
      </w:pPr>
      <w:r>
        <w:rPr>
          <w:rFonts w:ascii="Arial" w:hAnsi="Arial" w:cs="Arial"/>
          <w:sz w:val="24"/>
          <w:szCs w:val="24"/>
          <w:lang w:val="uk-UA"/>
        </w:rPr>
      </w:r>
      <w:r/>
    </w:p>
    <w:tbl>
      <w:tblPr>
        <w:tblStyle w:val="521"/>
        <w:tblW w:w="6799" w:type="dxa"/>
        <w:jc w:val="center"/>
        <w:tblLook w:val="04A0" w:firstRow="1" w:lastRow="0" w:firstColumn="1" w:lastColumn="0" w:noHBand="0" w:noVBand="1"/>
      </w:tblPr>
      <w:tblGrid>
        <w:gridCol w:w="562"/>
        <w:gridCol w:w="6237"/>
      </w:tblGrid>
      <w:tr>
        <w:trPr>
          <w:jc w:val="center"/>
        </w:trPr>
        <w:tc>
          <w:tcPr>
            <w:shd w:val="clear" w:color="auto" w:fill="FFFF99" w:themeFill="accent2" w:themeFillTint="66"/>
            <w:tcW w:w="562"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В1</w:t>
            </w:r>
            <w:r/>
          </w:p>
        </w:tc>
        <w:tc>
          <w:tcPr>
            <w:shd w:val="clear" w:color="auto" w:fill="FFFFCC" w:themeFill="accent2" w:themeFillTint="33"/>
            <w:tcW w:w="623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Будинки і споруди</w:t>
            </w:r>
            <w:r/>
          </w:p>
        </w:tc>
      </w:tr>
      <w:tr>
        <w:trPr>
          <w:jc w:val="center"/>
        </w:trPr>
        <w:tc>
          <w:tcPr>
            <w:shd w:val="clear" w:color="auto" w:fill="FFFF99" w:themeFill="accent2" w:themeFillTint="66"/>
            <w:tcW w:w="562"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В2</w:t>
            </w:r>
            <w:r/>
          </w:p>
        </w:tc>
        <w:tc>
          <w:tcPr>
            <w:shd w:val="clear" w:color="auto" w:fill="FFFFCC" w:themeFill="accent2" w:themeFillTint="33"/>
            <w:tcW w:w="623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Транспортні системи</w:t>
            </w:r>
            <w:r/>
          </w:p>
        </w:tc>
      </w:tr>
      <w:tr>
        <w:trPr>
          <w:jc w:val="center"/>
        </w:trPr>
        <w:tc>
          <w:tcPr>
            <w:shd w:val="clear" w:color="auto" w:fill="FFFF99" w:themeFill="accent2" w:themeFillTint="66"/>
            <w:tcW w:w="562"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В3</w:t>
            </w:r>
            <w:r/>
          </w:p>
        </w:tc>
        <w:tc>
          <w:tcPr>
            <w:shd w:val="clear" w:color="auto" w:fill="FFFFCC" w:themeFill="accent2" w:themeFillTint="33"/>
            <w:tcW w:w="623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Системи енергопостачання</w:t>
            </w:r>
            <w:r/>
          </w:p>
        </w:tc>
      </w:tr>
      <w:tr>
        <w:trPr>
          <w:jc w:val="center"/>
        </w:trPr>
        <w:tc>
          <w:tcPr>
            <w:shd w:val="clear" w:color="auto" w:fill="FFFF99" w:themeFill="accent2" w:themeFillTint="66"/>
            <w:tcW w:w="562"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В4</w:t>
            </w:r>
            <w:r/>
          </w:p>
        </w:tc>
        <w:tc>
          <w:tcPr>
            <w:shd w:val="clear" w:color="auto" w:fill="FFFFCC" w:themeFill="accent2" w:themeFillTint="33"/>
            <w:tcW w:w="623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Системи водозабезпечення (водопостачання і водовідведення)</w:t>
            </w:r>
            <w:r/>
          </w:p>
        </w:tc>
      </w:tr>
      <w:tr>
        <w:trPr>
          <w:jc w:val="center"/>
        </w:trPr>
        <w:tc>
          <w:tcPr>
            <w:shd w:val="clear" w:color="auto" w:fill="FFFF99" w:themeFill="accent2" w:themeFillTint="66"/>
            <w:tcW w:w="562"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В5</w:t>
            </w:r>
            <w:r/>
          </w:p>
        </w:tc>
        <w:tc>
          <w:tcPr>
            <w:shd w:val="clear" w:color="auto" w:fill="FFFFCC" w:themeFill="accent2" w:themeFillTint="33"/>
            <w:tcW w:w="623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Сектор поводження з відходами</w:t>
            </w:r>
            <w:r/>
          </w:p>
        </w:tc>
      </w:tr>
      <w:tr>
        <w:trPr>
          <w:jc w:val="center"/>
        </w:trPr>
        <w:tc>
          <w:tcPr>
            <w:shd w:val="clear" w:color="auto" w:fill="FFFF99" w:themeFill="accent2" w:themeFillTint="66"/>
            <w:tcW w:w="562"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В6</w:t>
            </w:r>
            <w:r/>
          </w:p>
        </w:tc>
        <w:tc>
          <w:tcPr>
            <w:shd w:val="clear" w:color="auto" w:fill="FFFFCC" w:themeFill="accent2" w:themeFillTint="33"/>
            <w:tcW w:w="623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Землекористування (сільське та лісове господарство)</w:t>
            </w:r>
            <w:r/>
          </w:p>
        </w:tc>
      </w:tr>
      <w:tr>
        <w:trPr>
          <w:jc w:val="center"/>
        </w:trPr>
        <w:tc>
          <w:tcPr>
            <w:shd w:val="clear" w:color="auto" w:fill="FFFF99" w:themeFill="accent2" w:themeFillTint="66"/>
            <w:tcW w:w="562"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В7</w:t>
            </w:r>
            <w:r/>
          </w:p>
        </w:tc>
        <w:tc>
          <w:tcPr>
            <w:shd w:val="clear" w:color="auto" w:fill="FFFFCC" w:themeFill="accent2" w:themeFillTint="33"/>
            <w:tcW w:w="623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Природне довкілля і біорізноманіття </w:t>
            </w:r>
            <w:r/>
          </w:p>
        </w:tc>
      </w:tr>
      <w:tr>
        <w:trPr>
          <w:jc w:val="center"/>
        </w:trPr>
        <w:tc>
          <w:tcPr>
            <w:shd w:val="clear" w:color="auto" w:fill="FFFF99" w:themeFill="accent2" w:themeFillTint="66"/>
            <w:tcW w:w="562"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В8</w:t>
            </w:r>
            <w:r/>
          </w:p>
        </w:tc>
        <w:tc>
          <w:tcPr>
            <w:shd w:val="clear" w:color="auto" w:fill="FFFFCC" w:themeFill="accent2" w:themeFillTint="33"/>
            <w:tcW w:w="623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Здоров’я населення</w:t>
            </w:r>
            <w:r/>
          </w:p>
        </w:tc>
      </w:tr>
      <w:tr>
        <w:trPr>
          <w:jc w:val="center"/>
        </w:trPr>
        <w:tc>
          <w:tcPr>
            <w:shd w:val="clear" w:color="auto" w:fill="FFFF99" w:themeFill="accent2" w:themeFillTint="66"/>
            <w:tcW w:w="562"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В9</w:t>
            </w:r>
            <w:r/>
          </w:p>
        </w:tc>
        <w:tc>
          <w:tcPr>
            <w:shd w:val="clear" w:color="auto" w:fill="FFFFCC" w:themeFill="accent2" w:themeFillTint="33"/>
            <w:tcW w:w="623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Цивільний захист - служба надзвичайних ситуацій</w:t>
            </w:r>
            <w:r/>
          </w:p>
        </w:tc>
      </w:tr>
    </w:tbl>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720"/>
        <w:jc w:val="both"/>
        <w:rPr>
          <w:rFonts w:ascii="Arial" w:hAnsi="Arial" w:cs="Arial"/>
          <w:sz w:val="24"/>
          <w:szCs w:val="24"/>
          <w:lang w:val="uk-UA"/>
        </w:rPr>
      </w:pPr>
      <w:r>
        <w:rPr>
          <w:rFonts w:ascii="Arial" w:hAnsi="Arial" w:cs="Arial"/>
          <w:b/>
          <w:sz w:val="24"/>
          <w:szCs w:val="24"/>
          <w:shd w:val="clear" w:color="auto" w:fill="FFFFFF"/>
          <w:lang w:val="ru-RU"/>
        </w:rPr>
        <w:t xml:space="preserve">С -</w:t>
      </w:r>
      <w:r>
        <w:rPr>
          <w:rFonts w:ascii="Arial" w:hAnsi="Arial" w:cs="Arial"/>
          <w:sz w:val="24"/>
          <w:szCs w:val="24"/>
          <w:shd w:val="clear" w:color="auto" w:fill="FFFFFF"/>
          <w:lang w:val="ru-RU"/>
        </w:rPr>
        <w:t xml:space="preserve"> </w:t>
      </w:r>
      <w:r>
        <w:rPr>
          <w:rFonts w:ascii="Arial" w:hAnsi="Arial" w:cs="Arial"/>
          <w:b/>
          <w:sz w:val="24"/>
          <w:szCs w:val="24"/>
          <w:lang w:val="uk-UA"/>
        </w:rPr>
        <w:t xml:space="preserve">Оцінка вразливості об’єктів впливу (населення, інфраструктури і природного довкілля до зміни клімату)</w:t>
      </w:r>
      <w:r>
        <w:rPr>
          <w:rFonts w:ascii="Arial" w:hAnsi="Arial" w:cs="Arial"/>
          <w:sz w:val="24"/>
          <w:szCs w:val="24"/>
          <w:lang w:val="uk-UA"/>
        </w:rPr>
        <w:t xml:space="preserve">. </w:t>
      </w:r>
      <w:r/>
    </w:p>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720"/>
        <w:jc w:val="both"/>
        <w:rPr>
          <w:rFonts w:ascii="Arial" w:hAnsi="Arial" w:cs="Arial"/>
          <w:sz w:val="24"/>
          <w:szCs w:val="24"/>
          <w:lang w:val="uk-UA"/>
        </w:rPr>
      </w:pPr>
      <w:r>
        <w:rPr>
          <w:rFonts w:ascii="Arial" w:hAnsi="Arial" w:cs="Arial"/>
          <w:b/>
          <w:sz w:val="24"/>
          <w:szCs w:val="24"/>
          <w:lang w:val="uk-UA"/>
        </w:rPr>
        <w:t xml:space="preserve">«Уразливість»</w:t>
      </w:r>
      <w:r>
        <w:rPr>
          <w:rFonts w:ascii="Arial" w:hAnsi="Arial" w:cs="Arial"/>
          <w:sz w:val="24"/>
          <w:szCs w:val="24"/>
          <w:lang w:val="uk-UA"/>
        </w:rPr>
        <w:t xml:space="preserve"> </w:t>
      </w:r>
      <w:r>
        <w:rPr>
          <w:rFonts w:ascii="Arial" w:hAnsi="Arial" w:cs="Arial"/>
          <w:b/>
          <w:sz w:val="24"/>
          <w:szCs w:val="24"/>
          <w:lang w:val="uk-UA"/>
        </w:rPr>
        <w:t xml:space="preserve">(</w:t>
      </w:r>
      <w:r>
        <w:rPr>
          <w:rFonts w:ascii="Arial" w:hAnsi="Arial" w:cs="Arial"/>
          <w:b/>
          <w:sz w:val="24"/>
          <w:szCs w:val="24"/>
        </w:rPr>
        <w:t xml:space="preserve">Vulnerability</w:t>
      </w:r>
      <w:r>
        <w:rPr>
          <w:rFonts w:ascii="Arial" w:hAnsi="Arial" w:cs="Arial"/>
          <w:b/>
          <w:sz w:val="24"/>
          <w:szCs w:val="24"/>
          <w:lang w:val="uk-UA"/>
        </w:rPr>
        <w:t xml:space="preserve">) </w:t>
      </w:r>
      <w:r>
        <w:rPr>
          <w:rFonts w:ascii="Arial" w:hAnsi="Arial" w:cs="Arial"/>
          <w:sz w:val="24"/>
          <w:szCs w:val="24"/>
          <w:lang w:val="uk-UA"/>
        </w:rPr>
        <w:t xml:space="preserve">означає чутливість або схильн</w:t>
      </w:r>
      <w:r>
        <w:rPr>
          <w:rFonts w:ascii="Arial" w:hAnsi="Arial" w:cs="Arial"/>
          <w:sz w:val="24"/>
          <w:szCs w:val="24"/>
          <w:lang w:val="uk-UA"/>
        </w:rPr>
        <w:t xml:space="preserve">ість до сприйняття негативного впливу, а також здатність системи адаптуватися. Оцінку вразливості здійснювали з урахуванням результатів аналізу, отриманих при виконанні завдань пунктів А – В, та використовуючи методичні підходи, запропоновані у посібнику (</w:t>
      </w:r>
      <w:r>
        <w:rPr>
          <w:rStyle w:val="575"/>
          <w:rFonts w:ascii="Arial" w:hAnsi="Arial" w:cs="Arial"/>
          <w:sz w:val="24"/>
          <w:szCs w:val="24"/>
          <w:lang w:val="ru-RU"/>
        </w:rPr>
        <w:t xml:space="preserve">Кона </w:t>
      </w:r>
      <w:r>
        <w:rPr>
          <w:rStyle w:val="575"/>
          <w:rFonts w:ascii="Arial" w:hAnsi="Arial" w:cs="Arial"/>
          <w:sz w:val="24"/>
          <w:szCs w:val="24"/>
        </w:rPr>
        <w:t xml:space="preserve">A</w:t>
      </w:r>
      <w:r>
        <w:rPr>
          <w:rStyle w:val="575"/>
          <w:rFonts w:ascii="Arial" w:hAnsi="Arial" w:cs="Arial"/>
          <w:sz w:val="24"/>
          <w:szCs w:val="24"/>
          <w:lang w:val="ru-RU"/>
        </w:rPr>
        <w:t xml:space="preserve">. и др. Руководство «Как разработать План действий по устойчивому энергетическому развитию и климату в странах </w:t>
      </w:r>
      <w:r>
        <w:rPr>
          <w:rStyle w:val="575"/>
          <w:rFonts w:ascii="Arial" w:hAnsi="Arial" w:cs="Arial"/>
          <w:sz w:val="24"/>
          <w:szCs w:val="24"/>
          <w:lang w:val="ru-RU"/>
        </w:rPr>
        <w:t xml:space="preserve">Восточного Партнерства», Европейская Комиссия, </w:t>
      </w:r>
      <w:r>
        <w:rPr>
          <w:rStyle w:val="575"/>
          <w:rFonts w:ascii="Arial" w:hAnsi="Arial" w:cs="Arial"/>
          <w:sz w:val="24"/>
          <w:szCs w:val="24"/>
          <w:lang w:val="ru-RU"/>
        </w:rPr>
        <w:t xml:space="preserve">Испра</w:t>
      </w:r>
      <w:r>
        <w:rPr>
          <w:rStyle w:val="575"/>
          <w:rFonts w:ascii="Arial" w:hAnsi="Arial" w:cs="Arial"/>
          <w:sz w:val="24"/>
          <w:szCs w:val="24"/>
          <w:lang w:val="ru-RU"/>
        </w:rPr>
        <w:t xml:space="preserve">,</w:t>
      </w:r>
      <w:r>
        <w:rPr>
          <w:rStyle w:val="575"/>
          <w:rFonts w:ascii="Arial" w:hAnsi="Arial" w:cs="Arial"/>
          <w:sz w:val="24"/>
          <w:szCs w:val="24"/>
          <w:lang w:val="ru-RU"/>
        </w:rPr>
        <w:t xml:space="preserve"> </w:t>
      </w:r>
      <w:r>
        <w:rPr>
          <w:rStyle w:val="575"/>
          <w:rFonts w:ascii="Arial" w:hAnsi="Arial" w:cs="Arial"/>
          <w:sz w:val="24"/>
          <w:szCs w:val="24"/>
          <w:lang w:val="ru-RU"/>
        </w:rPr>
        <w:t xml:space="preserve">2018) </w:t>
      </w:r>
      <w:r>
        <w:rPr>
          <w:rFonts w:ascii="Arial" w:hAnsi="Arial" w:cs="Arial"/>
          <w:sz w:val="24"/>
          <w:szCs w:val="24"/>
          <w:lang w:val="uk-UA"/>
        </w:rPr>
        <w:t xml:space="preserve">та в посібнику «Оцінка вразливості до зміни клімату: Україна»</w:t>
      </w:r>
      <w:r>
        <w:rPr>
          <w:rStyle w:val="525"/>
          <w:rFonts w:ascii="Arial" w:hAnsi="Arial" w:cs="Arial"/>
          <w:sz w:val="24"/>
          <w:szCs w:val="24"/>
          <w:lang w:val="uk-UA"/>
        </w:rPr>
        <w:footnoteReference w:id="3"/>
      </w:r>
      <w:r>
        <w:rPr>
          <w:rFonts w:ascii="Arial" w:hAnsi="Arial" w:cs="Arial"/>
          <w:sz w:val="24"/>
          <w:szCs w:val="24"/>
          <w:lang w:val="uk-UA"/>
        </w:rPr>
        <w:t xml:space="preserve">. </w:t>
      </w:r>
      <w:r/>
    </w:p>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720"/>
        <w:jc w:val="both"/>
        <w:rPr>
          <w:rFonts w:ascii="Arial" w:hAnsi="Arial" w:cs="Arial"/>
          <w:b/>
          <w:sz w:val="24"/>
          <w:szCs w:val="24"/>
          <w:lang w:val="uk-UA"/>
        </w:rPr>
      </w:pPr>
      <w:r>
        <w:rPr>
          <w:rFonts w:ascii="Arial" w:hAnsi="Arial" w:cs="Arial"/>
          <w:b/>
          <w:sz w:val="24"/>
          <w:szCs w:val="24"/>
        </w:rPr>
        <w:t xml:space="preserve">D</w:t>
      </w:r>
      <w:r>
        <w:rPr>
          <w:rFonts w:ascii="Arial" w:hAnsi="Arial" w:cs="Arial"/>
          <w:b/>
          <w:sz w:val="24"/>
          <w:szCs w:val="24"/>
          <w:lang w:val="ru-RU"/>
        </w:rPr>
        <w:t xml:space="preserve"> – </w:t>
      </w:r>
      <w:r>
        <w:rPr>
          <w:rFonts w:ascii="Arial" w:hAnsi="Arial" w:cs="Arial"/>
          <w:b/>
          <w:sz w:val="24"/>
          <w:szCs w:val="24"/>
          <w:lang w:val="uk-UA"/>
        </w:rPr>
        <w:t xml:space="preserve">Визначення та вибір оптимальних варіантів адаптації населення і території до зміни клімату. </w:t>
      </w:r>
      <w:r/>
    </w:p>
    <w:p>
      <w:pPr>
        <w:pStyle w:val="558"/>
        <w:ind w:firstLine="720"/>
        <w:jc w:val="both"/>
        <w:rPr>
          <w:rFonts w:ascii="Arial" w:hAnsi="Arial" w:cs="Arial"/>
          <w:sz w:val="24"/>
          <w:szCs w:val="24"/>
          <w:lang w:val="uk-UA"/>
        </w:rPr>
      </w:pPr>
      <w:r>
        <w:rPr>
          <w:rFonts w:ascii="Arial" w:hAnsi="Arial" w:cs="Arial"/>
          <w:sz w:val="24"/>
          <w:szCs w:val="24"/>
          <w:lang w:val="uk-UA"/>
        </w:rPr>
        <w:t xml:space="preserve">Адаптація є процесом пристосування до фактичного або очікуваного стану клімату та його наслідків. В антропогенних системах адаптація спрямована на </w:t>
      </w:r>
      <w:r>
        <w:rPr>
          <w:rFonts w:ascii="Arial" w:hAnsi="Arial" w:cs="Arial"/>
          <w:sz w:val="24"/>
          <w:szCs w:val="24"/>
          <w:lang w:val="uk-UA"/>
        </w:rPr>
        <w:t xml:space="preserve">модерування</w:t>
      </w:r>
      <w:r>
        <w:rPr>
          <w:rFonts w:ascii="Arial" w:hAnsi="Arial" w:cs="Arial"/>
          <w:sz w:val="24"/>
          <w:szCs w:val="24"/>
          <w:lang w:val="uk-UA"/>
        </w:rPr>
        <w:t xml:space="preserve"> або уникнення шкоди, а також на використання сприятливих можливостей. У деяких природних системах втручання людини може сприяти їх пристосуванню до очікуваних кліматичних змін та їх наслідків.</w:t>
      </w:r>
      <w:r/>
    </w:p>
    <w:p>
      <w:pPr>
        <w:pStyle w:val="558"/>
        <w:jc w:val="both"/>
        <w:rPr>
          <w:rFonts w:ascii="Arial" w:hAnsi="Arial" w:cs="Arial"/>
          <w:sz w:val="24"/>
          <w:szCs w:val="24"/>
          <w:lang w:val="uk-UA"/>
        </w:rPr>
      </w:pPr>
      <w:r>
        <w:rPr>
          <w:rFonts w:ascii="Arial" w:hAnsi="Arial" w:cs="Arial"/>
          <w:sz w:val="24"/>
          <w:szCs w:val="24"/>
          <w:lang w:val="uk-UA" w:eastAsia="uk-UA"/>
        </w:rPr>
        <mc:AlternateContent>
          <mc:Choice Requires="wpg">
            <w:drawing>
              <wp:inline xmlns:wp="http://schemas.openxmlformats.org/drawingml/2006/wordprocessingDrawing" distT="0" distB="0" distL="0" distR="0">
                <wp:extent cx="4251960" cy="2560320"/>
                <wp:effectExtent l="0" t="0" r="0" b="0"/>
                <wp:docPr id="31" name="Рисунок 16" descr="ХАРАКТЕРИСТИКА ОТГ-КЛІМАТ"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Picture 3" descr="ХАРАКТЕРИСТИКА ОТГ-КЛІМАТ" hidden="0"/>
                        <pic:cNvPicPr>
                          <a:picLocks noChangeAspect="1"/>
                        </pic:cNvPicPr>
                      </pic:nvPicPr>
                      <pic:blipFill>
                        <a:blip r:embed="rId38"/>
                        <a:stretch/>
                      </pic:blipFill>
                      <pic:spPr bwMode="auto">
                        <a:xfrm>
                          <a:off x="0" y="0"/>
                          <a:ext cx="4251960" cy="25603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334.8pt;height:201.6pt;">
                <v:path textboxrect="0,0,0,0"/>
                <v:imagedata r:id="rId38" o:title=""/>
              </v:shape>
            </w:pict>
          </mc:Fallback>
        </mc:AlternateContent>
      </w:r>
      <w:r/>
    </w:p>
    <w:p>
      <w:pPr>
        <w:pStyle w:val="558"/>
        <w:ind w:firstLine="720"/>
        <w:jc w:val="both"/>
        <w:rPr>
          <w:rFonts w:ascii="Arial" w:hAnsi="Arial" w:cs="Arial"/>
          <w:b/>
          <w:sz w:val="24"/>
          <w:szCs w:val="24"/>
          <w:lang w:val="uk-UA"/>
        </w:rPr>
      </w:pPr>
      <w:r>
        <w:rPr>
          <w:rFonts w:ascii="Arial" w:hAnsi="Arial" w:cs="Arial"/>
          <w:b/>
          <w:sz w:val="24"/>
          <w:szCs w:val="24"/>
          <w:lang w:val="uk-UA"/>
        </w:rPr>
        <w:t xml:space="preserve">Рис</w:t>
      </w:r>
      <w:r>
        <w:rPr>
          <w:rFonts w:ascii="Arial" w:hAnsi="Arial" w:cs="Arial"/>
          <w:b/>
          <w:sz w:val="24"/>
          <w:szCs w:val="24"/>
          <w:lang w:val="uk-UA"/>
        </w:rPr>
        <w:t xml:space="preserve"> 1</w:t>
      </w:r>
      <w:r>
        <w:rPr>
          <w:rFonts w:ascii="Arial" w:hAnsi="Arial" w:cs="Arial"/>
          <w:b/>
          <w:sz w:val="24"/>
          <w:szCs w:val="24"/>
          <w:lang w:val="uk-UA"/>
        </w:rPr>
        <w:t xml:space="preserve">.</w:t>
      </w:r>
      <w:r>
        <w:rPr>
          <w:rFonts w:ascii="Arial" w:hAnsi="Arial" w:cs="Arial"/>
          <w:b/>
          <w:sz w:val="24"/>
          <w:szCs w:val="24"/>
          <w:lang w:val="uk-UA"/>
        </w:rPr>
        <w:t xml:space="preserve"> Схема розроблення кліматичної складової Плану дій.</w:t>
      </w:r>
      <w:r/>
    </w:p>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720"/>
        <w:jc w:val="both"/>
        <w:rPr>
          <w:rFonts w:ascii="Arial" w:hAnsi="Arial" w:cs="Arial"/>
          <w:sz w:val="24"/>
          <w:szCs w:val="24"/>
          <w:lang w:val="uk-UA"/>
        </w:rPr>
      </w:pPr>
      <w:r>
        <w:rPr>
          <w:rFonts w:ascii="Arial" w:hAnsi="Arial" w:cs="Arial"/>
          <w:sz w:val="24"/>
          <w:szCs w:val="24"/>
          <w:lang w:val="uk-UA"/>
        </w:rPr>
      </w:r>
      <w:r/>
    </w:p>
    <w:p>
      <w:pPr>
        <w:pStyle w:val="558"/>
        <w:ind w:firstLine="540"/>
        <w:jc w:val="both"/>
        <w:rPr>
          <w:rFonts w:ascii="Arial" w:hAnsi="Arial" w:cs="Arial"/>
          <w:b/>
          <w:sz w:val="24"/>
          <w:szCs w:val="24"/>
          <w:lang w:val="uk-UA"/>
        </w:rPr>
      </w:pPr>
      <w:r>
        <w:rPr>
          <w:rFonts w:ascii="Arial" w:hAnsi="Arial" w:cs="Arial"/>
          <w:b/>
          <w:sz w:val="24"/>
          <w:szCs w:val="24"/>
          <w:shd w:val="clear" w:color="auto" w:fill="FFFFFF"/>
          <w:lang w:val="uk-UA"/>
        </w:rPr>
        <w:t xml:space="preserve">Кліматичні умови в регіоні </w:t>
      </w:r>
      <w:r>
        <w:rPr>
          <w:rFonts w:ascii="Arial" w:hAnsi="Arial" w:cs="Arial"/>
          <w:b/>
          <w:sz w:val="24"/>
          <w:szCs w:val="24"/>
          <w:lang w:val="uk-UA"/>
        </w:rPr>
        <w:t xml:space="preserve">Менської міської </w:t>
      </w:r>
      <w:r>
        <w:rPr>
          <w:rFonts w:ascii="Arial" w:hAnsi="Arial" w:cs="Arial"/>
          <w:b/>
          <w:sz w:val="24"/>
          <w:szCs w:val="24"/>
          <w:lang w:val="uk-UA"/>
        </w:rPr>
        <w:t xml:space="preserve">територіальної громади</w:t>
      </w:r>
      <w:r/>
    </w:p>
    <w:p>
      <w:pPr>
        <w:pStyle w:val="558"/>
        <w:ind w:firstLine="540"/>
        <w:jc w:val="both"/>
        <w:rPr>
          <w:rFonts w:ascii="Arial" w:hAnsi="Arial" w:cs="Arial"/>
          <w:b/>
          <w:sz w:val="24"/>
          <w:szCs w:val="24"/>
          <w:lang w:val="uk-UA"/>
        </w:rPr>
      </w:pPr>
      <w:r>
        <w:rPr>
          <w:rFonts w:ascii="Arial" w:hAnsi="Arial" w:cs="Arial"/>
          <w:b/>
          <w:sz w:val="24"/>
          <w:szCs w:val="24"/>
          <w:lang w:val="uk-UA"/>
        </w:rPr>
      </w:r>
      <w:r/>
    </w:p>
    <w:p>
      <w:pPr>
        <w:pStyle w:val="558"/>
        <w:ind w:firstLine="540"/>
        <w:jc w:val="both"/>
        <w:rPr>
          <w:rFonts w:ascii="Arial" w:hAnsi="Arial" w:cs="Arial"/>
          <w:sz w:val="24"/>
          <w:szCs w:val="24"/>
          <w:lang w:val="uk-UA"/>
        </w:rPr>
      </w:pPr>
      <w:r>
        <w:rPr>
          <w:rFonts w:ascii="Arial" w:hAnsi="Arial" w:cs="Arial"/>
          <w:sz w:val="24"/>
          <w:szCs w:val="24"/>
          <w:lang w:val="uk-UA"/>
        </w:rPr>
        <w:t xml:space="preserve">Менська міська </w:t>
      </w:r>
      <w:r>
        <w:rPr>
          <w:rFonts w:ascii="Arial" w:hAnsi="Arial" w:cs="Arial"/>
          <w:sz w:val="24"/>
          <w:szCs w:val="24"/>
          <w:lang w:val="uk-UA"/>
        </w:rPr>
        <w:t xml:space="preserve">територіальна громада</w:t>
      </w:r>
      <w:r>
        <w:rPr>
          <w:rFonts w:ascii="Arial" w:hAnsi="Arial" w:cs="Arial"/>
          <w:sz w:val="24"/>
          <w:szCs w:val="24"/>
          <w:lang w:val="uk-UA"/>
        </w:rPr>
        <w:t xml:space="preserve"> об’єднує </w:t>
      </w:r>
      <w:r>
        <w:rPr>
          <w:rFonts w:ascii="Arial" w:hAnsi="Arial" w:cs="Arial"/>
          <w:sz w:val="24"/>
          <w:szCs w:val="24"/>
          <w:highlight w:val="white"/>
          <w:lang w:val="uk-UA"/>
        </w:rPr>
        <w:t xml:space="preserve">33 населені пункти, в тому числі одне місто, одне селище і 31 село, які в свою черг</w:t>
      </w:r>
      <w:r>
        <w:rPr>
          <w:rFonts w:ascii="Arial" w:hAnsi="Arial" w:cs="Arial"/>
          <w:sz w:val="24"/>
          <w:szCs w:val="24"/>
          <w:highlight w:val="white"/>
          <w:lang w:val="uk-UA"/>
        </w:rPr>
        <w:t xml:space="preserve">у об`єднанні в 16 старостинських округів (Макошинський, Бірківський, Блистівський, Величківський, Дягівський, Киселівський, Куковицький, Лісківський, Осьмаківський, Садовий, Семенівський, Синявський, Слобідський, Стольненський, Ушнянський та Феськівський).</w:t>
      </w:r>
      <w:r>
        <w:rPr>
          <w:rFonts w:ascii="Arial" w:hAnsi="Arial" w:cs="Arial"/>
          <w:sz w:val="24"/>
          <w:szCs w:val="24"/>
          <w:lang w:val="uk-UA"/>
        </w:rPr>
        <w:t xml:space="preserve"> </w:t>
      </w:r>
      <w:r>
        <w:rPr>
          <w:rFonts w:ascii="Arial" w:hAnsi="Arial" w:cs="Arial"/>
          <w:sz w:val="24"/>
          <w:szCs w:val="24"/>
          <w:highlight w:val="white"/>
          <w:lang w:val="uk-UA"/>
        </w:rPr>
        <w:t xml:space="preserve">з Адміністративний центр </w:t>
      </w:r>
      <w:r>
        <w:rPr>
          <w:rFonts w:ascii="Arial" w:hAnsi="Arial" w:cs="Arial"/>
          <w:sz w:val="24"/>
          <w:szCs w:val="24"/>
          <w:highlight w:val="white"/>
          <w:lang w:val="uk-UA"/>
        </w:rPr>
        <w:t xml:space="preserve">територіальної громади</w:t>
      </w:r>
      <w:r>
        <w:rPr>
          <w:rFonts w:ascii="Arial" w:hAnsi="Arial" w:cs="Arial"/>
          <w:sz w:val="24"/>
          <w:szCs w:val="24"/>
          <w:highlight w:val="white"/>
          <w:lang w:val="uk-UA"/>
        </w:rPr>
        <w:t xml:space="preserve"> – місто Мена</w:t>
      </w:r>
      <w:r>
        <w:rPr>
          <w:rFonts w:ascii="Arial" w:hAnsi="Arial" w:cs="Arial"/>
          <w:sz w:val="24"/>
          <w:szCs w:val="24"/>
          <w:lang w:val="uk-UA"/>
        </w:rPr>
        <w:t xml:space="preserve">.</w:t>
      </w:r>
      <w:r/>
    </w:p>
    <w:p>
      <w:pPr>
        <w:pStyle w:val="558"/>
        <w:ind w:firstLine="540"/>
        <w:jc w:val="both"/>
        <w:rPr>
          <w:rFonts w:ascii="Arial" w:hAnsi="Arial" w:cs="Arial"/>
          <w:sz w:val="24"/>
          <w:szCs w:val="24"/>
          <w:lang w:val="ru-RU"/>
        </w:rPr>
      </w:pPr>
      <w:r>
        <w:rPr>
          <w:rFonts w:ascii="Arial" w:hAnsi="Arial" w:cs="Arial"/>
          <w:sz w:val="24"/>
          <w:szCs w:val="24"/>
          <w:lang w:val="ru-RU"/>
        </w:rPr>
        <w:t xml:space="preserve">Загальна</w:t>
      </w:r>
      <w:r>
        <w:rPr>
          <w:rFonts w:ascii="Arial" w:hAnsi="Arial" w:cs="Arial"/>
          <w:sz w:val="24"/>
          <w:szCs w:val="24"/>
          <w:lang w:val="ru-RU"/>
        </w:rPr>
        <w:t xml:space="preserve"> </w:t>
      </w:r>
      <w:r>
        <w:rPr>
          <w:rFonts w:ascii="Arial" w:hAnsi="Arial" w:cs="Arial"/>
          <w:sz w:val="24"/>
          <w:szCs w:val="24"/>
          <w:lang w:val="ru-RU"/>
        </w:rPr>
        <w:t xml:space="preserve">площа</w:t>
      </w:r>
      <w:r>
        <w:rPr>
          <w:rFonts w:ascii="Arial" w:hAnsi="Arial" w:cs="Arial"/>
          <w:sz w:val="24"/>
          <w:szCs w:val="24"/>
          <w:lang w:val="ru-RU"/>
        </w:rPr>
        <w:t xml:space="preserve"> </w:t>
      </w:r>
      <w:r>
        <w:rPr>
          <w:rFonts w:ascii="Arial" w:hAnsi="Arial" w:cs="Arial"/>
          <w:sz w:val="24"/>
          <w:szCs w:val="24"/>
          <w:lang w:val="ru-RU"/>
        </w:rPr>
        <w:t xml:space="preserve">території</w:t>
      </w:r>
      <w:r>
        <w:rPr>
          <w:rFonts w:ascii="Arial" w:hAnsi="Arial" w:cs="Arial"/>
          <w:sz w:val="24"/>
          <w:szCs w:val="24"/>
          <w:lang w:val="ru-RU"/>
        </w:rPr>
        <w:t xml:space="preserve"> </w:t>
      </w:r>
      <w:r>
        <w:rPr>
          <w:rFonts w:ascii="Arial" w:hAnsi="Arial" w:cs="Arial"/>
          <w:sz w:val="24"/>
          <w:szCs w:val="24"/>
          <w:lang w:val="ru-RU"/>
        </w:rPr>
        <w:t xml:space="preserve">громади</w:t>
      </w:r>
      <w:r>
        <w:rPr>
          <w:rFonts w:ascii="Arial" w:hAnsi="Arial" w:cs="Arial"/>
          <w:sz w:val="24"/>
          <w:szCs w:val="24"/>
          <w:lang w:val="ru-RU"/>
        </w:rPr>
        <w:t xml:space="preserve"> становить 83644 га, </w:t>
      </w:r>
      <w:r>
        <w:rPr>
          <w:rFonts w:ascii="Arial" w:hAnsi="Arial" w:cs="Arial"/>
          <w:sz w:val="24"/>
          <w:szCs w:val="24"/>
          <w:lang w:val="ru-RU"/>
        </w:rPr>
        <w:t xml:space="preserve">територія</w:t>
      </w:r>
      <w:r>
        <w:rPr>
          <w:rFonts w:ascii="Arial" w:hAnsi="Arial" w:cs="Arial"/>
          <w:sz w:val="24"/>
          <w:szCs w:val="24"/>
          <w:lang w:val="ru-RU"/>
        </w:rPr>
        <w:t xml:space="preserve"> </w:t>
      </w:r>
      <w:r>
        <w:rPr>
          <w:rFonts w:ascii="Arial" w:hAnsi="Arial" w:cs="Arial"/>
          <w:sz w:val="24"/>
          <w:szCs w:val="24"/>
          <w:lang w:val="ru-RU"/>
        </w:rPr>
        <w:t xml:space="preserve">населених</w:t>
      </w:r>
      <w:r>
        <w:rPr>
          <w:rFonts w:ascii="Arial" w:hAnsi="Arial" w:cs="Arial"/>
          <w:sz w:val="24"/>
          <w:szCs w:val="24"/>
          <w:lang w:val="ru-RU"/>
        </w:rPr>
        <w:t xml:space="preserve"> </w:t>
      </w:r>
      <w:r>
        <w:rPr>
          <w:rFonts w:ascii="Arial" w:hAnsi="Arial" w:cs="Arial"/>
          <w:sz w:val="24"/>
          <w:szCs w:val="24"/>
          <w:lang w:val="ru-RU"/>
        </w:rPr>
        <w:t xml:space="preserve">пунктів</w:t>
      </w:r>
      <w:r>
        <w:rPr>
          <w:rFonts w:ascii="Arial" w:hAnsi="Arial" w:cs="Arial"/>
          <w:sz w:val="24"/>
          <w:szCs w:val="24"/>
          <w:lang w:val="ru-RU"/>
        </w:rPr>
        <w:t xml:space="preserve"> – 9259,88 га.</w:t>
      </w:r>
      <w:r/>
    </w:p>
    <w:p>
      <w:pPr>
        <w:pStyle w:val="558"/>
        <w:jc w:val="both"/>
        <w:rPr>
          <w:rFonts w:ascii="Arial" w:hAnsi="Arial" w:cs="Arial"/>
          <w:sz w:val="24"/>
          <w:szCs w:val="24"/>
          <w:lang w:val="uk-UA"/>
        </w:rPr>
      </w:pPr>
      <w:r>
        <w:rPr>
          <w:rFonts w:ascii="Arial" w:hAnsi="Arial" w:cs="Arial"/>
          <w:sz w:val="24"/>
          <w:szCs w:val="24"/>
          <w:lang w:val="uk-UA"/>
        </w:rPr>
        <w:t xml:space="preserve">Чисельність населення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складає 26101 осіб, згідно </w:t>
      </w:r>
      <w:r/>
    </w:p>
    <w:p>
      <w:pPr>
        <w:pStyle w:val="558"/>
        <w:jc w:val="both"/>
        <w:rPr>
          <w:rFonts w:ascii="Arial" w:hAnsi="Arial" w:cs="Arial"/>
          <w:sz w:val="24"/>
          <w:szCs w:val="24"/>
          <w:lang w:val="uk-UA"/>
        </w:rPr>
      </w:pPr>
      <w:r/>
      <w:hyperlink r:id="rId39" w:history="1">
        <w:r>
          <w:rPr>
            <w:rStyle w:val="522"/>
            <w:rFonts w:ascii="Arial" w:hAnsi="Arial" w:cs="Arial"/>
            <w:sz w:val="24"/>
            <w:szCs w:val="24"/>
            <w:lang w:val="uk-UA"/>
          </w:rPr>
          <w:t xml:space="preserve">https://decentralization.gov.ua/newgromada</w:t>
        </w:r>
      </w:hyperlink>
      <w:r>
        <w:rPr>
          <w:rFonts w:ascii="Arial" w:hAnsi="Arial" w:cs="Arial"/>
          <w:sz w:val="24"/>
          <w:szCs w:val="24"/>
          <w:lang w:val="uk-UA"/>
        </w:rPr>
        <w:t xml:space="preserve">.  </w:t>
      </w:r>
      <w:r/>
    </w:p>
    <w:p>
      <w:pPr>
        <w:pStyle w:val="558"/>
        <w:jc w:val="both"/>
        <w:rPr>
          <w:rFonts w:ascii="Arial" w:hAnsi="Arial" w:cs="Arial"/>
          <w:b/>
          <w:sz w:val="24"/>
          <w:szCs w:val="24"/>
          <w:lang w:val="uk-UA"/>
        </w:rPr>
      </w:pPr>
      <w:r>
        <w:rPr>
          <w:rFonts w:ascii="Arial" w:hAnsi="Arial" w:cs="Arial"/>
          <w:sz w:val="24"/>
          <w:szCs w:val="24"/>
          <w:shd w:val="clear" w:color="auto" w:fill="FFFFFF"/>
          <w:lang w:val="uk-UA"/>
        </w:rPr>
        <w:t xml:space="preserve">Територіальна громада</w:t>
      </w:r>
      <w:r>
        <w:rPr>
          <w:rFonts w:ascii="Arial" w:hAnsi="Arial" w:cs="Arial"/>
          <w:sz w:val="24"/>
          <w:szCs w:val="24"/>
          <w:shd w:val="clear" w:color="auto" w:fill="FFFFFF"/>
          <w:lang w:val="uk-UA"/>
        </w:rPr>
        <w:t xml:space="preserve"> розташована на північному сході Чернігівської області у межах Поліської низовини</w:t>
      </w:r>
      <w:r>
        <w:rPr>
          <w:rFonts w:ascii="Arial" w:hAnsi="Arial" w:cs="Arial"/>
          <w:sz w:val="24"/>
          <w:szCs w:val="24"/>
          <w:lang w:val="uk-UA"/>
        </w:rPr>
        <w:t xml:space="preserve"> </w:t>
      </w:r>
      <w:r>
        <w:rPr>
          <w:rFonts w:ascii="Arial" w:hAnsi="Arial" w:cs="Arial"/>
          <w:sz w:val="24"/>
          <w:szCs w:val="24"/>
          <w:shd w:val="clear" w:color="auto" w:fill="FFFFFF"/>
          <w:lang w:val="uk-UA"/>
        </w:rPr>
        <w:t xml:space="preserve">та межує з лісостеповою зоною Придніпровської низовини</w:t>
      </w:r>
      <w:r>
        <w:rPr>
          <w:rFonts w:ascii="Arial" w:hAnsi="Arial" w:cs="Arial"/>
          <w:sz w:val="24"/>
          <w:szCs w:val="24"/>
          <w:lang w:val="uk-UA"/>
        </w:rPr>
        <w:t xml:space="preserve"> (на півдні). К</w:t>
      </w:r>
      <w:r>
        <w:rPr>
          <w:rFonts w:ascii="Arial" w:hAnsi="Arial" w:cs="Arial"/>
          <w:sz w:val="24"/>
          <w:szCs w:val="24"/>
          <w:shd w:val="clear" w:color="auto" w:fill="FFFFFF"/>
          <w:lang w:val="uk-UA"/>
        </w:rPr>
        <w:t xml:space="preserve">лімат в регіоні - </w:t>
      </w:r>
      <w:r>
        <w:rPr>
          <w:rFonts w:ascii="Arial" w:hAnsi="Arial" w:cs="Arial"/>
          <w:sz w:val="24"/>
          <w:szCs w:val="24"/>
          <w:shd w:val="clear" w:color="auto" w:fill="FFFFFF"/>
          <w:lang w:val="uk-UA"/>
        </w:rPr>
        <w:t xml:space="preserve">помірно</w:t>
      </w:r>
      <w:r>
        <w:rPr>
          <w:rFonts w:ascii="Arial" w:hAnsi="Arial" w:cs="Arial"/>
          <w:sz w:val="24"/>
          <w:szCs w:val="24"/>
          <w:shd w:val="clear" w:color="auto" w:fill="FFFFFF"/>
          <w:lang w:val="uk-UA"/>
        </w:rPr>
        <w:t xml:space="preserve">-теплий, м'який, з достатньою вологістю.</w:t>
      </w:r>
      <w:r>
        <w:rPr>
          <w:rFonts w:ascii="Arial" w:hAnsi="Arial" w:cs="Arial"/>
          <w:sz w:val="24"/>
          <w:szCs w:val="24"/>
          <w:lang w:val="uk-UA"/>
        </w:rPr>
        <w:t xml:space="preserve"> Обумовлений </w:t>
      </w:r>
      <w:r>
        <w:rPr>
          <w:rFonts w:ascii="Arial" w:hAnsi="Arial" w:cs="Arial"/>
          <w:sz w:val="24"/>
          <w:szCs w:val="24"/>
          <w:shd w:val="clear" w:color="auto" w:fill="FFFFFF"/>
          <w:lang w:val="uk-UA"/>
        </w:rPr>
        <w:t xml:space="preserve">розташуванням в помірному кліматичному </w:t>
      </w:r>
      <w:r>
        <w:rPr>
          <w:rFonts w:ascii="Arial" w:hAnsi="Arial" w:cs="Arial"/>
          <w:color w:val="222222"/>
          <w:sz w:val="24"/>
          <w:szCs w:val="24"/>
          <w:shd w:val="clear" w:color="auto" w:fill="FFFFFF"/>
          <w:lang w:val="uk-UA"/>
        </w:rPr>
        <w:t xml:space="preserve">поясі і належить до </w:t>
      </w:r>
      <w:r>
        <w:rPr>
          <w:rFonts w:ascii="Arial" w:hAnsi="Arial" w:cs="Arial"/>
          <w:color w:val="222222"/>
          <w:sz w:val="24"/>
          <w:szCs w:val="24"/>
          <w:shd w:val="clear" w:color="auto" w:fill="FFFFFF"/>
          <w:lang w:val="uk-UA"/>
        </w:rPr>
        <w:t xml:space="preserve">помірно</w:t>
      </w:r>
      <w:r>
        <w:rPr>
          <w:rFonts w:ascii="Arial" w:hAnsi="Arial" w:cs="Arial"/>
          <w:color w:val="222222"/>
          <w:sz w:val="24"/>
          <w:szCs w:val="24"/>
          <w:shd w:val="clear" w:color="auto" w:fill="FFFFFF"/>
          <w:lang w:val="uk-UA"/>
        </w:rPr>
        <w:t xml:space="preserve">–континентального типу. </w:t>
      </w:r>
      <w:r/>
    </w:p>
    <w:p>
      <w:pPr>
        <w:pStyle w:val="539"/>
        <w:ind w:left="0" w:firstLine="567"/>
        <w:jc w:val="both"/>
        <w:spacing w:lineRule="auto" w:line="240" w:after="0"/>
        <w:tabs>
          <w:tab w:val="left" w:pos="709" w:leader="none"/>
        </w:tabs>
        <w:rPr>
          <w:rFonts w:ascii="Arial" w:hAnsi="Arial" w:cs="Arial"/>
          <w:sz w:val="24"/>
          <w:szCs w:val="24"/>
        </w:rPr>
      </w:pPr>
      <w:r>
        <w:rPr>
          <w:rFonts w:ascii="Arial" w:hAnsi="Arial" w:cs="Arial"/>
          <w:sz w:val="24"/>
          <w:szCs w:val="24"/>
        </w:rPr>
      </w:r>
      <w:r/>
    </w:p>
    <w:p>
      <w:pPr>
        <w:pStyle w:val="558"/>
        <w:ind w:firstLine="567"/>
        <w:jc w:val="both"/>
        <w:rPr>
          <w:rFonts w:ascii="Arial" w:hAnsi="Arial" w:cs="Arial"/>
          <w:b/>
          <w:sz w:val="24"/>
          <w:szCs w:val="24"/>
          <w:lang w:val="uk-UA"/>
        </w:rPr>
      </w:pPr>
      <w:r>
        <w:rPr>
          <w:rFonts w:ascii="Arial" w:hAnsi="Arial" w:cs="Arial"/>
          <w:b/>
          <w:sz w:val="24"/>
          <w:szCs w:val="24"/>
          <w:lang w:val="uk-UA"/>
        </w:rPr>
        <w:t xml:space="preserve">Температурні показники та їх динаміка</w:t>
      </w:r>
      <w:r/>
    </w:p>
    <w:p>
      <w:pPr>
        <w:pStyle w:val="558"/>
        <w:ind w:firstLine="567"/>
        <w:jc w:val="both"/>
        <w:rPr>
          <w:rFonts w:ascii="Arial" w:hAnsi="Arial" w:cs="Arial"/>
          <w:b/>
          <w:sz w:val="24"/>
          <w:szCs w:val="24"/>
          <w:lang w:val="uk-UA"/>
        </w:rPr>
      </w:pPr>
      <w:r>
        <w:rPr>
          <w:rFonts w:ascii="Arial" w:hAnsi="Arial" w:cs="Arial"/>
          <w:b/>
          <w:sz w:val="24"/>
          <w:szCs w:val="24"/>
          <w:lang w:val="uk-UA"/>
        </w:rPr>
      </w:r>
      <w:r/>
    </w:p>
    <w:p>
      <w:pPr>
        <w:pStyle w:val="558"/>
        <w:ind w:firstLine="567"/>
        <w:jc w:val="both"/>
        <w:rPr>
          <w:rFonts w:ascii="Arial" w:hAnsi="Arial" w:cs="Arial"/>
          <w:sz w:val="24"/>
          <w:szCs w:val="24"/>
          <w:lang w:val="uk-UA"/>
        </w:rPr>
      </w:pPr>
      <w:r>
        <w:rPr>
          <w:rFonts w:ascii="Arial" w:hAnsi="Arial" w:cs="Arial"/>
          <w:sz w:val="24"/>
          <w:szCs w:val="24"/>
          <w:lang w:val="uk-UA"/>
        </w:rPr>
        <w:t xml:space="preserve">Основні моніторингові дані, що відображують температурні характеристики атмосферного повітря регіону </w:t>
      </w:r>
      <w:r>
        <w:rPr>
          <w:rFonts w:ascii="Arial" w:hAnsi="Arial" w:cs="Arial"/>
          <w:bCs/>
          <w:sz w:val="24"/>
          <w:szCs w:val="24"/>
          <w:shd w:val="clear" w:color="auto" w:fill="FFFFFF"/>
          <w:lang w:val="uk-UA"/>
        </w:rPr>
        <w:t xml:space="preserve">Менської міської </w:t>
      </w:r>
      <w:r>
        <w:rPr>
          <w:rFonts w:ascii="Arial" w:hAnsi="Arial" w:cs="Arial"/>
          <w:bCs/>
          <w:sz w:val="24"/>
          <w:szCs w:val="24"/>
          <w:shd w:val="clear" w:color="auto" w:fill="FFFFFF"/>
          <w:lang w:val="uk-UA"/>
        </w:rPr>
        <w:t xml:space="preserve">територіальної громади</w:t>
      </w:r>
      <w:r>
        <w:rPr>
          <w:rFonts w:ascii="Arial" w:hAnsi="Arial" w:cs="Arial"/>
          <w:bCs/>
          <w:sz w:val="24"/>
          <w:szCs w:val="24"/>
          <w:shd w:val="clear" w:color="auto" w:fill="FFFFFF"/>
          <w:lang w:val="uk-UA"/>
        </w:rPr>
        <w:t xml:space="preserve"> за період 1961–2019 рр. </w:t>
      </w:r>
      <w:r>
        <w:rPr>
          <w:rFonts w:ascii="Arial" w:hAnsi="Arial" w:cs="Arial"/>
          <w:sz w:val="24"/>
          <w:szCs w:val="24"/>
          <w:lang w:val="uk-UA"/>
        </w:rPr>
        <w:t xml:space="preserve"> представлені в таблицях 1, 2, 4  та на рисунках 2 - 3.  </w:t>
      </w:r>
      <w:r/>
    </w:p>
    <w:p>
      <w:pPr>
        <w:pStyle w:val="558"/>
        <w:ind w:firstLine="567"/>
        <w:jc w:val="both"/>
        <w:rPr>
          <w:rFonts w:ascii="Arial" w:hAnsi="Arial" w:cs="Arial"/>
          <w:sz w:val="24"/>
          <w:szCs w:val="24"/>
          <w:lang w:val="uk-UA"/>
        </w:rPr>
      </w:pPr>
      <w:r>
        <w:rPr>
          <w:rFonts w:ascii="Arial" w:hAnsi="Arial" w:cs="Arial"/>
          <w:sz w:val="24"/>
          <w:szCs w:val="24"/>
          <w:lang w:val="uk-UA"/>
        </w:rPr>
        <w:t xml:space="preserve">Інші кліматичні показники, пов’язані з отриманням сонячної енергії: </w:t>
      </w:r>
      <w:r/>
    </w:p>
    <w:p>
      <w:pPr>
        <w:pStyle w:val="558"/>
        <w:ind w:firstLine="567"/>
        <w:jc w:val="both"/>
        <w:rPr>
          <w:rFonts w:ascii="Arial" w:hAnsi="Arial" w:cs="Arial"/>
          <w:sz w:val="24"/>
          <w:szCs w:val="24"/>
          <w:lang w:val="uk-UA"/>
        </w:rPr>
      </w:pPr>
      <w:r>
        <w:rPr>
          <w:rFonts w:ascii="Arial" w:hAnsi="Arial" w:cs="Arial"/>
          <w:sz w:val="24"/>
          <w:szCs w:val="24"/>
          <w:lang w:val="uk-UA"/>
        </w:rPr>
        <w:t xml:space="preserve">величини сумарної сонячної радіації - 3800-4000 МДж/м</w:t>
      </w:r>
      <w:r>
        <w:rPr>
          <w:rFonts w:ascii="Arial" w:hAnsi="Arial" w:cs="Arial"/>
          <w:sz w:val="24"/>
          <w:szCs w:val="24"/>
          <w:vertAlign w:val="superscript"/>
          <w:lang w:val="uk-UA"/>
        </w:rPr>
        <w:t xml:space="preserve">2</w:t>
      </w:r>
      <w:r>
        <w:rPr>
          <w:rFonts w:ascii="Arial" w:hAnsi="Arial" w:cs="Arial"/>
          <w:sz w:val="24"/>
          <w:szCs w:val="24"/>
          <w:lang w:val="uk-UA"/>
        </w:rPr>
        <w:t xml:space="preserve">; </w:t>
      </w:r>
      <w:r/>
    </w:p>
    <w:p>
      <w:pPr>
        <w:pStyle w:val="558"/>
        <w:ind w:firstLine="567"/>
        <w:jc w:val="both"/>
        <w:rPr>
          <w:rFonts w:ascii="Arial" w:hAnsi="Arial" w:cs="Arial"/>
          <w:sz w:val="24"/>
          <w:szCs w:val="24"/>
          <w:lang w:val="uk-UA"/>
        </w:rPr>
      </w:pPr>
      <w:r>
        <w:rPr>
          <w:rFonts w:ascii="Arial" w:hAnsi="Arial" w:cs="Arial"/>
          <w:sz w:val="24"/>
          <w:szCs w:val="24"/>
          <w:lang w:val="uk-UA"/>
        </w:rPr>
        <w:t xml:space="preserve">радіаційний баланс – 1600-1700 МДж/м</w:t>
      </w:r>
      <w:r>
        <w:rPr>
          <w:rFonts w:ascii="Arial" w:hAnsi="Arial" w:cs="Arial"/>
          <w:sz w:val="24"/>
          <w:szCs w:val="24"/>
          <w:vertAlign w:val="superscript"/>
          <w:lang w:val="uk-UA"/>
        </w:rPr>
        <w:t xml:space="preserve">2</w:t>
      </w:r>
      <w:r>
        <w:rPr>
          <w:rFonts w:ascii="Arial" w:hAnsi="Arial" w:cs="Arial"/>
          <w:sz w:val="24"/>
          <w:szCs w:val="24"/>
          <w:lang w:val="uk-UA"/>
        </w:rPr>
        <w:t xml:space="preserve">;</w:t>
      </w:r>
      <w:r/>
    </w:p>
    <w:p>
      <w:pPr>
        <w:pStyle w:val="558"/>
        <w:ind w:firstLine="567"/>
        <w:jc w:val="both"/>
        <w:rPr>
          <w:rFonts w:ascii="Arial" w:hAnsi="Arial" w:cs="Arial"/>
          <w:sz w:val="24"/>
          <w:szCs w:val="24"/>
          <w:lang w:val="uk-UA"/>
        </w:rPr>
      </w:pPr>
      <w:r>
        <w:rPr>
          <w:rFonts w:ascii="Arial" w:hAnsi="Arial" w:cs="Arial"/>
          <w:sz w:val="24"/>
          <w:szCs w:val="24"/>
          <w:lang w:val="uk-UA"/>
        </w:rPr>
        <w:t xml:space="preserve">сума активних температур вище +10</w:t>
      </w:r>
      <w:r>
        <w:rPr>
          <w:rFonts w:ascii="Arial" w:hAnsi="Arial" w:cs="Arial"/>
          <w:sz w:val="24"/>
          <w:szCs w:val="24"/>
          <w:vertAlign w:val="superscript"/>
          <w:lang w:val="uk-UA"/>
        </w:rPr>
        <w:t xml:space="preserve">о</w:t>
      </w:r>
      <w:r>
        <w:rPr>
          <w:rFonts w:ascii="Arial" w:hAnsi="Arial" w:cs="Arial"/>
          <w:sz w:val="24"/>
          <w:szCs w:val="24"/>
          <w:lang w:val="uk-UA"/>
        </w:rPr>
        <w:t xml:space="preserve">С за період активної вегетації – 2400-2600 </w:t>
      </w:r>
      <w:r>
        <w:rPr>
          <w:rFonts w:ascii="Arial" w:hAnsi="Arial" w:cs="Arial"/>
          <w:sz w:val="24"/>
          <w:szCs w:val="24"/>
          <w:vertAlign w:val="superscript"/>
          <w:lang w:val="uk-UA"/>
        </w:rPr>
        <w:t xml:space="preserve">о</w:t>
      </w:r>
      <w:r>
        <w:rPr>
          <w:rFonts w:ascii="Arial" w:hAnsi="Arial" w:cs="Arial"/>
          <w:sz w:val="24"/>
          <w:szCs w:val="24"/>
        </w:rPr>
        <w:t xml:space="preserve">C</w:t>
      </w:r>
      <w:r>
        <w:rPr>
          <w:rFonts w:ascii="Arial" w:hAnsi="Arial" w:cs="Arial"/>
          <w:sz w:val="24"/>
          <w:szCs w:val="24"/>
          <w:lang w:val="uk-UA"/>
        </w:rPr>
        <w:t xml:space="preserve">, </w:t>
      </w:r>
      <w:r>
        <w:rPr>
          <w:rFonts w:ascii="Arial" w:hAnsi="Arial" w:cs="Arial"/>
          <w:color w:val="000000"/>
          <w:sz w:val="24"/>
          <w:szCs w:val="24"/>
          <w:lang w:val="uk-UA"/>
        </w:rPr>
        <w:t xml:space="preserve">початок вегетаційного періоду – початок квітня, кінець вегетаційного періоду – кінець жовтня, тривалість вегетаційного періоду 205–215 днів)</w:t>
      </w:r>
      <w:r>
        <w:rPr>
          <w:rFonts w:ascii="Arial" w:hAnsi="Arial" w:cs="Arial"/>
          <w:sz w:val="24"/>
          <w:szCs w:val="24"/>
          <w:lang w:val="uk-UA"/>
        </w:rPr>
        <w:t xml:space="preserve">.</w:t>
      </w:r>
      <w:r/>
    </w:p>
    <w:p>
      <w:pPr>
        <w:pStyle w:val="548"/>
        <w:jc w:val="both"/>
        <w:rPr>
          <w:b/>
          <w:bCs/>
          <w:color w:val="auto"/>
          <w:lang w:val="uk-UA"/>
        </w:rPr>
      </w:pPr>
      <w:r>
        <w:rPr>
          <w:b/>
          <w:bCs/>
          <w:color w:val="auto"/>
          <w:lang w:val="uk-UA"/>
        </w:rPr>
      </w:r>
      <w:r/>
    </w:p>
    <w:p>
      <w:pPr>
        <w:jc w:val="both"/>
        <w:spacing w:lineRule="auto" w:line="240" w:after="120" w:before="240"/>
        <w:rPr>
          <w:rFonts w:ascii="Arial" w:hAnsi="Arial" w:cs="Arial"/>
          <w:b/>
          <w:sz w:val="24"/>
          <w:szCs w:val="24"/>
          <w:shd w:val="clear" w:color="auto" w:fill="FFFFFF"/>
          <w:lang w:val="uk-UA"/>
        </w:rPr>
        <w:sectPr>
          <w:footnotePr/>
          <w:type w:val="continuous"/>
          <w:pgSz w:w="16839" w:h="11907" w:orient="landscape"/>
          <w:pgMar w:top="1440" w:right="1104" w:bottom="1170" w:left="1440" w:header="720" w:footer="720"/>
          <w:cols w:num="2" w:sep="0" w:space="720" w:equalWidth="1"/>
          <w:docGrid w:linePitch="360"/>
        </w:sectPr>
      </w:pPr>
      <w:r>
        <w:rPr>
          <w:rFonts w:ascii="Arial" w:hAnsi="Arial" w:cs="Arial"/>
          <w:b/>
          <w:sz w:val="24"/>
          <w:szCs w:val="24"/>
          <w:shd w:val="clear" w:color="auto" w:fill="FFFFFF"/>
          <w:lang w:val="uk-UA"/>
        </w:rPr>
      </w:r>
      <w:r/>
    </w:p>
    <w:p>
      <w:pPr>
        <w:jc w:val="both"/>
        <w:spacing w:lineRule="auto" w:line="240" w:after="120" w:before="240"/>
        <w:rPr>
          <w:rFonts w:ascii="Arial" w:hAnsi="Arial" w:cs="Arial"/>
          <w:b/>
          <w:sz w:val="24"/>
          <w:szCs w:val="24"/>
          <w:lang w:val="uk-UA"/>
        </w:rPr>
      </w:pPr>
      <w:r>
        <w:rPr>
          <w:rFonts w:ascii="Arial" w:hAnsi="Arial" w:cs="Arial"/>
          <w:b/>
          <w:sz w:val="24"/>
          <w:szCs w:val="24"/>
          <w:shd w:val="clear" w:color="auto" w:fill="FFFFFF"/>
          <w:lang w:val="uk-UA"/>
        </w:rPr>
        <w:t xml:space="preserve">Таблиця 1.</w:t>
      </w:r>
      <w:r>
        <w:rPr>
          <w:rFonts w:ascii="Arial" w:hAnsi="Arial" w:cs="Arial"/>
          <w:sz w:val="24"/>
          <w:szCs w:val="24"/>
          <w:shd w:val="clear" w:color="auto" w:fill="FFFFFF"/>
          <w:lang w:val="uk-UA"/>
        </w:rPr>
        <w:t xml:space="preserve"> </w:t>
      </w:r>
      <w:r>
        <w:rPr>
          <w:rFonts w:ascii="Arial" w:hAnsi="Arial" w:cs="Arial"/>
          <w:b/>
          <w:sz w:val="24"/>
          <w:szCs w:val="24"/>
          <w:shd w:val="clear" w:color="auto" w:fill="FFFFFF"/>
          <w:lang w:val="uk-UA"/>
        </w:rPr>
        <w:t xml:space="preserve">Основні значення кліматичної норми параметрів на метеостанціях поблизу Менської міської </w:t>
      </w:r>
      <w:r>
        <w:rPr>
          <w:rFonts w:ascii="Arial" w:hAnsi="Arial" w:cs="Arial"/>
          <w:b/>
          <w:sz w:val="24"/>
          <w:szCs w:val="24"/>
          <w:shd w:val="clear" w:color="auto" w:fill="FFFFFF"/>
          <w:lang w:val="uk-UA"/>
        </w:rPr>
        <w:t xml:space="preserve">територіальної громади</w:t>
      </w:r>
      <w:r>
        <w:rPr>
          <w:rFonts w:ascii="Arial" w:hAnsi="Arial" w:cs="Arial"/>
          <w:b/>
          <w:sz w:val="24"/>
          <w:szCs w:val="24"/>
          <w:shd w:val="clear" w:color="auto" w:fill="FFFFFF"/>
          <w:lang w:val="uk-UA"/>
        </w:rPr>
        <w:t xml:space="preserve"> за періоди 1961–1990 рр. та за період 1971</w:t>
      </w:r>
      <w:r>
        <w:rPr>
          <w:rFonts w:ascii="Arial" w:hAnsi="Arial" w:cs="Arial"/>
          <w:b/>
          <w:sz w:val="24"/>
          <w:szCs w:val="24"/>
          <w:lang w:val="uk-UA"/>
        </w:rPr>
        <w:t xml:space="preserve">–2019 рр</w:t>
      </w:r>
      <w:r>
        <w:rPr>
          <w:rFonts w:ascii="Arial" w:hAnsi="Arial" w:cs="Arial"/>
          <w:b/>
          <w:sz w:val="24"/>
          <w:szCs w:val="24"/>
          <w:lang w:val="uk-UA"/>
        </w:rPr>
        <w:t xml:space="preserve">.</w:t>
      </w:r>
      <w:r/>
    </w:p>
    <w:tbl>
      <w:tblPr>
        <w:tblStyle w:val="521"/>
        <w:tblW w:w="14317" w:type="dxa"/>
        <w:tblInd w:w="-5" w:type="dxa"/>
        <w:tblLook w:val="04A0" w:firstRow="1" w:lastRow="0" w:firstColumn="1" w:lastColumn="0" w:noHBand="0" w:noVBand="1"/>
      </w:tblPr>
      <w:tblGrid>
        <w:gridCol w:w="7513"/>
        <w:gridCol w:w="1985"/>
        <w:gridCol w:w="1417"/>
        <w:gridCol w:w="1701"/>
        <w:gridCol w:w="1701"/>
      </w:tblGrid>
      <w:tr>
        <w:trPr>
          <w:trHeight w:val="391"/>
        </w:trPr>
        <w:tc>
          <w:tcPr>
            <w:shd w:val="clear" w:color="auto" w:fill="auto"/>
            <w:tcW w:w="7513" w:type="dxa"/>
            <w:vAlign w:val="center"/>
            <w:vMerge w:val="restart"/>
            <w:textDirection w:val="lrTb"/>
            <w:noWrap w:val="false"/>
          </w:tcPr>
          <w:p>
            <w:pPr>
              <w:jc w:val="center"/>
              <w:rPr>
                <w:rFonts w:ascii="Arial" w:hAnsi="Arial" w:cs="Arial"/>
                <w:b/>
                <w:sz w:val="24"/>
                <w:szCs w:val="24"/>
                <w:lang w:val="uk-UA"/>
              </w:rPr>
            </w:pPr>
            <w:r>
              <w:rPr>
                <w:rFonts w:ascii="Arial" w:hAnsi="Arial" w:cs="Arial"/>
                <w:b/>
                <w:sz w:val="24"/>
                <w:szCs w:val="24"/>
                <w:lang w:val="uk-UA"/>
              </w:rPr>
              <w:t xml:space="preserve">Параметр</w:t>
            </w:r>
            <w:r/>
          </w:p>
        </w:tc>
        <w:tc>
          <w:tcPr>
            <w:gridSpan w:val="2"/>
            <w:shd w:val="clear" w:color="auto" w:fill="auto"/>
            <w:tcW w:w="3402" w:type="dxa"/>
            <w:textDirection w:val="lrTb"/>
            <w:noWrap w:val="false"/>
          </w:tcPr>
          <w:p>
            <w:pPr>
              <w:jc w:val="center"/>
              <w:rPr>
                <w:rFonts w:ascii="Arial" w:hAnsi="Arial" w:cs="Arial"/>
                <w:b/>
                <w:sz w:val="24"/>
                <w:szCs w:val="24"/>
                <w:lang w:val="uk-UA"/>
              </w:rPr>
            </w:pPr>
            <w:r>
              <w:rPr>
                <w:rFonts w:ascii="Arial" w:hAnsi="Arial" w:cs="Arial"/>
                <w:b/>
                <w:sz w:val="24"/>
                <w:szCs w:val="24"/>
                <w:lang w:val="uk-UA"/>
              </w:rPr>
              <w:t xml:space="preserve">Сновськ</w:t>
            </w:r>
            <w:r/>
          </w:p>
        </w:tc>
        <w:tc>
          <w:tcPr>
            <w:gridSpan w:val="2"/>
            <w:shd w:val="clear" w:color="auto" w:fill="auto"/>
            <w:tcW w:w="3402" w:type="dxa"/>
            <w:textDirection w:val="lrTb"/>
            <w:noWrap w:val="false"/>
          </w:tcPr>
          <w:p>
            <w:pPr>
              <w:jc w:val="center"/>
              <w:rPr>
                <w:rFonts w:ascii="Arial" w:hAnsi="Arial" w:cs="Arial"/>
                <w:b/>
                <w:sz w:val="24"/>
                <w:szCs w:val="24"/>
                <w:lang w:val="uk-UA"/>
              </w:rPr>
            </w:pPr>
            <w:r>
              <w:rPr>
                <w:rFonts w:ascii="Arial" w:hAnsi="Arial" w:cs="Arial"/>
                <w:b/>
                <w:sz w:val="24"/>
                <w:szCs w:val="24"/>
                <w:lang w:val="uk-UA"/>
              </w:rPr>
              <w:t xml:space="preserve">Чернігів</w:t>
            </w:r>
            <w:r/>
          </w:p>
        </w:tc>
      </w:tr>
      <w:tr>
        <w:trPr/>
        <w:tc>
          <w:tcPr>
            <w:shd w:val="clear" w:color="auto" w:fill="auto"/>
            <w:tcW w:w="7513" w:type="dxa"/>
            <w:vMerge w:val="continue"/>
            <w:textDirection w:val="lrTb"/>
            <w:noWrap w:val="false"/>
          </w:tcPr>
          <w:p>
            <w:pPr>
              <w:jc w:val="center"/>
              <w:rPr>
                <w:rFonts w:ascii="Arial" w:hAnsi="Arial" w:cs="Arial"/>
                <w:sz w:val="24"/>
                <w:szCs w:val="24"/>
                <w:lang w:val="uk-UA"/>
              </w:rPr>
            </w:pPr>
            <w:r>
              <w:rPr>
                <w:rFonts w:ascii="Arial" w:hAnsi="Arial" w:cs="Arial"/>
                <w:sz w:val="24"/>
                <w:szCs w:val="24"/>
                <w:lang w:val="uk-UA"/>
              </w:rPr>
            </w:r>
            <w:r/>
          </w:p>
        </w:tc>
        <w:tc>
          <w:tcPr>
            <w:shd w:val="clear" w:color="auto" w:fill="auto"/>
            <w:tcW w:w="1985"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1960–1991</w:t>
            </w:r>
            <w:r/>
          </w:p>
        </w:tc>
        <w:tc>
          <w:tcPr>
            <w:shd w:val="clear" w:color="auto" w:fill="auto"/>
            <w:tcW w:w="1417"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2006-2018</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1960–1991</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color w:val="222222"/>
                <w:sz w:val="24"/>
                <w:szCs w:val="24"/>
                <w:shd w:val="clear" w:color="auto" w:fill="FFFFFF"/>
                <w:lang w:val="uk-UA"/>
              </w:rPr>
              <w:t xml:space="preserve">1991–2019</w:t>
            </w:r>
            <w:r/>
          </w:p>
        </w:tc>
      </w:tr>
      <w:tr>
        <w:trPr/>
        <w:tc>
          <w:tcPr>
            <w:shd w:val="clear" w:color="auto" w:fill="auto"/>
            <w:tcW w:w="7513"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Середньорічна температура повітря, </w:t>
            </w:r>
            <w:r>
              <w:rPr>
                <w:rFonts w:ascii="Arial" w:hAnsi="Arial" w:cs="Arial"/>
                <w:sz w:val="24"/>
                <w:szCs w:val="24"/>
                <w:vertAlign w:val="superscript"/>
                <w:lang w:val="uk-UA"/>
              </w:rPr>
              <w:t xml:space="preserve">о</w:t>
            </w:r>
            <w:r>
              <w:rPr>
                <w:rFonts w:ascii="Arial" w:hAnsi="Arial" w:cs="Arial"/>
                <w:sz w:val="24"/>
                <w:szCs w:val="24"/>
                <w:lang w:val="uk-UA"/>
              </w:rPr>
              <w:t xml:space="preserve">С</w:t>
            </w:r>
            <w:r/>
          </w:p>
        </w:tc>
        <w:tc>
          <w:tcPr>
            <w:shd w:val="clear" w:color="auto" w:fill="auto"/>
            <w:tcW w:w="1985"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6.9</w:t>
            </w:r>
            <w:r>
              <w:rPr>
                <w:rFonts w:ascii="Arial" w:hAnsi="Arial" w:cs="Arial"/>
                <w:color w:val="222222"/>
                <w:sz w:val="24"/>
                <w:szCs w:val="24"/>
                <w:shd w:val="clear" w:color="auto" w:fill="FFFFFF"/>
                <w:lang w:val="uk-UA"/>
              </w:rPr>
              <w:t xml:space="preserve">±1.1</w:t>
            </w:r>
            <w:r/>
          </w:p>
        </w:tc>
        <w:tc>
          <w:tcPr>
            <w:shd w:val="clear" w:color="auto" w:fill="auto"/>
            <w:tcW w:w="1417"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8.0</w:t>
            </w:r>
            <w:r>
              <w:rPr>
                <w:rFonts w:ascii="Arial" w:hAnsi="Arial" w:cs="Arial"/>
                <w:color w:val="222222"/>
                <w:sz w:val="24"/>
                <w:szCs w:val="24"/>
                <w:shd w:val="clear" w:color="auto" w:fill="FFFFFF"/>
                <w:lang w:val="uk-UA"/>
              </w:rPr>
              <w:t xml:space="preserve">±1.0</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6.7</w:t>
            </w:r>
            <w:r>
              <w:rPr>
                <w:rFonts w:ascii="Arial" w:hAnsi="Arial" w:cs="Arial"/>
                <w:color w:val="222222"/>
                <w:sz w:val="24"/>
                <w:szCs w:val="24"/>
                <w:shd w:val="clear" w:color="auto" w:fill="FFFFFF"/>
                <w:lang w:val="uk-UA"/>
              </w:rPr>
              <w:t xml:space="preserve">±1.0</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7.4</w:t>
            </w:r>
            <w:r>
              <w:rPr>
                <w:rFonts w:ascii="Arial" w:hAnsi="Arial" w:cs="Arial"/>
                <w:color w:val="222222"/>
                <w:sz w:val="24"/>
                <w:szCs w:val="24"/>
                <w:shd w:val="clear" w:color="auto" w:fill="FFFFFF"/>
                <w:lang w:val="uk-UA"/>
              </w:rPr>
              <w:t xml:space="preserve">±1.0</w:t>
            </w:r>
            <w:r/>
          </w:p>
        </w:tc>
      </w:tr>
      <w:tr>
        <w:trPr/>
        <w:tc>
          <w:tcPr>
            <w:shd w:val="clear" w:color="auto" w:fill="auto"/>
            <w:tcW w:w="7513"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Річна кількість атмосферних опадів, мм/рік</w:t>
            </w:r>
            <w:r/>
          </w:p>
        </w:tc>
        <w:tc>
          <w:tcPr>
            <w:shd w:val="clear" w:color="auto" w:fill="auto"/>
            <w:tcW w:w="1985"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630</w:t>
            </w:r>
            <w:r>
              <w:rPr>
                <w:rFonts w:ascii="Arial" w:hAnsi="Arial" w:cs="Arial"/>
                <w:color w:val="222222"/>
                <w:sz w:val="24"/>
                <w:szCs w:val="24"/>
                <w:shd w:val="clear" w:color="auto" w:fill="FFFFFF"/>
                <w:lang w:val="uk-UA"/>
              </w:rPr>
              <w:t xml:space="preserve">±105</w:t>
            </w:r>
            <w:r/>
          </w:p>
        </w:tc>
        <w:tc>
          <w:tcPr>
            <w:shd w:val="clear" w:color="auto" w:fill="auto"/>
            <w:tcW w:w="1417"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620</w:t>
            </w:r>
            <w:r>
              <w:rPr>
                <w:rFonts w:ascii="Arial" w:hAnsi="Arial" w:cs="Arial"/>
                <w:color w:val="222222"/>
                <w:sz w:val="24"/>
                <w:szCs w:val="24"/>
                <w:shd w:val="clear" w:color="auto" w:fill="FFFFFF"/>
                <w:lang w:val="uk-UA"/>
              </w:rPr>
              <w:t xml:space="preserve">±71</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608</w:t>
            </w:r>
            <w:r>
              <w:rPr>
                <w:rFonts w:ascii="Arial" w:hAnsi="Arial" w:cs="Arial"/>
                <w:color w:val="222222"/>
                <w:sz w:val="24"/>
                <w:szCs w:val="24"/>
                <w:shd w:val="clear" w:color="auto" w:fill="FFFFFF"/>
                <w:lang w:val="uk-UA"/>
              </w:rPr>
              <w:t xml:space="preserve">±106</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607</w:t>
            </w:r>
            <w:r>
              <w:rPr>
                <w:rFonts w:ascii="Arial" w:hAnsi="Arial" w:cs="Arial"/>
                <w:color w:val="222222"/>
                <w:sz w:val="24"/>
                <w:szCs w:val="24"/>
                <w:shd w:val="clear" w:color="auto" w:fill="FFFFFF"/>
                <w:lang w:val="uk-UA"/>
              </w:rPr>
              <w:t xml:space="preserve">±90</w:t>
            </w:r>
            <w:r/>
          </w:p>
        </w:tc>
      </w:tr>
      <w:tr>
        <w:trPr/>
        <w:tc>
          <w:tcPr>
            <w:shd w:val="clear" w:color="auto" w:fill="auto"/>
            <w:tcW w:w="7513"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Середня швидкість вітру, км/год</w:t>
            </w:r>
            <w:r/>
          </w:p>
        </w:tc>
        <w:tc>
          <w:tcPr>
            <w:shd w:val="clear" w:color="auto" w:fill="auto"/>
            <w:tcW w:w="1985"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2-4</w:t>
            </w:r>
            <w:r/>
          </w:p>
        </w:tc>
        <w:tc>
          <w:tcPr>
            <w:shd w:val="clear" w:color="auto" w:fill="auto"/>
            <w:tcW w:w="1417"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2-3</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2-4</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2-4</w:t>
            </w:r>
            <w:r/>
          </w:p>
        </w:tc>
      </w:tr>
      <w:tr>
        <w:trPr/>
        <w:tc>
          <w:tcPr>
            <w:shd w:val="clear" w:color="auto" w:fill="auto"/>
            <w:tcW w:w="7513"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Відносна вологість повітря, %</w:t>
            </w:r>
            <w:r/>
          </w:p>
        </w:tc>
        <w:tc>
          <w:tcPr>
            <w:shd w:val="clear" w:color="auto" w:fill="auto"/>
            <w:tcW w:w="1985"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75–78</w:t>
            </w:r>
            <w:r/>
          </w:p>
        </w:tc>
        <w:tc>
          <w:tcPr>
            <w:shd w:val="clear" w:color="auto" w:fill="auto"/>
            <w:tcW w:w="1417"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72-78</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73–75</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75–78</w:t>
            </w:r>
            <w:r/>
          </w:p>
        </w:tc>
      </w:tr>
      <w:tr>
        <w:trPr/>
        <w:tc>
          <w:tcPr>
            <w:shd w:val="clear" w:color="auto" w:fill="auto"/>
            <w:tcW w:w="7513"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Атмосферний тиск, </w:t>
            </w:r>
            <w:r>
              <w:rPr>
                <w:rFonts w:ascii="Arial" w:hAnsi="Arial" w:cs="Arial"/>
                <w:sz w:val="24"/>
                <w:szCs w:val="24"/>
                <w:lang w:val="uk-UA"/>
              </w:rPr>
              <w:t xml:space="preserve">гПа</w:t>
            </w:r>
            <w:r>
              <w:rPr>
                <w:rFonts w:ascii="Arial" w:hAnsi="Arial" w:cs="Arial"/>
                <w:sz w:val="24"/>
                <w:szCs w:val="24"/>
                <w:lang w:val="uk-UA"/>
              </w:rPr>
              <w:t xml:space="preserve"> (на рівні моря)</w:t>
            </w:r>
            <w:r/>
          </w:p>
        </w:tc>
        <w:tc>
          <w:tcPr>
            <w:shd w:val="clear" w:color="auto" w:fill="auto"/>
            <w:tcW w:w="1985"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1016</w:t>
            </w:r>
            <w:r>
              <w:rPr>
                <w:rFonts w:ascii="Arial" w:hAnsi="Arial" w:cs="Arial"/>
                <w:color w:val="222222"/>
                <w:sz w:val="24"/>
                <w:szCs w:val="24"/>
                <w:shd w:val="clear" w:color="auto" w:fill="FFFFFF"/>
                <w:lang w:val="uk-UA"/>
              </w:rPr>
              <w:t xml:space="preserve">±4</w:t>
            </w:r>
            <w:r/>
          </w:p>
        </w:tc>
        <w:tc>
          <w:tcPr>
            <w:shd w:val="clear" w:color="auto" w:fill="auto"/>
            <w:tcW w:w="1417"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1016</w:t>
            </w:r>
            <w:r>
              <w:rPr>
                <w:rFonts w:ascii="Arial" w:hAnsi="Arial" w:cs="Arial"/>
                <w:color w:val="222222"/>
                <w:sz w:val="24"/>
                <w:szCs w:val="24"/>
                <w:shd w:val="clear" w:color="auto" w:fill="FFFFFF"/>
                <w:lang w:val="uk-UA"/>
              </w:rPr>
              <w:t xml:space="preserve">±3</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1015</w:t>
            </w:r>
            <w:r>
              <w:rPr>
                <w:rFonts w:ascii="Arial" w:hAnsi="Arial" w:cs="Arial"/>
                <w:color w:val="222222"/>
                <w:sz w:val="24"/>
                <w:szCs w:val="24"/>
                <w:shd w:val="clear" w:color="auto" w:fill="FFFFFF"/>
                <w:lang w:val="uk-UA"/>
              </w:rPr>
              <w:t xml:space="preserve">±4</w:t>
            </w:r>
            <w:r/>
          </w:p>
        </w:tc>
        <w:tc>
          <w:tcPr>
            <w:shd w:val="clear" w:color="auto" w:fill="auto"/>
            <w:tcW w:w="1701"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1016</w:t>
            </w:r>
            <w:r>
              <w:rPr>
                <w:rFonts w:ascii="Arial" w:hAnsi="Arial" w:cs="Arial"/>
                <w:color w:val="222222"/>
                <w:sz w:val="24"/>
                <w:szCs w:val="24"/>
                <w:shd w:val="clear" w:color="auto" w:fill="FFFFFF"/>
                <w:lang w:val="uk-UA"/>
              </w:rPr>
              <w:t xml:space="preserve">±4</w:t>
            </w:r>
            <w:r/>
          </w:p>
        </w:tc>
      </w:tr>
      <w:tr>
        <w:trPr/>
        <w:tc>
          <w:tcPr>
            <w:shd w:val="clear" w:color="auto" w:fill="auto"/>
            <w:tcW w:w="7513"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Тривалість сонячного сяйва, год.</w:t>
            </w:r>
            <w:r/>
          </w:p>
        </w:tc>
        <w:tc>
          <w:tcPr>
            <w:gridSpan w:val="4"/>
            <w:shd w:val="clear" w:color="auto" w:fill="auto"/>
            <w:tcW w:w="6804" w:type="dxa"/>
            <w:textDirection w:val="lrTb"/>
            <w:noWrap w:val="false"/>
          </w:tcPr>
          <w:p>
            <w:pPr>
              <w:jc w:val="center"/>
              <w:rPr>
                <w:rFonts w:ascii="Arial" w:hAnsi="Arial" w:cs="Arial"/>
                <w:sz w:val="24"/>
                <w:szCs w:val="24"/>
                <w:lang w:val="uk-UA"/>
              </w:rPr>
            </w:pPr>
            <w:r>
              <w:rPr>
                <w:rFonts w:ascii="Arial" w:hAnsi="Arial" w:cs="Arial"/>
                <w:sz w:val="24"/>
                <w:szCs w:val="24"/>
                <w:lang w:val="uk-UA"/>
              </w:rPr>
              <w:t xml:space="preserve">1840–2025</w:t>
            </w:r>
            <w:r/>
          </w:p>
        </w:tc>
      </w:tr>
      <w:tr>
        <w:trPr/>
        <w:tc>
          <w:tcPr>
            <w:gridSpan w:val="5"/>
            <w:shd w:val="clear" w:color="auto" w:fill="auto"/>
            <w:tcW w:w="1431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Тенденція змін клімату:</w:t>
            </w:r>
            <w:r/>
          </w:p>
          <w:p>
            <w:pPr>
              <w:jc w:val="both"/>
              <w:rPr>
                <w:rFonts w:ascii="Arial" w:hAnsi="Arial" w:cs="Arial"/>
                <w:sz w:val="24"/>
                <w:szCs w:val="24"/>
                <w:lang w:val="uk-UA"/>
              </w:rPr>
            </w:pPr>
            <w:r>
              <w:rPr>
                <w:rFonts w:ascii="Arial" w:hAnsi="Arial" w:cs="Arial"/>
                <w:sz w:val="24"/>
                <w:szCs w:val="24"/>
                <w:lang w:val="uk-UA"/>
              </w:rPr>
              <w:t xml:space="preserve">За період 1883-2019 рр. - підвищення приземної температури в Чернігівській області на 0,8–1,2</w:t>
            </w:r>
            <w:r>
              <w:rPr>
                <w:rFonts w:ascii="Arial" w:hAnsi="Arial" w:cs="Arial"/>
                <w:sz w:val="24"/>
                <w:szCs w:val="24"/>
                <w:vertAlign w:val="superscript"/>
                <w:lang w:val="uk-UA"/>
              </w:rPr>
              <w:t xml:space="preserve">о</w:t>
            </w:r>
            <w:r>
              <w:rPr>
                <w:rFonts w:ascii="Arial" w:hAnsi="Arial" w:cs="Arial"/>
                <w:sz w:val="24"/>
                <w:szCs w:val="24"/>
                <w:lang w:val="uk-UA"/>
              </w:rPr>
              <w:t xml:space="preserve">С/100 років та зниження кількості атмосферних опадів до 10%.</w:t>
            </w:r>
            <w:r/>
          </w:p>
          <w:p>
            <w:pPr>
              <w:jc w:val="both"/>
              <w:rPr>
                <w:rFonts w:ascii="Arial" w:hAnsi="Arial" w:cs="Arial"/>
                <w:sz w:val="24"/>
                <w:szCs w:val="24"/>
                <w:lang w:val="uk-UA"/>
              </w:rPr>
            </w:pPr>
            <w:r>
              <w:rPr>
                <w:rFonts w:ascii="Arial" w:hAnsi="Arial" w:cs="Arial"/>
                <w:sz w:val="24"/>
                <w:szCs w:val="24"/>
                <w:lang w:val="uk-UA"/>
              </w:rPr>
              <w:t xml:space="preserve">За період 1970–2019 рр. - підвищення приземної температури в регіоні. на 0,43±0.1 </w:t>
            </w:r>
            <w:r>
              <w:rPr>
                <w:rFonts w:ascii="Arial" w:hAnsi="Arial" w:cs="Arial"/>
                <w:sz w:val="24"/>
                <w:szCs w:val="24"/>
                <w:vertAlign w:val="superscript"/>
                <w:lang w:val="uk-UA"/>
              </w:rPr>
              <w:t xml:space="preserve">о</w:t>
            </w:r>
            <w:r>
              <w:rPr>
                <w:rFonts w:ascii="Arial" w:hAnsi="Arial" w:cs="Arial"/>
                <w:sz w:val="24"/>
                <w:szCs w:val="24"/>
                <w:lang w:val="uk-UA"/>
              </w:rPr>
              <w:t xml:space="preserve">С</w:t>
            </w:r>
            <w:r>
              <w:rPr>
                <w:rFonts w:ascii="Arial" w:hAnsi="Arial" w:cs="Arial"/>
                <w:sz w:val="24"/>
                <w:szCs w:val="24"/>
                <w:lang w:val="uk-UA"/>
              </w:rPr>
              <w:t xml:space="preserve">/10 років та незначне збільшення кількості атмосферних опадів на 1% (в межах статистичної похибки)</w:t>
            </w:r>
            <w:r/>
          </w:p>
        </w:tc>
      </w:tr>
      <w:tr>
        <w:trPr/>
        <w:tc>
          <w:tcPr>
            <w:gridSpan w:val="5"/>
            <w:shd w:val="clear" w:color="auto" w:fill="auto"/>
            <w:tcW w:w="14317"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Сценарії змін клімату: прогнозовано до кінця ХХІ ст. підвищення приземної температури на півночі та північному сході та північному заході України на 2,0–3,0 </w:t>
            </w:r>
            <w:r>
              <w:rPr>
                <w:rFonts w:ascii="Arial" w:hAnsi="Arial" w:cs="Arial"/>
                <w:sz w:val="24"/>
                <w:szCs w:val="24"/>
                <w:vertAlign w:val="superscript"/>
                <w:lang w:val="uk-UA"/>
              </w:rPr>
              <w:t xml:space="preserve">о</w:t>
            </w:r>
            <w:r>
              <w:rPr>
                <w:rFonts w:ascii="Arial" w:hAnsi="Arial" w:cs="Arial"/>
                <w:sz w:val="24"/>
                <w:szCs w:val="24"/>
                <w:lang w:val="uk-UA"/>
              </w:rPr>
              <w:t xml:space="preserve">С</w:t>
            </w:r>
            <w:r>
              <w:rPr>
                <w:rFonts w:ascii="Arial" w:hAnsi="Arial" w:cs="Arial"/>
                <w:sz w:val="24"/>
                <w:szCs w:val="24"/>
                <w:lang w:val="uk-UA"/>
              </w:rPr>
              <w:t xml:space="preserve"> (у порівнянні з </w:t>
            </w:r>
            <w:r>
              <w:rPr>
                <w:rFonts w:ascii="Arial" w:hAnsi="Arial" w:cs="Arial"/>
                <w:sz w:val="24"/>
                <w:szCs w:val="24"/>
                <w:lang w:val="uk-UA"/>
              </w:rPr>
              <w:t xml:space="preserve">доіндустіальним</w:t>
            </w:r>
            <w:r>
              <w:rPr>
                <w:rFonts w:ascii="Arial" w:hAnsi="Arial" w:cs="Arial"/>
                <w:sz w:val="24"/>
                <w:szCs w:val="24"/>
                <w:lang w:val="uk-UA"/>
              </w:rPr>
              <w:t xml:space="preserve"> періодом (1850–1900 рр.).</w:t>
            </w:r>
            <w:r/>
          </w:p>
        </w:tc>
      </w:tr>
    </w:tbl>
    <w:p>
      <w:pPr>
        <w:ind w:left="426" w:firstLine="141"/>
        <w:jc w:val="both"/>
        <w:spacing w:lineRule="auto" w:line="240"/>
        <w:rPr>
          <w:rFonts w:ascii="Arial" w:hAnsi="Arial" w:cs="Arial"/>
          <w:sz w:val="24"/>
          <w:szCs w:val="24"/>
          <w:shd w:val="clear" w:color="auto" w:fill="FFFFFF"/>
          <w:lang w:val="uk-UA"/>
        </w:rPr>
      </w:pPr>
      <w:r>
        <w:rPr>
          <w:rFonts w:ascii="Arial" w:hAnsi="Arial" w:cs="Arial"/>
          <w:sz w:val="24"/>
          <w:szCs w:val="24"/>
          <w:shd w:val="clear" w:color="auto" w:fill="FFFFFF"/>
          <w:lang w:val="uk-UA"/>
        </w:rPr>
      </w:r>
      <w:r/>
    </w:p>
    <w:p>
      <w:pPr>
        <w:ind w:right="284" w:firstLine="709"/>
        <w:jc w:val="both"/>
        <w:spacing w:lineRule="auto" w:line="240" w:after="120" w:before="120"/>
        <w:rPr>
          <w:rFonts w:ascii="Arial" w:hAnsi="Arial" w:cs="Arial"/>
          <w:b/>
          <w:color w:val="222222"/>
          <w:sz w:val="24"/>
          <w:szCs w:val="24"/>
          <w:shd w:val="clear" w:color="auto" w:fill="FFFFFF"/>
          <w:lang w:val="uk-UA"/>
        </w:rPr>
      </w:pPr>
      <w:r>
        <w:rPr>
          <w:rFonts w:ascii="Arial" w:hAnsi="Arial" w:cs="Arial"/>
          <w:b/>
          <w:sz w:val="24"/>
          <w:szCs w:val="24"/>
          <w:shd w:val="clear" w:color="auto" w:fill="FFFFFF"/>
          <w:lang w:val="uk-UA"/>
        </w:rPr>
        <w:t xml:space="preserve">Таблиця 2. Основні параметри сезонного ходу приземної температури на метеостанціях </w:t>
      </w:r>
      <w:r>
        <w:rPr>
          <w:rFonts w:ascii="Arial" w:hAnsi="Arial" w:cs="Arial"/>
          <w:b/>
          <w:color w:val="222222"/>
          <w:sz w:val="24"/>
          <w:szCs w:val="24"/>
          <w:shd w:val="clear" w:color="auto" w:fill="FFFFFF"/>
          <w:lang w:val="uk-UA"/>
        </w:rPr>
        <w:t xml:space="preserve">Сновськ і Чернігів для періоду1961–1990 рр. та 1970-2019 рр.</w:t>
      </w:r>
      <w:r/>
    </w:p>
    <w:p>
      <w:pPr>
        <w:ind w:right="284" w:firstLine="709"/>
        <w:jc w:val="both"/>
        <w:spacing w:lineRule="auto" w:line="240" w:after="120" w:before="120"/>
        <w:rPr>
          <w:rFonts w:ascii="Arial" w:hAnsi="Arial" w:cs="Arial"/>
          <w:b/>
          <w:color w:val="222222"/>
          <w:sz w:val="24"/>
          <w:szCs w:val="24"/>
          <w:shd w:val="clear" w:color="auto" w:fill="FFFFFF"/>
          <w:lang w:val="uk-UA"/>
        </w:rPr>
      </w:pPr>
      <w:r>
        <w:rPr>
          <w:rFonts w:ascii="Arial" w:hAnsi="Arial" w:cs="Arial"/>
          <w:b/>
          <w:color w:val="222222"/>
          <w:sz w:val="24"/>
          <w:szCs w:val="24"/>
          <w:shd w:val="clear" w:color="auto" w:fill="FFFFFF"/>
          <w:lang w:val="uk-UA"/>
        </w:rPr>
      </w:r>
      <w:r/>
    </w:p>
    <w:tbl>
      <w:tblPr>
        <w:tblW w:w="14546" w:type="dxa"/>
        <w:tblInd w:w="-5" w:type="dxa"/>
        <w:tblLayout w:type="fixed"/>
        <w:tblLook w:val="04A0" w:firstRow="1" w:lastRow="0" w:firstColumn="1" w:lastColumn="0" w:noHBand="0" w:noVBand="1"/>
      </w:tblPr>
      <w:tblGrid>
        <w:gridCol w:w="2667"/>
        <w:gridCol w:w="885"/>
        <w:gridCol w:w="886"/>
        <w:gridCol w:w="885"/>
        <w:gridCol w:w="886"/>
        <w:gridCol w:w="885"/>
        <w:gridCol w:w="886"/>
        <w:gridCol w:w="885"/>
        <w:gridCol w:w="886"/>
        <w:gridCol w:w="885"/>
        <w:gridCol w:w="886"/>
        <w:gridCol w:w="885"/>
        <w:gridCol w:w="1097"/>
        <w:gridCol w:w="1042"/>
      </w:tblGrid>
      <w:tr>
        <w:trPr>
          <w:trHeight w:val="297"/>
        </w:trPr>
        <w:tc>
          <w:tcPr>
            <w:shd w:val="clear" w:color="auto" w:fill="auto"/>
            <w:tcBorders>
              <w:left w:val="single" w:sz="4" w:space="0" w:color="auto"/>
              <w:top w:val="single" w:sz="4" w:space="0" w:color="auto"/>
              <w:right w:val="single" w:sz="4" w:space="0" w:color="auto"/>
              <w:bottom w:val="single" w:sz="4" w:space="0" w:color="auto"/>
            </w:tcBorders>
            <w:tcW w:w="2667" w:type="dxa"/>
            <w:vAlign w:val="bottom"/>
            <w:vMerge w:val="restart"/>
            <w:textDirection w:val="lrTb"/>
            <w:noWrap/>
          </w:tcPr>
          <w:p>
            <w:pPr>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Характеристика</w:t>
            </w:r>
            <w:r/>
          </w:p>
        </w:tc>
        <w:tc>
          <w:tcPr>
            <w:gridSpan w:val="12"/>
            <w:shd w:val="clear" w:color="auto" w:fill="auto"/>
            <w:tcBorders>
              <w:left w:val="none" w:color="000000" w:sz="4" w:space="0"/>
              <w:top w:val="single" w:sz="4" w:space="0" w:color="auto"/>
              <w:right w:val="single" w:sz="4" w:space="0" w:color="auto"/>
              <w:bottom w:val="single" w:sz="4" w:space="0" w:color="auto"/>
            </w:tcBorders>
            <w:tcW w:w="10837" w:type="dxa"/>
            <w:vAlign w:val="bottom"/>
            <w:textDirection w:val="lrTb"/>
            <w:noWrap/>
          </w:tcPr>
          <w:p>
            <w:pPr>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Місяці</w:t>
            </w:r>
            <w:r/>
          </w:p>
        </w:tc>
        <w:tc>
          <w:tcPr>
            <w:shd w:val="clear" w:color="auto" w:fill="auto"/>
            <w:tcBorders>
              <w:left w:val="none" w:color="000000" w:sz="4" w:space="0"/>
              <w:top w:val="single" w:sz="4" w:space="0" w:color="auto"/>
              <w:right w:val="single" w:sz="4" w:space="0" w:color="auto"/>
              <w:bottom w:val="single" w:sz="4" w:space="0" w:color="auto"/>
            </w:tcBorders>
            <w:tcW w:w="1042" w:type="dxa"/>
            <w:vAlign w:val="bottom"/>
            <w:vMerge w:val="restart"/>
            <w:textDirection w:val="lrTb"/>
            <w:noWrap/>
          </w:tcPr>
          <w:p>
            <w:pPr>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Рік</w:t>
            </w:r>
            <w:r/>
          </w:p>
        </w:tc>
      </w:tr>
      <w:tr>
        <w:trPr>
          <w:trHeight w:val="297"/>
        </w:trPr>
        <w:tc>
          <w:tcPr>
            <w:shd w:val="clear" w:color="auto" w:fill="auto"/>
            <w:tcBorders>
              <w:left w:val="single" w:sz="4" w:space="0" w:color="auto"/>
              <w:top w:val="single" w:sz="4" w:space="0" w:color="auto"/>
              <w:right w:val="single" w:sz="4" w:space="0" w:color="auto"/>
              <w:bottom w:val="single" w:sz="4" w:space="0" w:color="auto"/>
            </w:tcBorders>
            <w:tcW w:w="2667" w:type="dxa"/>
            <w:vAlign w:val="bottom"/>
            <w:vMerge w:val="continue"/>
            <w:textDirection w:val="lrTb"/>
            <w:noWrap/>
          </w:tcPr>
          <w:p>
            <w:pPr>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1</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2</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3</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4</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5</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6</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7</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8</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9</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10</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11</w:t>
            </w:r>
            <w:r/>
          </w:p>
        </w:tc>
        <w:tc>
          <w:tcPr>
            <w:shd w:val="clear" w:color="auto" w:fill="auto"/>
            <w:tcBorders>
              <w:left w:val="none" w:color="000000" w:sz="4" w:space="0"/>
              <w:top w:val="single" w:sz="4" w:space="0" w:color="auto"/>
              <w:right w:val="single" w:sz="4" w:space="0" w:color="auto"/>
              <w:bottom w:val="single" w:sz="4" w:space="0" w:color="auto"/>
            </w:tcBorders>
            <w:tcW w:w="1097" w:type="dxa"/>
            <w:vAlign w:val="bottom"/>
            <w:textDirection w:val="lrTb"/>
            <w:noWrap/>
          </w:tcPr>
          <w:p>
            <w:pPr>
              <w:ind w:left="-107" w:right="-73"/>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t xml:space="preserve">12</w:t>
            </w:r>
            <w:r/>
          </w:p>
        </w:tc>
        <w:tc>
          <w:tcPr>
            <w:shd w:val="clear" w:color="auto" w:fill="auto"/>
            <w:tcBorders>
              <w:left w:val="none" w:color="000000" w:sz="4" w:space="0"/>
              <w:top w:val="single" w:sz="4" w:space="0" w:color="auto"/>
              <w:right w:val="single" w:sz="4" w:space="0" w:color="auto"/>
              <w:bottom w:val="single" w:sz="4" w:space="0" w:color="auto"/>
            </w:tcBorders>
            <w:tcW w:w="1042" w:type="dxa"/>
            <w:vAlign w:val="bottom"/>
            <w:vMerge w:val="continue"/>
            <w:textDirection w:val="lrTb"/>
            <w:noWrap/>
          </w:tcPr>
          <w:p>
            <w:pPr>
              <w:jc w:val="both"/>
              <w:spacing w:lineRule="auto" w:line="240" w:after="0"/>
              <w:rPr>
                <w:rFonts w:ascii="Arial" w:hAnsi="Arial" w:cs="Arial"/>
                <w:color w:val="000000"/>
                <w:sz w:val="24"/>
                <w:szCs w:val="24"/>
                <w:lang w:val="uk-UA" w:eastAsia="ru-RU"/>
              </w:rPr>
            </w:pPr>
            <w:r>
              <w:rPr>
                <w:rFonts w:ascii="Arial" w:hAnsi="Arial" w:cs="Arial"/>
                <w:color w:val="000000"/>
                <w:sz w:val="24"/>
                <w:szCs w:val="24"/>
                <w:lang w:val="uk-UA" w:eastAsia="ru-RU"/>
              </w:rPr>
            </w:r>
            <w:r/>
          </w:p>
        </w:tc>
      </w:tr>
      <w:tr>
        <w:trPr>
          <w:trHeight w:val="268"/>
        </w:trPr>
        <w:tc>
          <w:tcPr>
            <w:gridSpan w:val="14"/>
            <w:shd w:val="clear" w:color="auto" w:fill="auto"/>
            <w:tcBorders>
              <w:left w:val="single" w:sz="4" w:space="0" w:color="auto"/>
              <w:top w:val="single" w:sz="4" w:space="0" w:color="auto"/>
              <w:right w:val="single" w:sz="4" w:space="0" w:color="auto"/>
              <w:bottom w:val="single" w:sz="4" w:space="0" w:color="auto"/>
            </w:tcBorders>
            <w:tcW w:w="14546" w:type="dxa"/>
            <w:vAlign w:val="center"/>
            <w:textDirection w:val="lrTb"/>
            <w:noWrap w:val="false"/>
          </w:tcPr>
          <w:p>
            <w:pPr>
              <w:ind w:right="-73"/>
              <w:jc w:val="both"/>
              <w:spacing w:lineRule="auto" w:line="240" w:after="0"/>
              <w:rPr>
                <w:rFonts w:ascii="Arial" w:hAnsi="Arial" w:cs="Arial"/>
                <w:b/>
                <w:bCs/>
                <w:color w:val="000000"/>
                <w:sz w:val="24"/>
                <w:szCs w:val="24"/>
                <w:lang w:val="uk-UA"/>
              </w:rPr>
            </w:pPr>
            <w:r>
              <w:rPr>
                <w:rFonts w:ascii="Arial" w:hAnsi="Arial" w:cs="Arial"/>
                <w:b/>
                <w:bCs/>
                <w:color w:val="222222"/>
                <w:sz w:val="24"/>
                <w:szCs w:val="24"/>
                <w:shd w:val="clear" w:color="auto" w:fill="FFFFFF"/>
                <w:lang w:val="uk-UA"/>
              </w:rPr>
              <w:t xml:space="preserve">Сновськ </w:t>
            </w:r>
            <w:r>
              <w:rPr>
                <w:rFonts w:ascii="Arial" w:hAnsi="Arial" w:cs="Arial"/>
                <w:color w:val="222222"/>
                <w:sz w:val="24"/>
                <w:szCs w:val="24"/>
                <w:shd w:val="clear" w:color="auto" w:fill="FFFFFF"/>
                <w:lang w:val="uk-UA"/>
              </w:rPr>
              <w:t xml:space="preserve">(1961–1990)</w:t>
            </w:r>
            <w:r/>
          </w:p>
        </w:tc>
      </w:tr>
      <w:tr>
        <w:trPr>
          <w:trHeight w:val="271"/>
        </w:trPr>
        <w:tc>
          <w:tcPr>
            <w:shd w:val="clear" w:color="auto" w:fill="auto"/>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Середня</w:t>
            </w:r>
            <w:r>
              <w:rPr>
                <w:rFonts w:ascii="Arial" w:hAnsi="Arial" w:cs="Arial"/>
                <w:b/>
                <w:color w:val="222222"/>
                <w:sz w:val="24"/>
                <w:szCs w:val="24"/>
                <w:shd w:val="clear" w:color="auto" w:fill="FFFFFF"/>
                <w:lang w:val="uk-UA"/>
              </w:rPr>
              <w:t xml:space="preserve">, </w:t>
            </w:r>
            <w:r>
              <w:rPr>
                <w:rFonts w:ascii="Arial" w:hAnsi="Arial" w:cs="Arial"/>
                <w:b/>
                <w:color w:val="222222"/>
                <w:sz w:val="24"/>
                <w:szCs w:val="24"/>
                <w:shd w:val="clear" w:color="auto" w:fill="FFFFFF"/>
                <w:vertAlign w:val="superscript"/>
                <w:lang w:val="uk-UA"/>
              </w:rPr>
              <w:t xml:space="preserve">о</w:t>
            </w:r>
            <w:r>
              <w:rPr>
                <w:rFonts w:ascii="Arial" w:hAnsi="Arial" w:cs="Arial"/>
                <w:b/>
                <w:color w:val="222222"/>
                <w:sz w:val="24"/>
                <w:szCs w:val="24"/>
                <w:shd w:val="clear" w:color="auto" w:fill="FFFFFF"/>
                <w:lang w:val="uk-UA"/>
              </w:rPr>
              <w:t xml:space="preserve">С</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-6.8</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-5.5</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-0.4</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8.0</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14.7</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17.8</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18.8</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17.8</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12.9</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7.0</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1.2</w:t>
            </w:r>
            <w:r/>
          </w:p>
        </w:tc>
        <w:tc>
          <w:tcPr>
            <w:shd w:val="clear" w:color="auto" w:fill="auto"/>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-3.2</w:t>
            </w:r>
            <w:r/>
          </w:p>
        </w:tc>
        <w:tc>
          <w:tcPr>
            <w:shd w:val="clear" w:color="auto" w:fill="auto"/>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6.9</w:t>
            </w:r>
            <w:r/>
          </w:p>
        </w:tc>
      </w:tr>
      <w:tr>
        <w:trPr>
          <w:trHeight w:val="281"/>
        </w:trPr>
        <w:tc>
          <w:tcPr>
            <w:shd w:val="clear" w:color="auto" w:fill="auto"/>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Сер.кв.відх</w:t>
            </w:r>
            <w:r>
              <w:rPr>
                <w:rFonts w:ascii="Arial" w:hAnsi="Arial" w:cs="Arial"/>
                <w:sz w:val="24"/>
                <w:szCs w:val="24"/>
                <w:lang w:val="uk-UA" w:eastAsia="ru-RU"/>
              </w:rPr>
              <w:t xml:space="preserve">. </w:t>
            </w:r>
            <w:r>
              <w:rPr>
                <w:rFonts w:ascii="Arial" w:hAnsi="Arial" w:cs="Arial"/>
                <w:b/>
                <w:color w:val="222222"/>
                <w:sz w:val="24"/>
                <w:szCs w:val="24"/>
                <w:shd w:val="clear" w:color="auto" w:fill="FFFFFF"/>
                <w:vertAlign w:val="superscript"/>
                <w:lang w:val="uk-UA"/>
              </w:rPr>
              <w:t xml:space="preserve">о</w:t>
            </w:r>
            <w:r>
              <w:rPr>
                <w:rFonts w:ascii="Arial" w:hAnsi="Arial" w:cs="Arial"/>
                <w:b/>
                <w:color w:val="222222"/>
                <w:sz w:val="24"/>
                <w:szCs w:val="24"/>
                <w:shd w:val="clear" w:color="auto" w:fill="FFFFFF"/>
                <w:lang w:val="uk-UA"/>
              </w:rPr>
              <w:t xml:space="preserve">С</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4.2</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3.7</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3.1</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1.9</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1.9</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1.7</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1.4</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1.1</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1.2</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1.6</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2.1</w:t>
            </w:r>
            <w:r/>
          </w:p>
        </w:tc>
        <w:tc>
          <w:tcPr>
            <w:shd w:val="clear" w:color="auto" w:fill="auto"/>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2.5</w:t>
            </w:r>
            <w:r/>
          </w:p>
        </w:tc>
        <w:tc>
          <w:tcPr>
            <w:shd w:val="clear" w:color="auto" w:fill="auto"/>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1.1</w:t>
            </w:r>
            <w:r/>
          </w:p>
        </w:tc>
      </w:tr>
      <w:tr>
        <w:trPr>
          <w:trHeight w:val="265"/>
        </w:trPr>
        <w:tc>
          <w:tcPr>
            <w:shd w:val="clear" w:color="auto" w:fill="auto"/>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Найбільш низька</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-16.5</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-16.8</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-9.1</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1.3</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10.8</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14.1</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16.7</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15</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9.4</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2.3</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-7.7</w:t>
            </w:r>
            <w:r/>
          </w:p>
        </w:tc>
        <w:tc>
          <w:tcPr>
            <w:shd w:val="clear" w:color="auto" w:fill="auto"/>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-10.6</w:t>
            </w:r>
            <w:r/>
          </w:p>
        </w:tc>
        <w:tc>
          <w:tcPr>
            <w:shd w:val="clear" w:color="auto" w:fill="auto"/>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4.1</w:t>
            </w:r>
            <w:r/>
          </w:p>
        </w:tc>
      </w:tr>
      <w:tr>
        <w:trPr>
          <w:trHeight w:val="281"/>
        </w:trPr>
        <w:tc>
          <w:tcPr>
            <w:shd w:val="clear" w:color="auto" w:fill="auto"/>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Найбільш висока</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-0.2</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2.7</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5.7</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12.7</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18.7</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21.8</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23.9</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22.3</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16.9</w:t>
            </w:r>
            <w:r/>
          </w:p>
        </w:tc>
        <w:tc>
          <w:tcPr>
            <w:shd w:val="clear" w:color="auto" w:fill="auto"/>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11.4</w:t>
            </w:r>
            <w:r/>
          </w:p>
        </w:tc>
        <w:tc>
          <w:tcPr>
            <w:shd w:val="clear" w:color="auto" w:fill="auto"/>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5.2</w:t>
            </w:r>
            <w:r/>
          </w:p>
        </w:tc>
        <w:tc>
          <w:tcPr>
            <w:shd w:val="clear" w:color="auto" w:fill="auto"/>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2.4</w:t>
            </w:r>
            <w:r/>
          </w:p>
        </w:tc>
        <w:tc>
          <w:tcPr>
            <w:shd w:val="clear" w:color="auto" w:fill="auto"/>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lang w:val="uk-UA"/>
              </w:rPr>
              <w:t xml:space="preserve">8.9</w:t>
            </w:r>
            <w:r/>
          </w:p>
        </w:tc>
      </w:tr>
      <w:tr>
        <w:trPr>
          <w:trHeight w:val="281"/>
        </w:trPr>
        <w:tc>
          <w:tcPr>
            <w:gridSpan w:val="14"/>
            <w:shd w:val="clear" w:color="auto" w:fill="auto"/>
            <w:tcBorders>
              <w:left w:val="single" w:sz="4" w:space="0" w:color="auto"/>
              <w:top w:val="single" w:sz="4" w:space="0" w:color="auto"/>
              <w:right w:val="single" w:sz="4" w:space="0" w:color="auto"/>
              <w:bottom w:val="single" w:sz="4" w:space="0" w:color="auto"/>
            </w:tcBorders>
            <w:tcW w:w="14546" w:type="dxa"/>
            <w:vAlign w:val="center"/>
            <w:textDirection w:val="lrTb"/>
            <w:noWrap w:val="false"/>
          </w:tcPr>
          <w:p>
            <w:pPr>
              <w:ind w:left="-108" w:right="-73"/>
              <w:jc w:val="both"/>
              <w:spacing w:lineRule="auto" w:line="240" w:after="0"/>
              <w:rPr>
                <w:rFonts w:ascii="Arial" w:hAnsi="Arial" w:cs="Arial"/>
                <w:b/>
                <w:bCs/>
                <w:color w:val="000000"/>
                <w:sz w:val="24"/>
                <w:szCs w:val="24"/>
                <w:lang w:val="uk-UA"/>
              </w:rPr>
            </w:pPr>
            <w:r>
              <w:rPr>
                <w:rFonts w:ascii="Arial" w:hAnsi="Arial" w:cs="Arial"/>
                <w:b/>
                <w:bCs/>
                <w:color w:val="222222"/>
                <w:sz w:val="24"/>
                <w:szCs w:val="24"/>
                <w:shd w:val="clear" w:color="auto" w:fill="FFFFFF"/>
                <w:lang w:val="uk-UA"/>
              </w:rPr>
              <w:t xml:space="preserve">Чернігів</w:t>
            </w:r>
            <w:r>
              <w:rPr>
                <w:rFonts w:ascii="Arial" w:hAnsi="Arial" w:cs="Arial"/>
                <w:color w:val="222222"/>
                <w:sz w:val="24"/>
                <w:szCs w:val="24"/>
                <w:shd w:val="clear" w:color="auto" w:fill="FFFFFF"/>
                <w:lang w:val="uk-UA"/>
              </w:rPr>
              <w:t xml:space="preserve"> (1961–1990)</w:t>
            </w:r>
            <w:r/>
          </w:p>
        </w:tc>
      </w:tr>
      <w:tr>
        <w:trPr>
          <w:trHeight w:val="329"/>
        </w:trPr>
        <w:tc>
          <w:tcPr>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Середня</w:t>
            </w:r>
            <w:r>
              <w:rPr>
                <w:rFonts w:ascii="Arial" w:hAnsi="Arial" w:cs="Arial"/>
                <w:b/>
                <w:color w:val="222222"/>
                <w:sz w:val="24"/>
                <w:szCs w:val="24"/>
                <w:shd w:val="clear" w:color="auto" w:fill="FFFFFF"/>
                <w:lang w:val="uk-UA"/>
              </w:rPr>
              <w:t xml:space="preserve">, </w:t>
            </w:r>
            <w:r>
              <w:rPr>
                <w:rFonts w:ascii="Arial" w:hAnsi="Arial" w:cs="Arial"/>
                <w:b/>
                <w:color w:val="222222"/>
                <w:sz w:val="24"/>
                <w:szCs w:val="24"/>
                <w:shd w:val="clear" w:color="auto" w:fill="FFFFFF"/>
                <w:vertAlign w:val="superscript"/>
                <w:lang w:val="uk-UA"/>
              </w:rPr>
              <w:t xml:space="preserve">о</w:t>
            </w:r>
            <w:r>
              <w:rPr>
                <w:rFonts w:ascii="Arial" w:hAnsi="Arial" w:cs="Arial"/>
                <w:b/>
                <w:color w:val="222222"/>
                <w:sz w:val="24"/>
                <w:szCs w:val="24"/>
                <w:shd w:val="clear" w:color="auto" w:fill="FFFFFF"/>
                <w:lang w:val="uk-UA"/>
              </w:rPr>
              <w:t xml:space="preserve">С</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-7.1</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-5.6</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-0.6</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7.8</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14.5</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17.6</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18.7</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17.7</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12.8</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6.8</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1.2</w:t>
            </w:r>
            <w:r/>
          </w:p>
        </w:tc>
        <w:tc>
          <w:tcPr>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-3.3</w:t>
            </w:r>
            <w:r/>
          </w:p>
        </w:tc>
        <w:tc>
          <w:tcPr>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6.7</w:t>
            </w:r>
            <w:r/>
          </w:p>
        </w:tc>
      </w:tr>
      <w:tr>
        <w:trPr>
          <w:trHeight w:val="281"/>
        </w:trPr>
        <w:tc>
          <w:tcPr>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Сер.кв.відх</w:t>
            </w:r>
            <w:r>
              <w:rPr>
                <w:rFonts w:ascii="Arial" w:hAnsi="Arial" w:cs="Arial"/>
                <w:sz w:val="24"/>
                <w:szCs w:val="24"/>
                <w:lang w:val="uk-UA" w:eastAsia="ru-RU"/>
              </w:rPr>
              <w:t xml:space="preserve">. </w:t>
            </w:r>
            <w:r>
              <w:rPr>
                <w:rFonts w:ascii="Arial" w:hAnsi="Arial" w:cs="Arial"/>
                <w:b/>
                <w:color w:val="222222"/>
                <w:sz w:val="24"/>
                <w:szCs w:val="24"/>
                <w:shd w:val="clear" w:color="auto" w:fill="FFFFFF"/>
                <w:vertAlign w:val="superscript"/>
                <w:lang w:val="uk-UA"/>
              </w:rPr>
              <w:t xml:space="preserve">о</w:t>
            </w:r>
            <w:r>
              <w:rPr>
                <w:rFonts w:ascii="Arial" w:hAnsi="Arial" w:cs="Arial"/>
                <w:b/>
                <w:color w:val="222222"/>
                <w:sz w:val="24"/>
                <w:szCs w:val="24"/>
                <w:shd w:val="clear" w:color="auto" w:fill="FFFFFF"/>
                <w:lang w:val="uk-UA"/>
              </w:rPr>
              <w:t xml:space="preserve">С</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4.3</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3.8</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3.1</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1.9</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2</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1.6</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1.4</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1.1</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1.2</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1.6</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2.1</w:t>
            </w:r>
            <w:r/>
          </w:p>
        </w:tc>
        <w:tc>
          <w:tcPr>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2.5</w:t>
            </w:r>
            <w:r/>
          </w:p>
        </w:tc>
        <w:tc>
          <w:tcPr>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w:t>
            </w:r>
            <w:r/>
          </w:p>
        </w:tc>
      </w:tr>
      <w:tr>
        <w:trPr>
          <w:trHeight w:val="281"/>
        </w:trPr>
        <w:tc>
          <w:tcPr>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Найбільш низька</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-16.1</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-16.5</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-8.3</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1.3</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10.5</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14.3</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16.4</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15</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10.5</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2.7</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-7.3</w:t>
            </w:r>
            <w:r/>
          </w:p>
        </w:tc>
        <w:tc>
          <w:tcPr>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-10.1</w:t>
            </w:r>
            <w:r/>
          </w:p>
        </w:tc>
        <w:tc>
          <w:tcPr>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4.7</w:t>
            </w:r>
            <w:r/>
          </w:p>
        </w:tc>
      </w:tr>
      <w:tr>
        <w:trPr>
          <w:trHeight w:val="281"/>
        </w:trPr>
        <w:tc>
          <w:tcPr>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Найбільш висока</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-0.1</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2.5</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5.5</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12.4</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18</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22.1</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24</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22.4</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17</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11.1</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5.8</w:t>
            </w:r>
            <w:r/>
          </w:p>
        </w:tc>
        <w:tc>
          <w:tcPr>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2.3</w:t>
            </w:r>
            <w:r/>
          </w:p>
        </w:tc>
        <w:tc>
          <w:tcPr>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lang w:val="uk-UA"/>
              </w:rPr>
            </w:pPr>
            <w:r>
              <w:rPr>
                <w:rFonts w:ascii="Arial" w:hAnsi="Arial" w:cs="Arial"/>
                <w:color w:val="000000"/>
                <w:sz w:val="24"/>
                <w:szCs w:val="24"/>
              </w:rPr>
              <w:t xml:space="preserve">8.7</w:t>
            </w:r>
            <w:r/>
          </w:p>
        </w:tc>
      </w:tr>
      <w:tr>
        <w:trPr>
          <w:trHeight w:val="281"/>
        </w:trPr>
        <w:tc>
          <w:tcPr>
            <w:gridSpan w:val="14"/>
            <w:tcBorders>
              <w:left w:val="single" w:sz="4" w:space="0" w:color="auto"/>
              <w:top w:val="single" w:sz="4" w:space="0" w:color="auto"/>
              <w:right w:val="single" w:sz="4" w:space="0" w:color="auto"/>
              <w:bottom w:val="single" w:sz="4" w:space="0" w:color="auto"/>
            </w:tcBorders>
            <w:tcW w:w="14546" w:type="dxa"/>
            <w:vAlign w:val="center"/>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b/>
                <w:bCs/>
                <w:color w:val="222222"/>
                <w:sz w:val="24"/>
                <w:szCs w:val="24"/>
                <w:shd w:val="clear" w:color="auto" w:fill="FFFFFF"/>
                <w:lang w:val="uk-UA"/>
              </w:rPr>
              <w:t xml:space="preserve">Чернігів</w:t>
            </w:r>
            <w:r>
              <w:rPr>
                <w:rFonts w:ascii="Arial" w:hAnsi="Arial" w:cs="Arial"/>
                <w:color w:val="222222"/>
                <w:sz w:val="24"/>
                <w:szCs w:val="24"/>
                <w:shd w:val="clear" w:color="auto" w:fill="FFFFFF"/>
                <w:lang w:val="uk-UA"/>
              </w:rPr>
              <w:t xml:space="preserve"> (1970-2019)</w:t>
            </w:r>
            <w:r/>
          </w:p>
        </w:tc>
      </w:tr>
      <w:tr>
        <w:trPr>
          <w:trHeight w:val="281"/>
        </w:trPr>
        <w:tc>
          <w:tcPr>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sz w:val="24"/>
                <w:szCs w:val="24"/>
                <w:lang w:val="uk-UA" w:eastAsia="ru-RU"/>
              </w:rPr>
            </w:pPr>
            <w:r>
              <w:rPr>
                <w:rFonts w:ascii="Arial" w:hAnsi="Arial" w:cs="Arial"/>
                <w:b/>
                <w:sz w:val="24"/>
                <w:szCs w:val="24"/>
                <w:lang w:val="uk-UA" w:eastAsia="ru-RU"/>
              </w:rPr>
              <w:t xml:space="preserve">Середня</w:t>
            </w:r>
            <w:r>
              <w:rPr>
                <w:rFonts w:ascii="Arial" w:hAnsi="Arial" w:cs="Arial"/>
                <w:b/>
                <w:color w:val="222222"/>
                <w:sz w:val="24"/>
                <w:szCs w:val="24"/>
                <w:shd w:val="clear" w:color="auto" w:fill="FFFFFF"/>
                <w:lang w:val="uk-UA"/>
              </w:rPr>
              <w:t xml:space="preserve">, </w:t>
            </w:r>
            <w:r>
              <w:rPr>
                <w:rFonts w:ascii="Arial" w:hAnsi="Arial" w:cs="Arial"/>
                <w:b/>
                <w:color w:val="222222"/>
                <w:sz w:val="24"/>
                <w:szCs w:val="24"/>
                <w:shd w:val="clear" w:color="auto" w:fill="FFFFFF"/>
                <w:vertAlign w:val="superscript"/>
                <w:lang w:val="uk-UA"/>
              </w:rPr>
              <w:t xml:space="preserve">о</w:t>
            </w:r>
            <w:r>
              <w:rPr>
                <w:rFonts w:ascii="Arial" w:hAnsi="Arial" w:cs="Arial"/>
                <w:b/>
                <w:color w:val="222222"/>
                <w:sz w:val="24"/>
                <w:szCs w:val="24"/>
                <w:shd w:val="clear" w:color="auto" w:fill="FFFFFF"/>
                <w:lang w:val="uk-UA"/>
              </w:rPr>
              <w:t xml:space="preserve">С</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-5.3</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-4.3</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0.6</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8.4</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14.8</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18.0</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19.7</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18.6</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13.2</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6.9</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1.3</w:t>
            </w:r>
            <w:r/>
          </w:p>
        </w:tc>
        <w:tc>
          <w:tcPr>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-2.8</w:t>
            </w:r>
            <w:r/>
          </w:p>
        </w:tc>
        <w:tc>
          <w:tcPr>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7.4</w:t>
            </w:r>
            <w:r/>
          </w:p>
        </w:tc>
      </w:tr>
      <w:tr>
        <w:trPr>
          <w:trHeight w:val="281"/>
        </w:trPr>
        <w:tc>
          <w:tcPr>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Сер.кв.відх</w:t>
            </w:r>
            <w:r>
              <w:rPr>
                <w:rFonts w:ascii="Arial" w:hAnsi="Arial" w:cs="Arial"/>
                <w:sz w:val="24"/>
                <w:szCs w:val="24"/>
                <w:lang w:val="uk-UA" w:eastAsia="ru-RU"/>
              </w:rPr>
              <w:t xml:space="preserve">. </w:t>
            </w:r>
            <w:r>
              <w:rPr>
                <w:rFonts w:ascii="Arial" w:hAnsi="Arial" w:cs="Arial"/>
                <w:b/>
                <w:color w:val="222222"/>
                <w:sz w:val="24"/>
                <w:szCs w:val="24"/>
                <w:shd w:val="clear" w:color="auto" w:fill="FFFFFF"/>
                <w:vertAlign w:val="superscript"/>
                <w:lang w:val="uk-UA"/>
              </w:rPr>
              <w:t xml:space="preserve">о</w:t>
            </w:r>
            <w:r>
              <w:rPr>
                <w:rFonts w:ascii="Arial" w:hAnsi="Arial" w:cs="Arial"/>
                <w:b/>
                <w:color w:val="222222"/>
                <w:sz w:val="24"/>
                <w:szCs w:val="24"/>
                <w:shd w:val="clear" w:color="auto" w:fill="FFFFFF"/>
                <w:lang w:val="uk-UA"/>
              </w:rPr>
              <w:t xml:space="preserve">С</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3.5</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3.7</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2.9</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1.8</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1.9</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1.8</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1.7</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1.5</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1.5</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1.5</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2.5</w:t>
            </w:r>
            <w:r/>
          </w:p>
        </w:tc>
        <w:tc>
          <w:tcPr>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2.7</w:t>
            </w:r>
            <w:r/>
          </w:p>
        </w:tc>
        <w:tc>
          <w:tcPr>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1.0</w:t>
            </w:r>
            <w:r/>
          </w:p>
        </w:tc>
      </w:tr>
      <w:tr>
        <w:trPr>
          <w:trHeight w:val="281"/>
        </w:trPr>
        <w:tc>
          <w:tcPr>
            <w:tcBorders>
              <w:left w:val="single" w:sz="4" w:space="0" w:color="auto"/>
              <w:top w:val="single" w:sz="4" w:space="0" w:color="auto"/>
              <w:right w:val="single" w:sz="4" w:space="0" w:color="auto"/>
              <w:bottom w:val="single" w:sz="4" w:space="0" w:color="auto"/>
            </w:tcBorders>
            <w:tcW w:w="2667" w:type="dxa"/>
            <w:vAlign w:val="center"/>
            <w:textDirection w:val="lrTb"/>
            <w:noWrap w:val="false"/>
          </w:tcPr>
          <w:p>
            <w:pPr>
              <w:ind w:left="5"/>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Тренд, </w:t>
            </w:r>
            <w:r>
              <w:rPr>
                <w:rFonts w:ascii="Arial" w:hAnsi="Arial" w:cs="Arial"/>
                <w:color w:val="222222"/>
                <w:sz w:val="24"/>
                <w:szCs w:val="24"/>
                <w:shd w:val="clear" w:color="auto" w:fill="FFFFFF"/>
                <w:vertAlign w:val="superscript"/>
                <w:lang w:val="uk-UA"/>
              </w:rPr>
              <w:t xml:space="preserve">о</w:t>
            </w:r>
            <w:r>
              <w:rPr>
                <w:rFonts w:ascii="Arial" w:hAnsi="Arial" w:cs="Arial"/>
                <w:color w:val="222222"/>
                <w:sz w:val="24"/>
                <w:szCs w:val="24"/>
                <w:shd w:val="clear" w:color="auto" w:fill="FFFFFF"/>
                <w:lang w:val="uk-UA"/>
              </w:rPr>
              <w:t xml:space="preserve">С</w:t>
            </w:r>
            <w:r>
              <w:rPr>
                <w:rFonts w:ascii="Arial" w:hAnsi="Arial" w:cs="Arial"/>
                <w:color w:val="222222"/>
                <w:sz w:val="24"/>
                <w:szCs w:val="24"/>
                <w:shd w:val="clear" w:color="auto" w:fill="FFFFFF"/>
                <w:lang w:val="uk-UA"/>
              </w:rPr>
              <w:t xml:space="preserve"> за 10 років</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0.58</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0.53</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0.50</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0.40</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0.42</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0.39</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0.55</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0.55</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0.46</w:t>
            </w:r>
            <w:r/>
          </w:p>
        </w:tc>
        <w:tc>
          <w:tcPr>
            <w:tcBorders>
              <w:left w:val="none" w:color="000000" w:sz="4" w:space="0"/>
              <w:top w:val="single" w:sz="4" w:space="0" w:color="auto"/>
              <w:right w:val="single" w:sz="4" w:space="0" w:color="auto"/>
              <w:bottom w:val="single" w:sz="4" w:space="0" w:color="auto"/>
            </w:tcBorders>
            <w:tcW w:w="886"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0.21</w:t>
            </w:r>
            <w:r/>
          </w:p>
        </w:tc>
        <w:tc>
          <w:tcPr>
            <w:tcBorders>
              <w:left w:val="none" w:color="000000" w:sz="4" w:space="0"/>
              <w:top w:val="single" w:sz="4" w:space="0" w:color="auto"/>
              <w:right w:val="single" w:sz="4" w:space="0" w:color="auto"/>
              <w:bottom w:val="single" w:sz="4" w:space="0" w:color="auto"/>
            </w:tcBorders>
            <w:tcW w:w="885"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0.35</w:t>
            </w:r>
            <w:r/>
          </w:p>
        </w:tc>
        <w:tc>
          <w:tcPr>
            <w:tcBorders>
              <w:left w:val="none" w:color="000000" w:sz="4" w:space="0"/>
              <w:top w:val="single" w:sz="4" w:space="0" w:color="auto"/>
              <w:right w:val="single" w:sz="4" w:space="0" w:color="auto"/>
              <w:bottom w:val="single" w:sz="4" w:space="0" w:color="auto"/>
            </w:tcBorders>
            <w:tcW w:w="1097"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0.19</w:t>
            </w:r>
            <w:r/>
          </w:p>
        </w:tc>
        <w:tc>
          <w:tcPr>
            <w:tcBorders>
              <w:left w:val="none" w:color="000000" w:sz="4" w:space="0"/>
              <w:top w:val="single" w:sz="4" w:space="0" w:color="auto"/>
              <w:right w:val="single" w:sz="4" w:space="0" w:color="auto"/>
              <w:bottom w:val="single" w:sz="4" w:space="0" w:color="auto"/>
            </w:tcBorders>
            <w:tcW w:w="1042" w:type="dxa"/>
            <w:vAlign w:val="bottom"/>
            <w:textDirection w:val="lrTb"/>
            <w:noWrap w:val="false"/>
          </w:tcPr>
          <w:p>
            <w:pPr>
              <w:ind w:left="-108" w:right="-73"/>
              <w:jc w:val="both"/>
              <w:spacing w:lineRule="auto" w:line="240" w:after="0"/>
              <w:rPr>
                <w:rFonts w:ascii="Arial" w:hAnsi="Arial" w:cs="Arial"/>
                <w:color w:val="000000"/>
                <w:sz w:val="24"/>
                <w:szCs w:val="24"/>
              </w:rPr>
            </w:pPr>
            <w:r>
              <w:rPr>
                <w:rFonts w:ascii="Arial" w:hAnsi="Arial" w:cs="Arial"/>
                <w:color w:val="000000"/>
                <w:sz w:val="24"/>
                <w:szCs w:val="24"/>
              </w:rPr>
              <w:t xml:space="preserve">0.43</w:t>
            </w:r>
            <w:r/>
          </w:p>
        </w:tc>
      </w:tr>
    </w:tbl>
    <w:p>
      <w:pPr>
        <w:jc w:val="both"/>
        <w:spacing w:lineRule="auto" w:line="240" w:after="0"/>
        <w:rPr>
          <w:rFonts w:ascii="Arial" w:hAnsi="Arial" w:cs="Arial"/>
          <w:sz w:val="24"/>
          <w:szCs w:val="24"/>
          <w:lang w:val="uk-UA"/>
        </w:rPr>
        <w:sectPr>
          <w:footnotePr/>
          <w:type w:val="continuous"/>
          <w:pgSz w:w="16839" w:h="11907" w:orient="landscape"/>
          <w:pgMar w:top="1440" w:right="1104" w:bottom="1170" w:left="1440" w:header="720" w:footer="720"/>
          <w:cols w:num="1" w:sep="0" w:space="720" w:equalWidth="1"/>
          <w:docGrid w:linePitch="360"/>
        </w:sectPr>
      </w:pPr>
      <w:r>
        <w:rPr>
          <w:rFonts w:ascii="Arial" w:hAnsi="Arial" w:cs="Arial"/>
          <w:sz w:val="24"/>
          <w:szCs w:val="24"/>
          <w:lang w:val="uk-UA"/>
        </w:rPr>
      </w:r>
      <w:r/>
    </w:p>
    <w:p>
      <w:pPr>
        <w:jc w:val="both"/>
        <w:spacing w:lineRule="auto" w:line="240" w:after="0"/>
        <w:rPr>
          <w:rFonts w:ascii="Arial" w:hAnsi="Arial" w:cs="Arial"/>
          <w:sz w:val="24"/>
          <w:szCs w:val="24"/>
          <w:lang w:val="uk-UA"/>
        </w:rPr>
      </w:pPr>
      <w:r>
        <w:rPr>
          <w:rFonts w:ascii="Arial" w:hAnsi="Arial" w:cs="Arial"/>
          <w:sz w:val="24"/>
          <w:szCs w:val="24"/>
          <w:lang w:val="uk-UA" w:eastAsia="uk-UA"/>
        </w:rPr>
        <w:drawing>
          <wp:inline distT="0" distB="0" distL="0" distR="0">
            <wp:extent cx="4206240" cy="1965960"/>
            <wp:effectExtent l="0" t="0" r="3810" b="0"/>
            <wp:docPr id="32" name="Диаграмма 17"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p>
    <w:p>
      <w:pPr>
        <w:jc w:val="both"/>
        <w:spacing w:lineRule="auto" w:line="240" w:after="0"/>
        <w:rPr>
          <w:rFonts w:ascii="Arial" w:hAnsi="Arial" w:cs="Arial"/>
          <w:sz w:val="24"/>
          <w:szCs w:val="24"/>
          <w:lang w:val="uk-UA"/>
        </w:rPr>
      </w:pPr>
      <w:r>
        <w:rPr>
          <w:rFonts w:ascii="Arial" w:hAnsi="Arial" w:cs="Arial"/>
          <w:sz w:val="24"/>
          <w:szCs w:val="24"/>
          <w:lang w:val="uk-UA"/>
        </w:rPr>
      </w:r>
      <w:r/>
    </w:p>
    <w:p>
      <w:pPr>
        <w:ind w:firstLine="720"/>
        <w:jc w:val="both"/>
        <w:spacing w:lineRule="auto" w:line="240" w:after="0"/>
        <w:rPr>
          <w:rFonts w:ascii="Arial" w:hAnsi="Arial" w:cs="Arial"/>
          <w:b/>
          <w:sz w:val="24"/>
          <w:szCs w:val="24"/>
          <w:lang w:val="uk-UA"/>
        </w:rPr>
      </w:pPr>
      <w:r>
        <w:rPr>
          <w:rFonts w:ascii="Arial" w:hAnsi="Arial" w:cs="Arial"/>
          <w:b/>
          <w:sz w:val="24"/>
          <w:szCs w:val="24"/>
          <w:lang w:val="uk-UA"/>
        </w:rPr>
        <w:t xml:space="preserve">Рис 2.</w:t>
      </w:r>
      <w:r>
        <w:rPr>
          <w:rFonts w:ascii="Arial" w:hAnsi="Arial" w:cs="Arial"/>
          <w:b/>
          <w:sz w:val="24"/>
          <w:szCs w:val="24"/>
          <w:lang w:val="uk-UA"/>
        </w:rPr>
        <w:t xml:space="preserve"> Сезонний хід приземної температури на станціях Сновськ (1 – для періоду 1961-1991 рр.), Чернігів (2, 3 - для двох періодів 1961–1990 рр. та 1970-2019 рр.), а також їх мінімальні і максимальні значення (4) (табл. 2).</w:t>
      </w:r>
      <w:r/>
    </w:p>
    <w:p>
      <w:pPr>
        <w:jc w:val="both"/>
        <w:spacing w:lineRule="auto" w:line="240" w:after="0"/>
        <w:rPr>
          <w:rFonts w:ascii="Arial" w:hAnsi="Arial" w:cs="Arial"/>
          <w:sz w:val="24"/>
          <w:szCs w:val="24"/>
          <w:lang w:val="uk-UA"/>
        </w:rPr>
      </w:pPr>
      <w:r>
        <w:rPr>
          <w:rFonts w:ascii="Arial" w:hAnsi="Arial" w:cs="Arial"/>
          <w:sz w:val="24"/>
          <w:szCs w:val="24"/>
          <w:lang w:val="uk-UA"/>
        </w:rPr>
      </w:r>
      <w:r/>
    </w:p>
    <w:p>
      <w:pPr>
        <w:ind w:left="284"/>
        <w:jc w:val="both"/>
        <w:spacing w:lineRule="auto" w:line="240" w:after="0"/>
        <w:rPr>
          <w:rFonts w:ascii="Arial" w:hAnsi="Arial" w:cs="Arial"/>
          <w:sz w:val="24"/>
          <w:szCs w:val="24"/>
          <w:lang w:val="uk-UA"/>
        </w:rPr>
      </w:pPr>
      <w:r>
        <w:rPr>
          <w:rFonts w:ascii="Arial" w:hAnsi="Arial" w:cs="Arial"/>
          <w:sz w:val="24"/>
          <w:szCs w:val="24"/>
          <w:shd w:val="clear" w:color="auto" w:fill="BCFFDA" w:themeFill="accent1" w:themeFillTint="33"/>
          <w:lang w:val="uk-UA" w:eastAsia="uk-UA"/>
        </w:rPr>
        <w:drawing>
          <wp:inline distT="0" distB="0" distL="0" distR="0">
            <wp:extent cx="4114800" cy="1844040"/>
            <wp:effectExtent l="0" t="0" r="0" b="3810"/>
            <wp:docPr id="33" name="Диаграмма 28"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p>
    <w:p>
      <w:pPr>
        <w:ind w:left="284"/>
        <w:jc w:val="both"/>
        <w:spacing w:lineRule="auto" w:line="240" w:after="0"/>
        <w:rPr>
          <w:rFonts w:ascii="Arial" w:hAnsi="Arial" w:cs="Arial"/>
          <w:sz w:val="24"/>
          <w:szCs w:val="24"/>
          <w:lang w:val="uk-UA"/>
        </w:rPr>
      </w:pPr>
      <w:r>
        <w:rPr>
          <w:rFonts w:ascii="Arial" w:hAnsi="Arial" w:cs="Arial"/>
          <w:sz w:val="24"/>
          <w:szCs w:val="24"/>
          <w:lang w:val="uk-UA"/>
        </w:rPr>
      </w:r>
      <w:r/>
    </w:p>
    <w:p>
      <w:pPr>
        <w:ind w:left="284" w:firstLine="436"/>
        <w:jc w:val="both"/>
        <w:spacing w:lineRule="auto" w:line="240" w:after="0"/>
        <w:rPr>
          <w:rFonts w:ascii="Arial" w:hAnsi="Arial" w:cs="Arial"/>
          <w:b/>
          <w:sz w:val="24"/>
          <w:szCs w:val="24"/>
          <w:lang w:val="uk-UA"/>
        </w:rPr>
      </w:pPr>
      <w:r>
        <w:rPr>
          <w:rFonts w:ascii="Arial" w:hAnsi="Arial" w:cs="Arial"/>
          <w:b/>
          <w:sz w:val="24"/>
          <w:szCs w:val="24"/>
          <w:lang w:val="uk-UA"/>
        </w:rPr>
        <w:t xml:space="preserve">Рис</w:t>
      </w:r>
      <w:r>
        <w:rPr>
          <w:rFonts w:ascii="Arial" w:hAnsi="Arial" w:cs="Arial"/>
          <w:b/>
          <w:sz w:val="24"/>
          <w:szCs w:val="24"/>
          <w:lang w:val="uk-UA"/>
        </w:rPr>
        <w:t xml:space="preserve"> 3</w:t>
      </w:r>
      <w:r>
        <w:rPr>
          <w:rFonts w:ascii="Arial" w:hAnsi="Arial" w:cs="Arial"/>
          <w:b/>
          <w:sz w:val="24"/>
          <w:szCs w:val="24"/>
          <w:lang w:val="uk-UA"/>
        </w:rPr>
        <w:t xml:space="preserve">. Часовий хід середньорічної приземної температури повітря на метеостанції Чернігів за період 1970–2019 рр. (1 – емпіричні данні, 2 – максимальні і мінімальні значення</w:t>
      </w:r>
      <w:r>
        <w:rPr>
          <w:rFonts w:ascii="Arial" w:hAnsi="Arial" w:cs="Arial"/>
          <w:b/>
          <w:color w:val="000000"/>
          <w:sz w:val="24"/>
          <w:szCs w:val="24"/>
          <w:lang w:val="uk-UA" w:eastAsia="ru-RU"/>
        </w:rPr>
        <w:t xml:space="preserve">; 3 – </w:t>
      </w:r>
      <w:r>
        <w:rPr>
          <w:rFonts w:ascii="Arial" w:hAnsi="Arial" w:cs="Arial"/>
          <w:b/>
          <w:sz w:val="24"/>
          <w:szCs w:val="24"/>
          <w:lang w:val="uk-UA"/>
        </w:rPr>
        <w:t xml:space="preserve">тренд) (табл. 3)</w:t>
      </w:r>
      <w:r/>
    </w:p>
    <w:p>
      <w:pPr>
        <w:pStyle w:val="539"/>
        <w:ind w:left="0"/>
        <w:jc w:val="both"/>
        <w:spacing w:lineRule="auto" w:line="240" w:after="0"/>
        <w:tabs>
          <w:tab w:val="left" w:pos="4620" w:leader="none"/>
        </w:tabs>
        <w:rPr>
          <w:rFonts w:ascii="Arial" w:hAnsi="Arial" w:cs="Arial"/>
          <w:sz w:val="24"/>
          <w:szCs w:val="24"/>
          <w:lang w:val="uk-UA"/>
        </w:rPr>
      </w:pPr>
      <w:r>
        <w:rPr>
          <w:rFonts w:ascii="Arial" w:hAnsi="Arial" w:cs="Arial"/>
          <w:sz w:val="24"/>
          <w:szCs w:val="24"/>
          <w:lang w:val="uk-UA"/>
        </w:rPr>
        <w:t xml:space="preserve">Середньорічна температура </w:t>
      </w:r>
      <w:r>
        <w:rPr>
          <w:rFonts w:ascii="Arial" w:hAnsi="Arial" w:cs="Arial"/>
          <w:b/>
          <w:color w:val="222222"/>
          <w:sz w:val="24"/>
          <w:szCs w:val="24"/>
          <w:shd w:val="clear" w:color="auto" w:fill="FFFFFF"/>
          <w:lang w:val="uk-UA"/>
        </w:rPr>
        <w:t xml:space="preserve">в регіоні Менської </w:t>
      </w:r>
      <w:r>
        <w:rPr>
          <w:rFonts w:ascii="Arial" w:hAnsi="Arial" w:cs="Arial"/>
          <w:b/>
          <w:color w:val="222222"/>
          <w:sz w:val="24"/>
          <w:szCs w:val="24"/>
          <w:shd w:val="clear" w:color="auto" w:fill="FFFFFF"/>
          <w:lang w:val="uk-UA"/>
        </w:rPr>
        <w:t xml:space="preserve">територіальної громади</w:t>
      </w:r>
      <w:r>
        <w:rPr>
          <w:rFonts w:ascii="Arial" w:hAnsi="Arial" w:cs="Arial"/>
          <w:b/>
          <w:color w:val="222222"/>
          <w:sz w:val="24"/>
          <w:szCs w:val="24"/>
          <w:shd w:val="clear" w:color="auto" w:fill="FFFFFF"/>
          <w:lang w:val="uk-UA"/>
        </w:rPr>
        <w:t xml:space="preserve"> </w:t>
      </w:r>
      <w:r>
        <w:rPr>
          <w:rFonts w:ascii="Arial" w:hAnsi="Arial" w:cs="Arial"/>
          <w:sz w:val="24"/>
          <w:szCs w:val="24"/>
          <w:lang w:val="uk-UA"/>
        </w:rPr>
        <w:t xml:space="preserve">(</w:t>
      </w:r>
      <w:r>
        <w:rPr>
          <w:rFonts w:ascii="Arial" w:hAnsi="Arial" w:cs="Arial"/>
          <w:sz w:val="24"/>
          <w:szCs w:val="24"/>
          <w:shd w:val="clear" w:color="auto" w:fill="FFFFFF"/>
          <w:lang w:val="uk-UA"/>
        </w:rPr>
        <w:t xml:space="preserve">метеостанція Чернігів, що розташована поблизу</w:t>
      </w:r>
      <w:r>
        <w:rPr>
          <w:rFonts w:ascii="Arial" w:hAnsi="Arial" w:cs="Arial"/>
          <w:sz w:val="24"/>
          <w:szCs w:val="24"/>
          <w:lang w:val="uk-UA"/>
        </w:rPr>
        <w:t xml:space="preserve">) за період 1883-2019 рр. підвищилася на 1.0±0.2 °C/100 років, але за період 1970-2019 рр. відбулося потепління на ~0.43 </w:t>
      </w:r>
      <w:r>
        <w:rPr>
          <w:rFonts w:ascii="Arial" w:hAnsi="Arial" w:cs="Arial"/>
          <w:sz w:val="24"/>
          <w:szCs w:val="24"/>
          <w:vertAlign w:val="superscript"/>
          <w:lang w:val="uk-UA"/>
        </w:rPr>
        <w:t xml:space="preserve">о</w:t>
      </w:r>
      <w:r>
        <w:rPr>
          <w:rFonts w:ascii="Arial" w:hAnsi="Arial" w:cs="Arial"/>
          <w:sz w:val="24"/>
          <w:szCs w:val="24"/>
          <w:lang w:val="uk-UA"/>
        </w:rPr>
        <w:t xml:space="preserve">С</w:t>
      </w:r>
      <w:r>
        <w:rPr>
          <w:rFonts w:ascii="Arial" w:hAnsi="Arial" w:cs="Arial"/>
          <w:sz w:val="24"/>
          <w:szCs w:val="24"/>
          <w:lang w:val="uk-UA"/>
        </w:rPr>
        <w:t xml:space="preserve">/10 років, причому в сезонному ході потепління найменше проявилося весною і восени 0.2-0.3</w:t>
      </w:r>
      <w:r>
        <w:rPr>
          <w:rFonts w:ascii="Arial" w:hAnsi="Arial" w:cs="Arial"/>
          <w:sz w:val="24"/>
          <w:szCs w:val="24"/>
          <w:vertAlign w:val="superscript"/>
          <w:lang w:val="uk-UA"/>
        </w:rPr>
        <w:t xml:space="preserve">о</w:t>
      </w:r>
      <w:r>
        <w:rPr>
          <w:rFonts w:ascii="Arial" w:hAnsi="Arial" w:cs="Arial"/>
          <w:sz w:val="24"/>
          <w:szCs w:val="24"/>
          <w:lang w:val="uk-UA"/>
        </w:rPr>
        <w:t xml:space="preserve">С/10 років, а у січні, лютому та липні-серпні 0.5-0.6</w:t>
      </w:r>
      <w:r>
        <w:rPr>
          <w:rFonts w:ascii="Arial" w:hAnsi="Arial" w:cs="Arial"/>
          <w:sz w:val="24"/>
          <w:szCs w:val="24"/>
          <w:vertAlign w:val="superscript"/>
          <w:lang w:val="uk-UA"/>
        </w:rPr>
        <w:t xml:space="preserve">о</w:t>
      </w:r>
      <w:r>
        <w:rPr>
          <w:rFonts w:ascii="Arial" w:hAnsi="Arial" w:cs="Arial"/>
          <w:sz w:val="24"/>
          <w:szCs w:val="24"/>
          <w:lang w:val="uk-UA"/>
        </w:rPr>
        <w:t xml:space="preserve">С/10 років.</w:t>
      </w:r>
      <w:r/>
    </w:p>
    <w:p>
      <w:pPr>
        <w:pStyle w:val="539"/>
        <w:ind w:left="0" w:firstLine="567"/>
        <w:jc w:val="both"/>
        <w:spacing w:lineRule="auto" w:line="240" w:after="0"/>
        <w:tabs>
          <w:tab w:val="left" w:pos="4620" w:leader="none"/>
        </w:tabs>
        <w:rPr>
          <w:rFonts w:ascii="Arial" w:hAnsi="Arial" w:cs="Arial"/>
          <w:sz w:val="24"/>
          <w:szCs w:val="24"/>
          <w:lang w:val="uk-UA"/>
        </w:rPr>
      </w:pPr>
      <w:r>
        <w:rPr>
          <w:rFonts w:ascii="Arial" w:hAnsi="Arial" w:cs="Arial"/>
          <w:sz w:val="24"/>
          <w:szCs w:val="24"/>
          <w:lang w:val="uk-UA"/>
        </w:rPr>
        <w:t xml:space="preserve">Резюмуючи аналіз представлених даних, можна сказати, що особливості кліматичної динаміки в регіоні полягають в наступному. </w:t>
      </w:r>
      <w:r/>
    </w:p>
    <w:p>
      <w:pPr>
        <w:ind w:firstLine="567"/>
        <w:jc w:val="both"/>
        <w:spacing w:lineRule="auto" w:line="240" w:after="0"/>
        <w:rPr>
          <w:rFonts w:ascii="Arial" w:hAnsi="Arial" w:cs="Arial"/>
          <w:sz w:val="24"/>
          <w:szCs w:val="24"/>
          <w:lang w:val="uk-UA"/>
        </w:rPr>
      </w:pPr>
      <w:r>
        <w:rPr>
          <w:rFonts w:ascii="Arial" w:hAnsi="Arial" w:cs="Arial"/>
          <w:sz w:val="24"/>
          <w:szCs w:val="24"/>
          <w:lang w:val="uk-UA"/>
        </w:rPr>
        <w:t xml:space="preserve">* </w:t>
      </w:r>
      <w:r>
        <w:rPr>
          <w:rFonts w:ascii="Arial" w:hAnsi="Arial" w:cs="Arial"/>
          <w:sz w:val="24"/>
          <w:szCs w:val="24"/>
          <w:shd w:val="clear" w:color="auto" w:fill="FFFFFF"/>
          <w:lang w:val="uk-UA"/>
        </w:rPr>
        <w:t xml:space="preserve">Середньорічна температура приземного повітря за період 1971-2019 рр. становила 7.4±1.0</w:t>
      </w:r>
      <w:r>
        <w:rPr>
          <w:rFonts w:ascii="Arial" w:hAnsi="Arial" w:cs="Arial"/>
          <w:sz w:val="24"/>
          <w:szCs w:val="24"/>
          <w:shd w:val="clear" w:color="auto" w:fill="FFFFFF"/>
          <w:vertAlign w:val="superscript"/>
          <w:lang w:val="uk-UA"/>
        </w:rPr>
        <w:t xml:space="preserve">о</w:t>
      </w:r>
      <w:r>
        <w:rPr>
          <w:rFonts w:ascii="Arial" w:hAnsi="Arial" w:cs="Arial"/>
          <w:sz w:val="24"/>
          <w:szCs w:val="24"/>
          <w:shd w:val="clear" w:color="auto" w:fill="FFFFFF"/>
          <w:lang w:val="uk-UA"/>
        </w:rPr>
        <w:t xml:space="preserve">С (при метеорологічній нормі за період 1961-1990 рр. - 6.7-</w:t>
      </w:r>
      <w:r>
        <w:rPr>
          <w:rFonts w:ascii="Arial" w:hAnsi="Arial" w:cs="Arial"/>
          <w:sz w:val="24"/>
          <w:szCs w:val="24"/>
          <w:lang w:val="uk-UA"/>
        </w:rPr>
        <w:t xml:space="preserve">6.9</w:t>
      </w:r>
      <w:r>
        <w:rPr>
          <w:rFonts w:ascii="Arial" w:hAnsi="Arial" w:cs="Arial"/>
          <w:sz w:val="24"/>
          <w:szCs w:val="24"/>
          <w:shd w:val="clear" w:color="auto" w:fill="FFFFFF"/>
          <w:vertAlign w:val="superscript"/>
          <w:lang w:val="uk-UA"/>
        </w:rPr>
        <w:t xml:space="preserve"> </w:t>
      </w:r>
      <w:r>
        <w:rPr>
          <w:rFonts w:ascii="Arial" w:hAnsi="Arial" w:cs="Arial"/>
          <w:sz w:val="24"/>
          <w:szCs w:val="24"/>
          <w:shd w:val="clear" w:color="auto" w:fill="FFFFFF"/>
          <w:vertAlign w:val="superscript"/>
          <w:lang w:val="uk-UA"/>
        </w:rPr>
        <w:t xml:space="preserve">о</w:t>
      </w:r>
      <w:r>
        <w:rPr>
          <w:rFonts w:ascii="Arial" w:hAnsi="Arial" w:cs="Arial"/>
          <w:sz w:val="24"/>
          <w:szCs w:val="24"/>
          <w:shd w:val="clear" w:color="auto" w:fill="FFFFFF"/>
          <w:lang w:val="uk-UA"/>
        </w:rPr>
        <w:t xml:space="preserve">С</w:t>
      </w:r>
      <w:r>
        <w:rPr>
          <w:rFonts w:ascii="Arial" w:hAnsi="Arial" w:cs="Arial"/>
          <w:sz w:val="24"/>
          <w:szCs w:val="24"/>
          <w:shd w:val="clear" w:color="auto" w:fill="FFFFFF"/>
          <w:lang w:val="uk-UA"/>
        </w:rPr>
        <w:t xml:space="preserve">) (табл. 1, Чернігів). Середня температура липня 18-20°C, січня –7 - –5 °C (табл. 2). </w:t>
      </w:r>
      <w:r>
        <w:rPr>
          <w:rFonts w:ascii="Arial" w:hAnsi="Arial" w:cs="Arial"/>
          <w:sz w:val="24"/>
          <w:szCs w:val="24"/>
          <w:lang w:val="uk-UA"/>
        </w:rPr>
        <w:t xml:space="preserve"> </w:t>
      </w:r>
      <w:r/>
    </w:p>
    <w:p>
      <w:pPr>
        <w:ind w:firstLine="567"/>
        <w:jc w:val="both"/>
        <w:spacing w:lineRule="auto" w:line="240" w:after="0"/>
        <w:rPr>
          <w:rFonts w:ascii="Arial" w:hAnsi="Arial" w:cs="Arial"/>
          <w:sz w:val="24"/>
          <w:szCs w:val="24"/>
          <w:lang w:val="uk-UA"/>
        </w:rPr>
      </w:pPr>
      <w:r>
        <w:rPr>
          <w:rFonts w:ascii="Arial" w:hAnsi="Arial" w:cs="Arial"/>
          <w:sz w:val="24"/>
          <w:szCs w:val="24"/>
          <w:lang w:val="uk-UA"/>
        </w:rPr>
        <w:t xml:space="preserve">Середньорічна температура повітря за період 1969-2019 рр. за даними </w:t>
      </w:r>
      <w:r>
        <w:rPr>
          <w:rFonts w:ascii="Arial" w:hAnsi="Arial" w:cs="Arial"/>
          <w:sz w:val="24"/>
          <w:szCs w:val="24"/>
          <w:shd w:val="clear" w:color="auto" w:fill="FFFFFF"/>
          <w:lang w:val="uk-UA"/>
        </w:rPr>
        <w:t xml:space="preserve">метеостанції Чернігів</w:t>
      </w:r>
      <w:r>
        <w:rPr>
          <w:rFonts w:ascii="Arial" w:hAnsi="Arial" w:cs="Arial"/>
          <w:sz w:val="24"/>
          <w:szCs w:val="24"/>
          <w:lang w:val="uk-UA"/>
        </w:rPr>
        <w:t xml:space="preserve"> підвищилася на 0,43 °C/10 років (табл. 4). </w:t>
      </w:r>
      <w:r/>
    </w:p>
    <w:p>
      <w:pPr>
        <w:ind w:firstLine="567"/>
        <w:jc w:val="both"/>
        <w:spacing w:lineRule="auto" w:line="240" w:after="0"/>
        <w:rPr>
          <w:rFonts w:ascii="Arial" w:hAnsi="Arial" w:cs="Arial"/>
          <w:sz w:val="24"/>
          <w:szCs w:val="24"/>
          <w:lang w:val="uk-UA"/>
        </w:rPr>
      </w:pPr>
      <w:r>
        <w:rPr>
          <w:rFonts w:ascii="Arial" w:hAnsi="Arial" w:cs="Arial"/>
          <w:sz w:val="24"/>
          <w:szCs w:val="24"/>
          <w:lang w:val="uk-UA"/>
        </w:rPr>
        <w:t xml:space="preserve">* Сезонний хід температури має широкий максимум у червні - вересні  (середні значення найвищих температур сягають 240</w:t>
      </w:r>
      <w:r>
        <w:rPr>
          <w:rFonts w:ascii="Arial" w:hAnsi="Arial" w:cs="Arial"/>
          <w:sz w:val="24"/>
          <w:szCs w:val="24"/>
          <w:vertAlign w:val="superscript"/>
          <w:lang w:val="uk-UA"/>
        </w:rPr>
        <w:t xml:space="preserve">о</w:t>
      </w:r>
      <w:r>
        <w:rPr>
          <w:rFonts w:ascii="Arial" w:hAnsi="Arial" w:cs="Arial"/>
          <w:sz w:val="24"/>
          <w:szCs w:val="24"/>
          <w:lang w:val="uk-UA"/>
        </w:rPr>
        <w:t xml:space="preserve">С) та мінімум у січні - лютому (в зимові місяці середні значення найнижчих температур коливаються в межах -17 - 10</w:t>
      </w:r>
      <w:r>
        <w:rPr>
          <w:rFonts w:ascii="Arial" w:hAnsi="Arial" w:cs="Arial"/>
          <w:sz w:val="24"/>
          <w:szCs w:val="24"/>
          <w:vertAlign w:val="superscript"/>
          <w:lang w:val="uk-UA"/>
        </w:rPr>
        <w:t xml:space="preserve">о</w:t>
      </w:r>
      <w:r>
        <w:rPr>
          <w:rFonts w:ascii="Arial" w:hAnsi="Arial" w:cs="Arial"/>
          <w:sz w:val="24"/>
          <w:szCs w:val="24"/>
          <w:lang w:val="uk-UA"/>
        </w:rPr>
        <w:t xml:space="preserve">С) (табл. 2; рис. 2). </w:t>
      </w:r>
      <w:r/>
    </w:p>
    <w:p>
      <w:pPr>
        <w:pStyle w:val="558"/>
        <w:ind w:firstLine="720"/>
        <w:jc w:val="both"/>
        <w:rPr>
          <w:rFonts w:ascii="Arial" w:hAnsi="Arial" w:cs="Arial"/>
          <w:sz w:val="24"/>
          <w:szCs w:val="24"/>
          <w:lang w:val="uk-UA"/>
        </w:rPr>
      </w:pPr>
      <w:r>
        <w:rPr>
          <w:rFonts w:ascii="Arial" w:hAnsi="Arial" w:cs="Arial"/>
          <w:sz w:val="24"/>
          <w:szCs w:val="24"/>
          <w:lang w:val="uk-UA"/>
        </w:rPr>
        <w:t xml:space="preserve">* Реально температура влітку в окремі періоди може досягати високих значень –  найвищі зафіксовані температури перевищували 30</w:t>
      </w:r>
      <w:r>
        <w:rPr>
          <w:rFonts w:ascii="Arial" w:hAnsi="Arial" w:cs="Arial"/>
          <w:sz w:val="24"/>
          <w:szCs w:val="24"/>
          <w:vertAlign w:val="superscript"/>
          <w:lang w:val="uk-UA"/>
        </w:rPr>
        <w:t xml:space="preserve">о</w:t>
      </w:r>
      <w:r>
        <w:rPr>
          <w:rFonts w:ascii="Arial" w:hAnsi="Arial" w:cs="Arial"/>
          <w:sz w:val="24"/>
          <w:szCs w:val="24"/>
          <w:lang w:val="uk-UA"/>
        </w:rPr>
        <w:t xml:space="preserve">С. Такі кліматичні аномалії, зокрема, періоди підвищеної температури, є особливо відчутними для здоров'я мешканців і негативно впливають не тільки на стан, а й взагалі можуть бути критичними для життя.</w:t>
      </w:r>
      <w:r/>
    </w:p>
    <w:p>
      <w:pPr>
        <w:pStyle w:val="539"/>
        <w:ind w:left="0" w:firstLine="567"/>
        <w:jc w:val="both"/>
        <w:spacing w:lineRule="auto" w:line="240" w:after="0"/>
        <w:tabs>
          <w:tab w:val="left" w:pos="709" w:leader="none"/>
        </w:tabs>
        <w:rPr>
          <w:rFonts w:ascii="Arial" w:hAnsi="Arial" w:cs="Arial"/>
          <w:b/>
          <w:sz w:val="24"/>
          <w:szCs w:val="24"/>
          <w:lang w:val="uk-UA"/>
        </w:rPr>
      </w:pPr>
      <w:r>
        <w:rPr>
          <w:rFonts w:ascii="Arial" w:hAnsi="Arial" w:cs="Arial"/>
          <w:b/>
          <w:sz w:val="24"/>
          <w:szCs w:val="24"/>
          <w:lang w:val="uk-UA"/>
        </w:rPr>
      </w:r>
      <w:r/>
    </w:p>
    <w:p>
      <w:pPr>
        <w:pStyle w:val="558"/>
        <w:jc w:val="both"/>
        <w:rPr>
          <w:rFonts w:ascii="Arial" w:hAnsi="Arial" w:cs="Arial"/>
          <w:b/>
          <w:sz w:val="24"/>
          <w:szCs w:val="24"/>
          <w:lang w:val="ru-RU"/>
        </w:rPr>
      </w:pPr>
      <w:r>
        <w:rPr>
          <w:rFonts w:ascii="Arial" w:hAnsi="Arial" w:cs="Arial"/>
          <w:b/>
          <w:sz w:val="24"/>
          <w:szCs w:val="24"/>
          <w:lang w:val="ru-RU"/>
        </w:rPr>
      </w:r>
      <w:r/>
    </w:p>
    <w:p>
      <w:pPr>
        <w:pStyle w:val="558"/>
        <w:jc w:val="both"/>
        <w:rPr>
          <w:rFonts w:ascii="Arial" w:hAnsi="Arial" w:cs="Arial"/>
          <w:b/>
          <w:sz w:val="24"/>
          <w:szCs w:val="24"/>
          <w:lang w:val="ru-RU"/>
        </w:rPr>
      </w:pPr>
      <w:r>
        <w:rPr>
          <w:rFonts w:ascii="Arial" w:hAnsi="Arial" w:cs="Arial"/>
          <w:b/>
          <w:sz w:val="24"/>
          <w:szCs w:val="24"/>
          <w:lang w:val="ru-RU"/>
        </w:rPr>
      </w:r>
      <w:r/>
    </w:p>
    <w:p>
      <w:pPr>
        <w:pStyle w:val="558"/>
        <w:ind w:firstLine="709"/>
        <w:jc w:val="both"/>
        <w:rPr>
          <w:rFonts w:ascii="Arial" w:hAnsi="Arial" w:cs="Arial"/>
          <w:b/>
          <w:sz w:val="24"/>
          <w:szCs w:val="24"/>
          <w:lang w:val="ru-RU"/>
        </w:rPr>
      </w:pPr>
      <w:r>
        <w:rPr>
          <w:rFonts w:ascii="Arial" w:hAnsi="Arial" w:cs="Arial"/>
          <w:b/>
          <w:sz w:val="24"/>
          <w:szCs w:val="24"/>
          <w:lang w:val="ru-RU"/>
        </w:rPr>
        <w:t xml:space="preserve">Тенденція</w:t>
      </w:r>
      <w:r>
        <w:rPr>
          <w:rFonts w:ascii="Arial" w:hAnsi="Arial" w:cs="Arial"/>
          <w:b/>
          <w:sz w:val="24"/>
          <w:szCs w:val="24"/>
          <w:lang w:val="ru-RU"/>
        </w:rPr>
        <w:t xml:space="preserve"> </w:t>
      </w:r>
      <w:r>
        <w:rPr>
          <w:rFonts w:ascii="Arial" w:hAnsi="Arial" w:cs="Arial"/>
          <w:b/>
          <w:sz w:val="24"/>
          <w:szCs w:val="24"/>
          <w:lang w:val="ru-RU"/>
        </w:rPr>
        <w:t xml:space="preserve">зміни</w:t>
      </w:r>
      <w:r>
        <w:rPr>
          <w:rFonts w:ascii="Arial" w:hAnsi="Arial" w:cs="Arial"/>
          <w:b/>
          <w:sz w:val="24"/>
          <w:szCs w:val="24"/>
          <w:lang w:val="ru-RU"/>
        </w:rPr>
        <w:t xml:space="preserve"> </w:t>
      </w:r>
      <w:r>
        <w:rPr>
          <w:rFonts w:ascii="Arial" w:hAnsi="Arial" w:cs="Arial"/>
          <w:b/>
          <w:sz w:val="24"/>
          <w:szCs w:val="24"/>
          <w:lang w:val="ru-RU"/>
        </w:rPr>
        <w:t xml:space="preserve">клімату</w:t>
      </w:r>
      <w:r>
        <w:rPr>
          <w:rFonts w:ascii="Arial" w:hAnsi="Arial" w:cs="Arial"/>
          <w:b/>
          <w:sz w:val="24"/>
          <w:szCs w:val="24"/>
          <w:lang w:val="ru-RU"/>
        </w:rPr>
        <w:t xml:space="preserve">: </w:t>
      </w:r>
      <w:r/>
    </w:p>
    <w:p>
      <w:pPr>
        <w:pStyle w:val="558"/>
        <w:ind w:firstLine="709"/>
        <w:jc w:val="both"/>
        <w:rPr>
          <w:rFonts w:ascii="Arial" w:hAnsi="Arial" w:cs="Arial"/>
          <w:b/>
          <w:sz w:val="24"/>
          <w:szCs w:val="24"/>
          <w:lang w:val="ru-RU"/>
        </w:rPr>
      </w:pPr>
      <w:r>
        <w:rPr>
          <w:rFonts w:ascii="Arial" w:hAnsi="Arial" w:cs="Arial"/>
          <w:b/>
          <w:sz w:val="24"/>
          <w:szCs w:val="24"/>
          <w:lang w:val="ru-RU"/>
        </w:rPr>
      </w:r>
      <w:r/>
    </w:p>
    <w:p>
      <w:pPr>
        <w:pStyle w:val="558"/>
        <w:jc w:val="both"/>
        <w:rPr>
          <w:rFonts w:ascii="Arial" w:hAnsi="Arial" w:cs="Arial"/>
          <w:sz w:val="24"/>
          <w:szCs w:val="24"/>
          <w:lang w:val="ru-RU"/>
        </w:rPr>
      </w:pPr>
      <w:r>
        <w:rPr>
          <w:rFonts w:ascii="Arial" w:hAnsi="Arial" w:cs="Arial"/>
          <w:sz w:val="24"/>
          <w:szCs w:val="24"/>
          <w:lang w:val="ru-RU"/>
        </w:rPr>
        <w:t xml:space="preserve">* </w:t>
      </w:r>
      <w:r>
        <w:rPr>
          <w:rFonts w:ascii="Arial" w:hAnsi="Arial" w:cs="Arial"/>
          <w:sz w:val="24"/>
          <w:szCs w:val="24"/>
          <w:lang w:val="ru-RU"/>
        </w:rPr>
        <w:t xml:space="preserve">Підвищення</w:t>
      </w:r>
      <w:r>
        <w:rPr>
          <w:rFonts w:ascii="Arial" w:hAnsi="Arial" w:cs="Arial"/>
          <w:sz w:val="24"/>
          <w:szCs w:val="24"/>
          <w:lang w:val="ru-RU"/>
        </w:rPr>
        <w:t xml:space="preserve"> </w:t>
      </w:r>
      <w:r>
        <w:rPr>
          <w:rFonts w:ascii="Arial" w:hAnsi="Arial" w:cs="Arial"/>
          <w:sz w:val="24"/>
          <w:szCs w:val="24"/>
          <w:lang w:val="ru-RU"/>
        </w:rPr>
        <w:t xml:space="preserve">приземної</w:t>
      </w:r>
      <w:r>
        <w:rPr>
          <w:rFonts w:ascii="Arial" w:hAnsi="Arial" w:cs="Arial"/>
          <w:sz w:val="24"/>
          <w:szCs w:val="24"/>
          <w:lang w:val="ru-RU"/>
        </w:rPr>
        <w:t xml:space="preserve"> </w:t>
      </w:r>
      <w:r>
        <w:rPr>
          <w:rFonts w:ascii="Arial" w:hAnsi="Arial" w:cs="Arial"/>
          <w:sz w:val="24"/>
          <w:szCs w:val="24"/>
          <w:lang w:val="ru-RU"/>
        </w:rPr>
        <w:t xml:space="preserve">температури</w:t>
      </w:r>
      <w:r>
        <w:rPr>
          <w:rFonts w:ascii="Arial" w:hAnsi="Arial" w:cs="Arial"/>
          <w:sz w:val="24"/>
          <w:szCs w:val="24"/>
          <w:lang w:val="ru-RU"/>
        </w:rPr>
        <w:t xml:space="preserve"> за </w:t>
      </w:r>
      <w:r>
        <w:rPr>
          <w:rFonts w:ascii="Arial" w:hAnsi="Arial" w:cs="Arial"/>
          <w:sz w:val="24"/>
          <w:szCs w:val="24"/>
          <w:lang w:val="ru-RU"/>
        </w:rPr>
        <w:t xml:space="preserve">період</w:t>
      </w:r>
      <w:r>
        <w:rPr>
          <w:rFonts w:ascii="Arial" w:hAnsi="Arial" w:cs="Arial"/>
          <w:sz w:val="24"/>
          <w:szCs w:val="24"/>
          <w:lang w:val="ru-RU"/>
        </w:rPr>
        <w:t xml:space="preserve"> 1900-2018 </w:t>
      </w:r>
      <w:r>
        <w:rPr>
          <w:rFonts w:ascii="Arial" w:hAnsi="Arial" w:cs="Arial"/>
          <w:sz w:val="24"/>
          <w:szCs w:val="24"/>
          <w:lang w:val="ru-RU"/>
        </w:rPr>
        <w:t xml:space="preserve">рр</w:t>
      </w:r>
      <w:r>
        <w:rPr>
          <w:rFonts w:ascii="Arial" w:hAnsi="Arial" w:cs="Arial"/>
          <w:sz w:val="24"/>
          <w:szCs w:val="24"/>
          <w:lang w:val="ru-RU"/>
        </w:rPr>
        <w:t xml:space="preserve">. в </w:t>
      </w:r>
      <w:r>
        <w:rPr>
          <w:rFonts w:ascii="Arial" w:hAnsi="Arial" w:cs="Arial"/>
          <w:sz w:val="24"/>
          <w:szCs w:val="24"/>
          <w:lang w:val="ru-RU"/>
        </w:rPr>
        <w:t xml:space="preserve">регіоні</w:t>
      </w:r>
      <w:r>
        <w:rPr>
          <w:rFonts w:ascii="Arial" w:hAnsi="Arial" w:cs="Arial"/>
          <w:sz w:val="24"/>
          <w:szCs w:val="24"/>
          <w:lang w:val="ru-RU"/>
        </w:rPr>
        <w:t xml:space="preserve"> становить 0.8-1.2</w:t>
      </w:r>
      <w:r>
        <w:rPr>
          <w:rFonts w:ascii="Arial" w:hAnsi="Arial" w:cs="Arial"/>
          <w:sz w:val="24"/>
          <w:szCs w:val="24"/>
          <w:vertAlign w:val="superscript"/>
          <w:lang w:val="ru-RU"/>
        </w:rPr>
        <w:t xml:space="preserve">о</w:t>
      </w:r>
      <w:r>
        <w:rPr>
          <w:rFonts w:ascii="Arial" w:hAnsi="Arial" w:cs="Arial"/>
          <w:sz w:val="24"/>
          <w:szCs w:val="24"/>
          <w:lang w:val="ru-RU"/>
        </w:rPr>
        <w:t xml:space="preserve">С /100 </w:t>
      </w:r>
      <w:r>
        <w:rPr>
          <w:rFonts w:ascii="Arial" w:hAnsi="Arial" w:cs="Arial"/>
          <w:sz w:val="24"/>
          <w:szCs w:val="24"/>
          <w:lang w:val="ru-RU"/>
        </w:rPr>
        <w:t xml:space="preserve">років</w:t>
      </w:r>
      <w:r/>
    </w:p>
    <w:p>
      <w:pPr>
        <w:pStyle w:val="558"/>
        <w:jc w:val="both"/>
        <w:rPr>
          <w:rFonts w:ascii="Arial" w:hAnsi="Arial" w:cs="Arial"/>
          <w:sz w:val="24"/>
          <w:szCs w:val="24"/>
          <w:lang w:val="ru-RU"/>
        </w:rPr>
      </w:pPr>
      <w:r>
        <w:rPr>
          <w:rFonts w:ascii="Arial" w:hAnsi="Arial" w:cs="Arial"/>
          <w:sz w:val="24"/>
          <w:szCs w:val="24"/>
          <w:lang w:val="ru-RU"/>
        </w:rPr>
        <w:t xml:space="preserve">* </w:t>
      </w:r>
      <w:r>
        <w:rPr>
          <w:rFonts w:ascii="Arial" w:hAnsi="Arial" w:cs="Arial"/>
          <w:sz w:val="24"/>
          <w:szCs w:val="24"/>
          <w:lang w:val="ru-RU"/>
        </w:rPr>
        <w:t xml:space="preserve">Підвищення</w:t>
      </w:r>
      <w:r>
        <w:rPr>
          <w:rFonts w:ascii="Arial" w:hAnsi="Arial" w:cs="Arial"/>
          <w:sz w:val="24"/>
          <w:szCs w:val="24"/>
          <w:lang w:val="ru-RU"/>
        </w:rPr>
        <w:t xml:space="preserve"> </w:t>
      </w:r>
      <w:r>
        <w:rPr>
          <w:rFonts w:ascii="Arial" w:hAnsi="Arial" w:cs="Arial"/>
          <w:sz w:val="24"/>
          <w:szCs w:val="24"/>
          <w:lang w:val="ru-RU"/>
        </w:rPr>
        <w:t xml:space="preserve">приземної</w:t>
      </w:r>
      <w:r>
        <w:rPr>
          <w:rFonts w:ascii="Arial" w:hAnsi="Arial" w:cs="Arial"/>
          <w:sz w:val="24"/>
          <w:szCs w:val="24"/>
          <w:lang w:val="ru-RU"/>
        </w:rPr>
        <w:t xml:space="preserve"> </w:t>
      </w:r>
      <w:r>
        <w:rPr>
          <w:rFonts w:ascii="Arial" w:hAnsi="Arial" w:cs="Arial"/>
          <w:sz w:val="24"/>
          <w:szCs w:val="24"/>
          <w:lang w:val="ru-RU"/>
        </w:rPr>
        <w:t xml:space="preserve">температури</w:t>
      </w:r>
      <w:r>
        <w:rPr>
          <w:rFonts w:ascii="Arial" w:hAnsi="Arial" w:cs="Arial"/>
          <w:sz w:val="24"/>
          <w:szCs w:val="24"/>
          <w:lang w:val="ru-RU"/>
        </w:rPr>
        <w:t xml:space="preserve"> по </w:t>
      </w:r>
      <w:r>
        <w:rPr>
          <w:rFonts w:ascii="Arial" w:hAnsi="Arial" w:cs="Arial"/>
          <w:sz w:val="24"/>
          <w:szCs w:val="24"/>
          <w:lang w:val="ru-RU"/>
        </w:rPr>
        <w:t xml:space="preserve">регіону</w:t>
      </w:r>
      <w:r>
        <w:rPr>
          <w:rFonts w:ascii="Arial" w:hAnsi="Arial" w:cs="Arial"/>
          <w:sz w:val="24"/>
          <w:szCs w:val="24"/>
          <w:lang w:val="ru-RU"/>
        </w:rPr>
        <w:t xml:space="preserve"> за </w:t>
      </w:r>
      <w:r>
        <w:rPr>
          <w:rFonts w:ascii="Arial" w:hAnsi="Arial" w:cs="Arial"/>
          <w:sz w:val="24"/>
          <w:szCs w:val="24"/>
          <w:lang w:val="ru-RU"/>
        </w:rPr>
        <w:t xml:space="preserve">період</w:t>
      </w:r>
      <w:r>
        <w:rPr>
          <w:rFonts w:ascii="Arial" w:hAnsi="Arial" w:cs="Arial"/>
          <w:sz w:val="24"/>
          <w:szCs w:val="24"/>
          <w:lang w:val="ru-RU"/>
        </w:rPr>
        <w:t xml:space="preserve"> 1969–2019 </w:t>
      </w:r>
      <w:r>
        <w:rPr>
          <w:rFonts w:ascii="Arial" w:hAnsi="Arial" w:cs="Arial"/>
          <w:sz w:val="24"/>
          <w:szCs w:val="24"/>
          <w:lang w:val="ru-RU"/>
        </w:rPr>
        <w:t xml:space="preserve">рр</w:t>
      </w:r>
      <w:r>
        <w:rPr>
          <w:rFonts w:ascii="Arial" w:hAnsi="Arial" w:cs="Arial"/>
          <w:sz w:val="24"/>
          <w:szCs w:val="24"/>
          <w:lang w:val="ru-RU"/>
        </w:rPr>
        <w:t xml:space="preserve">. становить 4.3 </w:t>
      </w:r>
      <w:r>
        <w:rPr>
          <w:rFonts w:ascii="Arial" w:hAnsi="Arial" w:cs="Arial"/>
          <w:sz w:val="24"/>
          <w:szCs w:val="24"/>
          <w:vertAlign w:val="superscript"/>
          <w:lang w:val="ru-RU"/>
        </w:rPr>
        <w:t xml:space="preserve">о</w:t>
      </w:r>
      <w:r>
        <w:rPr>
          <w:rFonts w:ascii="Arial" w:hAnsi="Arial" w:cs="Arial"/>
          <w:sz w:val="24"/>
          <w:szCs w:val="24"/>
          <w:lang w:val="ru-RU"/>
        </w:rPr>
        <w:t xml:space="preserve">С</w:t>
      </w:r>
      <w:r>
        <w:rPr>
          <w:rFonts w:ascii="Arial" w:hAnsi="Arial" w:cs="Arial"/>
          <w:sz w:val="24"/>
          <w:szCs w:val="24"/>
          <w:lang w:val="ru-RU"/>
        </w:rPr>
        <w:t xml:space="preserve">/100 </w:t>
      </w:r>
      <w:r>
        <w:rPr>
          <w:rFonts w:ascii="Arial" w:hAnsi="Arial" w:cs="Arial"/>
          <w:sz w:val="24"/>
          <w:szCs w:val="24"/>
          <w:lang w:val="ru-RU"/>
        </w:rPr>
        <w:t xml:space="preserve">років</w:t>
      </w:r>
      <w:r/>
    </w:p>
    <w:p>
      <w:pPr>
        <w:jc w:val="both"/>
        <w:spacing w:lineRule="auto" w:line="240" w:after="0"/>
        <w:rPr>
          <w:rFonts w:ascii="Arial" w:hAnsi="Arial" w:cs="Arial"/>
          <w:sz w:val="24"/>
          <w:szCs w:val="24"/>
        </w:rPr>
      </w:pPr>
      <w:r>
        <w:rPr>
          <w:rFonts w:ascii="Arial" w:hAnsi="Arial" w:cs="Arial"/>
          <w:sz w:val="24"/>
          <w:szCs w:val="24"/>
        </w:rPr>
      </w:r>
      <w:r/>
    </w:p>
    <w:p>
      <w:pPr>
        <w:ind w:firstLine="709"/>
        <w:jc w:val="both"/>
        <w:spacing w:lineRule="auto" w:line="240" w:after="0"/>
        <w:rPr>
          <w:rFonts w:ascii="Arial" w:hAnsi="Arial" w:cs="Arial"/>
          <w:b/>
          <w:sz w:val="24"/>
          <w:szCs w:val="24"/>
          <w:lang w:val="uk-UA"/>
        </w:rPr>
      </w:pPr>
      <w:r>
        <w:rPr>
          <w:rFonts w:ascii="Arial" w:hAnsi="Arial" w:cs="Arial"/>
          <w:b/>
          <w:sz w:val="24"/>
          <w:szCs w:val="24"/>
          <w:lang w:val="uk-UA"/>
        </w:rPr>
        <w:t xml:space="preserve">Сценарії можливих змін клімату в регіоні Менської </w:t>
      </w:r>
      <w:r>
        <w:rPr>
          <w:rFonts w:ascii="Arial" w:hAnsi="Arial" w:cs="Arial"/>
          <w:b/>
          <w:sz w:val="24"/>
          <w:szCs w:val="24"/>
          <w:lang w:val="uk-UA"/>
        </w:rPr>
        <w:t xml:space="preserve">територіальної громади</w:t>
      </w:r>
      <w:r>
        <w:rPr>
          <w:rFonts w:ascii="Arial" w:hAnsi="Arial" w:cs="Arial"/>
          <w:b/>
          <w:sz w:val="24"/>
          <w:szCs w:val="24"/>
          <w:lang w:val="uk-UA"/>
        </w:rPr>
        <w:t xml:space="preserve">.</w:t>
      </w:r>
      <w:r/>
    </w:p>
    <w:p>
      <w:pPr>
        <w:jc w:val="both"/>
        <w:spacing w:lineRule="auto" w:line="240" w:after="0"/>
        <w:rPr>
          <w:rFonts w:ascii="Arial" w:hAnsi="Arial" w:cs="Arial"/>
          <w:b/>
          <w:sz w:val="24"/>
          <w:szCs w:val="24"/>
          <w:lang w:val="uk-UA"/>
        </w:rPr>
      </w:pPr>
      <w:r>
        <w:rPr>
          <w:rFonts w:ascii="Arial" w:hAnsi="Arial" w:cs="Arial"/>
          <w:b/>
          <w:sz w:val="24"/>
          <w:szCs w:val="24"/>
          <w:lang w:val="uk-UA"/>
        </w:rPr>
      </w:r>
      <w:r/>
    </w:p>
    <w:p>
      <w:pPr>
        <w:jc w:val="both"/>
        <w:spacing w:lineRule="auto" w:line="240" w:after="0"/>
        <w:rPr>
          <w:rFonts w:ascii="Arial" w:hAnsi="Arial" w:cs="Arial"/>
          <w:sz w:val="24"/>
          <w:szCs w:val="24"/>
          <w:lang w:val="uk-UA"/>
        </w:rPr>
      </w:pPr>
      <w:r>
        <w:rPr>
          <w:rFonts w:ascii="Arial" w:hAnsi="Arial" w:cs="Arial"/>
          <w:sz w:val="24"/>
          <w:szCs w:val="24"/>
          <w:lang w:val="uk-UA"/>
        </w:rPr>
        <w:t xml:space="preserve"> </w:t>
      </w:r>
      <w:r>
        <w:rPr>
          <w:rFonts w:ascii="Arial" w:hAnsi="Arial" w:cs="Arial"/>
          <w:sz w:val="24"/>
          <w:szCs w:val="24"/>
          <w:lang w:val="uk-UA"/>
        </w:rPr>
        <w:tab/>
      </w:r>
      <w:r>
        <w:rPr>
          <w:rFonts w:ascii="Arial" w:hAnsi="Arial" w:cs="Arial"/>
          <w:iCs/>
          <w:sz w:val="24"/>
          <w:szCs w:val="24"/>
          <w:lang w:val="uk-UA"/>
        </w:rPr>
        <w:t xml:space="preserve">Згідно з розробленими нами регіональними сценаріями змін клімату </w:t>
      </w:r>
      <w:r>
        <w:rPr>
          <w:rFonts w:ascii="Arial" w:hAnsi="Arial" w:cs="Arial"/>
          <w:sz w:val="24"/>
          <w:szCs w:val="24"/>
          <w:lang w:val="uk-UA"/>
        </w:rPr>
        <w:t xml:space="preserve">в регіоні очікується підвищення приземної температури на північному сході України до 2050 р. на 2-3 </w:t>
      </w:r>
      <w:r>
        <w:rPr>
          <w:rFonts w:ascii="Arial" w:hAnsi="Arial" w:cs="Arial"/>
          <w:sz w:val="24"/>
          <w:szCs w:val="24"/>
          <w:vertAlign w:val="superscript"/>
          <w:lang w:val="uk-UA"/>
        </w:rPr>
        <w:t xml:space="preserve">о</w:t>
      </w:r>
      <w:r>
        <w:rPr>
          <w:rFonts w:ascii="Arial" w:hAnsi="Arial" w:cs="Arial"/>
          <w:sz w:val="24"/>
          <w:szCs w:val="24"/>
          <w:lang w:val="uk-UA"/>
        </w:rPr>
        <w:t xml:space="preserve">С</w:t>
      </w:r>
      <w:r>
        <w:rPr>
          <w:rFonts w:ascii="Arial" w:hAnsi="Arial" w:cs="Arial"/>
          <w:sz w:val="24"/>
          <w:szCs w:val="24"/>
          <w:lang w:val="uk-UA"/>
        </w:rPr>
        <w:t xml:space="preserve"> (у порівнянні з періодом (1850–1900 рр.). Північно-східні регіони теплішають інтенсивніше, ніж в цілому територія України.</w:t>
      </w:r>
      <w:r/>
    </w:p>
    <w:p>
      <w:pPr>
        <w:jc w:val="both"/>
        <w:spacing w:lineRule="auto" w:line="240" w:after="0"/>
        <w:rPr>
          <w:rFonts w:ascii="Arial" w:hAnsi="Arial" w:cs="Arial"/>
          <w:sz w:val="24"/>
          <w:szCs w:val="24"/>
          <w:lang w:val="uk-UA"/>
        </w:rPr>
      </w:pPr>
      <w:r>
        <w:rPr>
          <w:rFonts w:ascii="Arial" w:hAnsi="Arial" w:cs="Arial"/>
          <w:sz w:val="24"/>
          <w:szCs w:val="24"/>
          <w:lang w:val="uk-UA"/>
        </w:rPr>
      </w:r>
      <w:r/>
    </w:p>
    <w:tbl>
      <w:tblPr>
        <w:tblStyle w:val="521"/>
        <w:tblW w:w="0" w:type="auto"/>
        <w:shd w:val="clear" w:color="auto" w:fill="FFCCCC" w:themeFill="accent4" w:themeFillTint="33"/>
        <w:tblLook w:val="04A0" w:firstRow="1" w:lastRow="0" w:firstColumn="1" w:lastColumn="0" w:noHBand="0" w:noVBand="1"/>
      </w:tblPr>
      <w:tblGrid>
        <w:gridCol w:w="6777"/>
      </w:tblGrid>
      <w:tr>
        <w:trPr/>
        <w:tc>
          <w:tcPr>
            <w:shd w:val="clear" w:color="auto" w:fill="FFCCCC" w:themeFill="accent4" w:themeFillTint="33"/>
            <w:tcW w:w="9620" w:type="dxa"/>
            <w:textDirection w:val="lrTb"/>
            <w:noWrap w:val="false"/>
          </w:tcPr>
          <w:p>
            <w:pPr>
              <w:pStyle w:val="558"/>
              <w:jc w:val="both"/>
              <w:rPr>
                <w:rFonts w:ascii="Arial" w:hAnsi="Arial" w:cs="Arial"/>
                <w:b/>
                <w:sz w:val="24"/>
                <w:szCs w:val="24"/>
                <w:lang w:val="uk-UA"/>
              </w:rPr>
            </w:pPr>
            <w:r>
              <w:rPr>
                <w:rFonts w:ascii="Arial" w:hAnsi="Arial" w:cs="Arial"/>
                <w:b/>
                <w:sz w:val="24"/>
                <w:szCs w:val="24"/>
                <w:lang w:val="uk-UA"/>
              </w:rPr>
              <w:t xml:space="preserve">Основні фактори впливу (загрози) для довкіл</w:t>
            </w:r>
            <w:r>
              <w:rPr>
                <w:rFonts w:ascii="Arial" w:hAnsi="Arial" w:cs="Arial"/>
                <w:b/>
                <w:sz w:val="24"/>
                <w:szCs w:val="24"/>
                <w:lang w:val="uk-UA"/>
              </w:rPr>
              <w:t xml:space="preserve">ля, інфраструктури і населення:</w:t>
            </w:r>
            <w:r/>
          </w:p>
          <w:p>
            <w:pPr>
              <w:pStyle w:val="558"/>
              <w:ind w:firstLine="567"/>
              <w:jc w:val="both"/>
              <w:rPr>
                <w:rFonts w:ascii="Arial" w:hAnsi="Arial" w:cs="Arial"/>
                <w:sz w:val="24"/>
                <w:szCs w:val="24"/>
                <w:lang w:val="uk-UA"/>
              </w:rPr>
            </w:pPr>
            <w:r>
              <w:rPr>
                <w:rFonts w:ascii="Arial" w:hAnsi="Arial" w:cs="Arial"/>
                <w:sz w:val="24"/>
                <w:szCs w:val="24"/>
                <w:lang w:val="uk-UA"/>
              </w:rPr>
              <w:t xml:space="preserve">Загрозами, спричиненими температурними факторами впливу на мешканців, інфраструктуру і навколишнє середовище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можуть бути </w:t>
            </w:r>
            <w:r/>
          </w:p>
          <w:p>
            <w:pPr>
              <w:pStyle w:val="558"/>
              <w:ind w:firstLine="567"/>
              <w:jc w:val="both"/>
              <w:rPr>
                <w:rFonts w:ascii="Arial" w:hAnsi="Arial" w:cs="Arial"/>
                <w:sz w:val="24"/>
                <w:szCs w:val="24"/>
                <w:lang w:val="uk-UA"/>
              </w:rPr>
            </w:pPr>
            <w:r>
              <w:rPr>
                <w:rFonts w:ascii="Arial" w:hAnsi="Arial" w:cs="Arial"/>
                <w:sz w:val="24"/>
                <w:szCs w:val="24"/>
                <w:lang w:val="uk-UA"/>
              </w:rPr>
              <w:t xml:space="preserve">- Температурні аномалії, зокрема, тепловий стрес (різке підвищення температури);</w:t>
            </w:r>
            <w:r/>
          </w:p>
          <w:p>
            <w:pPr>
              <w:pStyle w:val="558"/>
              <w:ind w:firstLine="567"/>
              <w:jc w:val="both"/>
              <w:rPr>
                <w:rFonts w:ascii="Arial" w:hAnsi="Arial" w:cs="Arial"/>
                <w:sz w:val="24"/>
                <w:szCs w:val="24"/>
                <w:lang w:val="uk-UA"/>
              </w:rPr>
            </w:pPr>
            <w:r>
              <w:rPr>
                <w:rFonts w:ascii="Arial" w:hAnsi="Arial" w:cs="Arial"/>
                <w:sz w:val="24"/>
                <w:szCs w:val="24"/>
                <w:lang w:val="uk-UA"/>
              </w:rPr>
              <w:t xml:space="preserve">- </w:t>
            </w:r>
            <w:r>
              <w:rPr>
                <w:rStyle w:val="576"/>
                <w:rFonts w:ascii="Arial" w:hAnsi="Arial" w:cs="Arial"/>
                <w:sz w:val="24"/>
                <w:szCs w:val="24"/>
                <w:lang w:val="ru-RU"/>
              </w:rPr>
              <w:t xml:space="preserve">Хвилі</w:t>
            </w:r>
            <w:r>
              <w:rPr>
                <w:rStyle w:val="576"/>
                <w:rFonts w:ascii="Arial" w:hAnsi="Arial" w:cs="Arial"/>
                <w:sz w:val="24"/>
                <w:szCs w:val="24"/>
                <w:lang w:val="ru-RU"/>
              </w:rPr>
              <w:t xml:space="preserve"> тепла –  </w:t>
            </w:r>
            <w:r>
              <w:rPr>
                <w:rStyle w:val="576"/>
                <w:rFonts w:ascii="Arial" w:hAnsi="Arial" w:cs="Arial"/>
                <w:sz w:val="24"/>
                <w:szCs w:val="24"/>
                <w:lang w:val="ru-RU"/>
              </w:rPr>
              <w:t xml:space="preserve">тривалі</w:t>
            </w:r>
            <w:r>
              <w:rPr>
                <w:rStyle w:val="576"/>
                <w:rFonts w:ascii="Arial" w:hAnsi="Arial" w:cs="Arial"/>
                <w:sz w:val="24"/>
                <w:szCs w:val="24"/>
                <w:lang w:val="ru-RU"/>
              </w:rPr>
              <w:t xml:space="preserve"> </w:t>
            </w:r>
            <w:r>
              <w:rPr>
                <w:rStyle w:val="576"/>
                <w:rFonts w:ascii="Arial" w:hAnsi="Arial" w:cs="Arial"/>
                <w:sz w:val="24"/>
                <w:szCs w:val="24"/>
                <w:lang w:val="ru-RU"/>
              </w:rPr>
              <w:t xml:space="preserve">періоди</w:t>
            </w:r>
            <w:r>
              <w:rPr>
                <w:rStyle w:val="576"/>
                <w:rFonts w:ascii="Arial" w:hAnsi="Arial" w:cs="Arial"/>
                <w:sz w:val="24"/>
                <w:szCs w:val="24"/>
                <w:lang w:val="ru-RU"/>
              </w:rPr>
              <w:t xml:space="preserve"> аномально </w:t>
            </w:r>
            <w:r>
              <w:rPr>
                <w:rStyle w:val="576"/>
                <w:rFonts w:ascii="Arial" w:hAnsi="Arial" w:cs="Arial"/>
                <w:sz w:val="24"/>
                <w:szCs w:val="24"/>
                <w:lang w:val="ru-RU"/>
              </w:rPr>
              <w:t xml:space="preserve">теплої</w:t>
            </w:r>
            <w:r>
              <w:rPr>
                <w:rStyle w:val="576"/>
                <w:rFonts w:ascii="Arial" w:hAnsi="Arial" w:cs="Arial"/>
                <w:sz w:val="24"/>
                <w:szCs w:val="24"/>
                <w:lang w:val="ru-RU"/>
              </w:rPr>
              <w:t xml:space="preserve"> погоди – в </w:t>
            </w:r>
            <w:r>
              <w:rPr>
                <w:rStyle w:val="576"/>
                <w:rFonts w:ascii="Arial" w:hAnsi="Arial" w:cs="Arial"/>
                <w:sz w:val="24"/>
                <w:szCs w:val="24"/>
                <w:lang w:val="ru-RU"/>
              </w:rPr>
              <w:t xml:space="preserve">літній</w:t>
            </w:r>
            <w:r>
              <w:rPr>
                <w:rStyle w:val="576"/>
                <w:rFonts w:ascii="Arial" w:hAnsi="Arial" w:cs="Arial"/>
                <w:sz w:val="24"/>
                <w:szCs w:val="24"/>
                <w:lang w:val="ru-RU"/>
              </w:rPr>
              <w:t xml:space="preserve"> </w:t>
            </w:r>
            <w:r>
              <w:rPr>
                <w:rStyle w:val="576"/>
                <w:rFonts w:ascii="Arial" w:hAnsi="Arial" w:cs="Arial"/>
                <w:sz w:val="24"/>
                <w:szCs w:val="24"/>
                <w:lang w:val="ru-RU"/>
              </w:rPr>
              <w:t xml:space="preserve">період</w:t>
            </w:r>
            <w:r>
              <w:rPr>
                <w:rStyle w:val="576"/>
                <w:rFonts w:ascii="Arial" w:hAnsi="Arial" w:cs="Arial"/>
                <w:sz w:val="24"/>
                <w:szCs w:val="24"/>
                <w:lang w:val="ru-RU"/>
              </w:rPr>
              <w:t xml:space="preserve"> </w:t>
            </w:r>
            <w:r>
              <w:rPr>
                <w:rStyle w:val="576"/>
                <w:rFonts w:ascii="Arial" w:hAnsi="Arial" w:cs="Arial"/>
                <w:sz w:val="24"/>
                <w:szCs w:val="24"/>
                <w:lang w:val="ru-RU"/>
              </w:rPr>
              <w:t xml:space="preserve">завжди</w:t>
            </w:r>
            <w:r>
              <w:rPr>
                <w:rStyle w:val="576"/>
                <w:rFonts w:ascii="Arial" w:hAnsi="Arial" w:cs="Arial"/>
                <w:sz w:val="24"/>
                <w:szCs w:val="24"/>
                <w:lang w:val="ru-RU"/>
              </w:rPr>
              <w:t xml:space="preserve"> </w:t>
            </w:r>
            <w:r>
              <w:rPr>
                <w:rStyle w:val="576"/>
                <w:rFonts w:ascii="Arial" w:hAnsi="Arial" w:cs="Arial"/>
                <w:sz w:val="24"/>
                <w:szCs w:val="24"/>
                <w:lang w:val="ru-RU"/>
              </w:rPr>
              <w:t xml:space="preserve">супроводжуються</w:t>
            </w:r>
            <w:r>
              <w:rPr>
                <w:rStyle w:val="576"/>
                <w:rFonts w:ascii="Arial" w:hAnsi="Arial" w:cs="Arial"/>
                <w:sz w:val="24"/>
                <w:szCs w:val="24"/>
                <w:lang w:val="ru-RU"/>
              </w:rPr>
              <w:t xml:space="preserve"> </w:t>
            </w:r>
            <w:r>
              <w:rPr>
                <w:rStyle w:val="576"/>
                <w:rFonts w:ascii="Arial" w:hAnsi="Arial" w:cs="Arial"/>
                <w:sz w:val="24"/>
                <w:szCs w:val="24"/>
                <w:lang w:val="ru-RU"/>
              </w:rPr>
              <w:t xml:space="preserve">негативними</w:t>
            </w:r>
            <w:r>
              <w:rPr>
                <w:rStyle w:val="576"/>
                <w:rFonts w:ascii="Arial" w:hAnsi="Arial" w:cs="Arial"/>
                <w:sz w:val="24"/>
                <w:szCs w:val="24"/>
                <w:lang w:val="ru-RU"/>
              </w:rPr>
              <w:t xml:space="preserve"> </w:t>
            </w:r>
            <w:r>
              <w:rPr>
                <w:rStyle w:val="576"/>
                <w:rFonts w:ascii="Arial" w:hAnsi="Arial" w:cs="Arial"/>
                <w:sz w:val="24"/>
                <w:szCs w:val="24"/>
                <w:lang w:val="ru-RU"/>
              </w:rPr>
              <w:t xml:space="preserve">наслідками</w:t>
            </w:r>
            <w:r>
              <w:rPr>
                <w:rStyle w:val="576"/>
                <w:rFonts w:ascii="Arial" w:hAnsi="Arial" w:cs="Arial"/>
                <w:sz w:val="24"/>
                <w:szCs w:val="24"/>
                <w:lang w:val="ru-RU"/>
              </w:rPr>
              <w:t xml:space="preserve"> для </w:t>
            </w:r>
            <w:r>
              <w:rPr>
                <w:rStyle w:val="576"/>
                <w:rFonts w:ascii="Arial" w:hAnsi="Arial" w:cs="Arial"/>
                <w:sz w:val="24"/>
                <w:szCs w:val="24"/>
                <w:lang w:val="ru-RU"/>
              </w:rPr>
              <w:t xml:space="preserve">здоров’я</w:t>
            </w:r>
            <w:r>
              <w:rPr>
                <w:rStyle w:val="576"/>
                <w:rFonts w:ascii="Arial" w:hAnsi="Arial" w:cs="Arial"/>
                <w:sz w:val="24"/>
                <w:szCs w:val="24"/>
                <w:lang w:val="ru-RU"/>
              </w:rPr>
              <w:t xml:space="preserve"> людей та </w:t>
            </w:r>
            <w:r>
              <w:rPr>
                <w:rStyle w:val="576"/>
                <w:rFonts w:ascii="Arial" w:hAnsi="Arial" w:cs="Arial"/>
                <w:sz w:val="24"/>
                <w:szCs w:val="24"/>
                <w:lang w:val="ru-RU"/>
              </w:rPr>
              <w:t xml:space="preserve">економіки</w:t>
            </w:r>
            <w:r>
              <w:rPr>
                <w:rStyle w:val="576"/>
                <w:rFonts w:ascii="Arial" w:hAnsi="Arial" w:cs="Arial"/>
                <w:sz w:val="24"/>
                <w:szCs w:val="24"/>
                <w:lang w:val="ru-RU"/>
              </w:rPr>
              <w:t xml:space="preserve">. В </w:t>
            </w:r>
            <w:r>
              <w:rPr>
                <w:rStyle w:val="576"/>
                <w:rFonts w:ascii="Arial" w:hAnsi="Arial" w:cs="Arial"/>
                <w:sz w:val="24"/>
                <w:szCs w:val="24"/>
                <w:lang w:val="ru-RU"/>
              </w:rPr>
              <w:t xml:space="preserve">окремих</w:t>
            </w:r>
            <w:r>
              <w:rPr>
                <w:rStyle w:val="576"/>
                <w:rFonts w:ascii="Arial" w:hAnsi="Arial" w:cs="Arial"/>
                <w:sz w:val="24"/>
                <w:szCs w:val="24"/>
                <w:lang w:val="ru-RU"/>
              </w:rPr>
              <w:t xml:space="preserve"> </w:t>
            </w:r>
            <w:r>
              <w:rPr>
                <w:rStyle w:val="576"/>
                <w:rFonts w:ascii="Arial" w:hAnsi="Arial" w:cs="Arial"/>
                <w:sz w:val="24"/>
                <w:szCs w:val="24"/>
                <w:lang w:val="ru-RU"/>
              </w:rPr>
              <w:t xml:space="preserve">випадках</w:t>
            </w:r>
            <w:r>
              <w:rPr>
                <w:rStyle w:val="576"/>
                <w:rFonts w:ascii="Arial" w:hAnsi="Arial" w:cs="Arial"/>
                <w:sz w:val="24"/>
                <w:szCs w:val="24"/>
                <w:lang w:val="ru-RU"/>
              </w:rPr>
              <w:t xml:space="preserve"> </w:t>
            </w:r>
            <w:r>
              <w:rPr>
                <w:rStyle w:val="576"/>
                <w:rFonts w:ascii="Arial" w:hAnsi="Arial" w:cs="Arial"/>
                <w:sz w:val="24"/>
                <w:szCs w:val="24"/>
                <w:lang w:val="ru-RU"/>
              </w:rPr>
              <w:t xml:space="preserve">тривала</w:t>
            </w:r>
            <w:r>
              <w:rPr>
                <w:rStyle w:val="576"/>
                <w:rFonts w:ascii="Arial" w:hAnsi="Arial" w:cs="Arial"/>
                <w:sz w:val="24"/>
                <w:szCs w:val="24"/>
                <w:lang w:val="ru-RU"/>
              </w:rPr>
              <w:t xml:space="preserve"> </w:t>
            </w:r>
            <w:r>
              <w:rPr>
                <w:rStyle w:val="576"/>
                <w:rFonts w:ascii="Arial" w:hAnsi="Arial" w:cs="Arial"/>
                <w:sz w:val="24"/>
                <w:szCs w:val="24"/>
                <w:lang w:val="ru-RU"/>
              </w:rPr>
              <w:t xml:space="preserve">спека</w:t>
            </w:r>
            <w:r>
              <w:rPr>
                <w:rStyle w:val="576"/>
                <w:rFonts w:ascii="Arial" w:hAnsi="Arial" w:cs="Arial"/>
                <w:sz w:val="24"/>
                <w:szCs w:val="24"/>
                <w:lang w:val="ru-RU"/>
              </w:rPr>
              <w:t xml:space="preserve"> </w:t>
            </w:r>
            <w:r>
              <w:rPr>
                <w:rStyle w:val="576"/>
                <w:rFonts w:ascii="Arial" w:hAnsi="Arial" w:cs="Arial"/>
                <w:sz w:val="24"/>
                <w:szCs w:val="24"/>
                <w:lang w:val="ru-RU"/>
              </w:rPr>
              <w:t xml:space="preserve">може</w:t>
            </w:r>
            <w:r>
              <w:rPr>
                <w:rStyle w:val="576"/>
                <w:rFonts w:ascii="Arial" w:hAnsi="Arial" w:cs="Arial"/>
                <w:sz w:val="24"/>
                <w:szCs w:val="24"/>
                <w:lang w:val="ru-RU"/>
              </w:rPr>
              <w:t xml:space="preserve"> </w:t>
            </w:r>
            <w:r>
              <w:rPr>
                <w:rStyle w:val="576"/>
                <w:rFonts w:ascii="Arial" w:hAnsi="Arial" w:cs="Arial"/>
                <w:sz w:val="24"/>
                <w:szCs w:val="24"/>
                <w:lang w:val="ru-RU"/>
              </w:rPr>
              <w:t xml:space="preserve">призвести</w:t>
            </w:r>
            <w:r>
              <w:rPr>
                <w:rStyle w:val="576"/>
                <w:rFonts w:ascii="Arial" w:hAnsi="Arial" w:cs="Arial"/>
                <w:sz w:val="24"/>
                <w:szCs w:val="24"/>
                <w:lang w:val="ru-RU"/>
              </w:rPr>
              <w:t xml:space="preserve"> </w:t>
            </w:r>
            <w:r>
              <w:rPr>
                <w:rStyle w:val="576"/>
                <w:rFonts w:ascii="Arial" w:hAnsi="Arial" w:cs="Arial"/>
                <w:sz w:val="24"/>
                <w:szCs w:val="24"/>
                <w:lang w:val="ru-RU"/>
              </w:rPr>
              <w:t xml:space="preserve">навіть</w:t>
            </w:r>
            <w:r>
              <w:rPr>
                <w:rStyle w:val="576"/>
                <w:rFonts w:ascii="Arial" w:hAnsi="Arial" w:cs="Arial"/>
                <w:sz w:val="24"/>
                <w:szCs w:val="24"/>
                <w:lang w:val="ru-RU"/>
              </w:rPr>
              <w:t xml:space="preserve"> до </w:t>
            </w:r>
            <w:r>
              <w:rPr>
                <w:rStyle w:val="576"/>
                <w:rFonts w:ascii="Arial" w:hAnsi="Arial" w:cs="Arial"/>
                <w:sz w:val="24"/>
                <w:szCs w:val="24"/>
                <w:lang w:val="ru-RU"/>
              </w:rPr>
              <w:t xml:space="preserve">значних</w:t>
            </w:r>
            <w:r>
              <w:rPr>
                <w:rStyle w:val="576"/>
                <w:rFonts w:ascii="Arial" w:hAnsi="Arial" w:cs="Arial"/>
                <w:sz w:val="24"/>
                <w:szCs w:val="24"/>
                <w:lang w:val="ru-RU"/>
              </w:rPr>
              <w:t xml:space="preserve"> </w:t>
            </w:r>
            <w:r>
              <w:rPr>
                <w:rStyle w:val="576"/>
                <w:rFonts w:ascii="Arial" w:hAnsi="Arial" w:cs="Arial"/>
                <w:sz w:val="24"/>
                <w:szCs w:val="24"/>
                <w:lang w:val="ru-RU"/>
              </w:rPr>
              <w:t xml:space="preserve">людських</w:t>
            </w:r>
            <w:r>
              <w:rPr>
                <w:rStyle w:val="576"/>
                <w:rFonts w:ascii="Arial" w:hAnsi="Arial" w:cs="Arial"/>
                <w:sz w:val="24"/>
                <w:szCs w:val="24"/>
                <w:lang w:val="ru-RU"/>
              </w:rPr>
              <w:t xml:space="preserve"> жертв;</w:t>
            </w:r>
            <w:r/>
          </w:p>
          <w:p>
            <w:pPr>
              <w:pStyle w:val="558"/>
              <w:ind w:firstLine="567"/>
              <w:jc w:val="both"/>
              <w:rPr>
                <w:rFonts w:ascii="Arial" w:hAnsi="Arial" w:cs="Arial"/>
                <w:sz w:val="24"/>
                <w:szCs w:val="24"/>
                <w:lang w:val="uk-UA"/>
              </w:rPr>
            </w:pPr>
            <w:r>
              <w:rPr>
                <w:rFonts w:ascii="Arial" w:hAnsi="Arial" w:cs="Arial"/>
                <w:sz w:val="24"/>
                <w:szCs w:val="24"/>
                <w:lang w:val="uk-UA"/>
              </w:rPr>
              <w:t xml:space="preserve">- Формування умов, сприятливих для виникнення та поширення пожеж, появи смерчів і пилових бур (інтенсивні </w:t>
            </w:r>
            <w:r>
              <w:rPr>
                <w:rFonts w:ascii="Arial" w:hAnsi="Arial" w:cs="Arial"/>
                <w:sz w:val="24"/>
                <w:szCs w:val="24"/>
                <w:lang w:val="uk-UA"/>
              </w:rPr>
              <w:t xml:space="preserve">пожежі були поширені весною 2020 р. в Північному Поліссі);</w:t>
            </w:r>
            <w:r/>
          </w:p>
          <w:p>
            <w:pPr>
              <w:pStyle w:val="558"/>
              <w:ind w:firstLine="567"/>
              <w:jc w:val="both"/>
              <w:rPr>
                <w:rFonts w:ascii="Arial" w:hAnsi="Arial" w:cs="Arial"/>
                <w:b/>
                <w:sz w:val="24"/>
                <w:szCs w:val="24"/>
                <w:lang w:val="uk-UA"/>
              </w:rPr>
            </w:pPr>
            <w:r>
              <w:rPr>
                <w:rFonts w:ascii="Arial" w:hAnsi="Arial" w:cs="Arial"/>
                <w:sz w:val="24"/>
                <w:szCs w:val="24"/>
                <w:lang w:val="uk-UA"/>
              </w:rPr>
              <w:t xml:space="preserve">- Виникнення умов, що спричинюють дефіцит водних ресурсів (малосніжна зима і маловодна вена 2020 р. різко вплинули на водний баланс річок регіону).</w:t>
            </w:r>
            <w:r/>
          </w:p>
        </w:tc>
      </w:tr>
    </w:tbl>
    <w:p>
      <w:pPr>
        <w:pStyle w:val="558"/>
        <w:jc w:val="both"/>
        <w:rPr>
          <w:rFonts w:ascii="Arial" w:hAnsi="Arial" w:cs="Arial"/>
          <w:b/>
          <w:sz w:val="24"/>
          <w:szCs w:val="24"/>
          <w:lang w:val="uk-UA"/>
        </w:rPr>
      </w:pPr>
      <w:r>
        <w:rPr>
          <w:rFonts w:ascii="Arial" w:hAnsi="Arial" w:cs="Arial"/>
          <w:b/>
          <w:sz w:val="24"/>
          <w:szCs w:val="24"/>
          <w:lang w:val="uk-UA"/>
        </w:rPr>
      </w:r>
      <w:r/>
    </w:p>
    <w:p>
      <w:pPr>
        <w:ind w:firstLine="567"/>
        <w:jc w:val="both"/>
        <w:spacing w:lineRule="auto" w:line="240" w:after="0"/>
        <w:rPr>
          <w:rFonts w:ascii="Arial" w:hAnsi="Arial" w:cs="Arial"/>
          <w:b/>
          <w:sz w:val="24"/>
          <w:szCs w:val="24"/>
          <w:lang w:val="uk-UA"/>
        </w:rPr>
      </w:pPr>
      <w:r>
        <w:rPr>
          <w:rFonts w:ascii="Arial" w:hAnsi="Arial" w:cs="Arial"/>
          <w:b/>
          <w:sz w:val="24"/>
          <w:szCs w:val="24"/>
          <w:lang w:val="uk-UA"/>
        </w:rPr>
        <w:t xml:space="preserve">Атмосферні опади та їх динаміка</w:t>
      </w:r>
      <w:r/>
    </w:p>
    <w:p>
      <w:pPr>
        <w:ind w:firstLine="567"/>
        <w:jc w:val="both"/>
        <w:spacing w:lineRule="auto" w:line="240" w:after="0"/>
        <w:rPr>
          <w:rFonts w:ascii="Arial" w:hAnsi="Arial" w:cs="Arial"/>
          <w:b/>
          <w:sz w:val="24"/>
          <w:szCs w:val="24"/>
          <w:lang w:val="uk-UA"/>
        </w:rPr>
      </w:pPr>
      <w:r>
        <w:rPr>
          <w:rFonts w:ascii="Arial" w:hAnsi="Arial" w:cs="Arial"/>
          <w:b/>
          <w:sz w:val="24"/>
          <w:szCs w:val="24"/>
          <w:lang w:val="uk-UA"/>
        </w:rPr>
      </w:r>
      <w:r/>
    </w:p>
    <w:p>
      <w:pPr>
        <w:pStyle w:val="558"/>
        <w:ind w:firstLine="567"/>
        <w:jc w:val="both"/>
        <w:rPr>
          <w:rFonts w:ascii="Arial" w:hAnsi="Arial" w:cs="Arial"/>
          <w:sz w:val="24"/>
          <w:szCs w:val="24"/>
          <w:lang w:val="uk-UA"/>
        </w:rPr>
      </w:pPr>
      <w:r>
        <w:rPr>
          <w:rFonts w:ascii="Arial" w:hAnsi="Arial" w:cs="Arial"/>
          <w:sz w:val="24"/>
          <w:szCs w:val="24"/>
          <w:lang w:val="uk-UA"/>
        </w:rPr>
        <w:t xml:space="preserve">Основні моніторингові дані стосовно атмосферних опа</w:t>
      </w:r>
      <w:r>
        <w:rPr>
          <w:rFonts w:ascii="Arial" w:hAnsi="Arial" w:cs="Arial"/>
          <w:sz w:val="24"/>
          <w:szCs w:val="24"/>
          <w:lang w:val="uk-UA"/>
        </w:rPr>
        <w:t xml:space="preserve">дів в регіоні Менської міської територіальної громади</w:t>
      </w:r>
      <w:r>
        <w:rPr>
          <w:rFonts w:ascii="Arial" w:hAnsi="Arial" w:cs="Arial"/>
          <w:sz w:val="24"/>
          <w:szCs w:val="24"/>
          <w:lang w:val="uk-UA"/>
        </w:rPr>
        <w:t xml:space="preserve"> представлені в таблицях 1, 3, 4 та на рисунках  4-5.  З аналізу цих даних випливають наступні висновки.</w:t>
      </w:r>
      <w:r/>
    </w:p>
    <w:p>
      <w:pPr>
        <w:pStyle w:val="558"/>
        <w:ind w:firstLine="567"/>
        <w:jc w:val="both"/>
        <w:rPr>
          <w:rFonts w:ascii="Arial" w:hAnsi="Arial" w:cs="Arial"/>
          <w:color w:val="000000"/>
          <w:sz w:val="24"/>
          <w:szCs w:val="24"/>
          <w:lang w:val="uk-UA"/>
        </w:rPr>
      </w:pPr>
      <w:r>
        <w:rPr>
          <w:rFonts w:ascii="Arial" w:hAnsi="Arial" w:cs="Arial"/>
          <w:sz w:val="24"/>
          <w:szCs w:val="24"/>
          <w:shd w:val="clear" w:color="auto" w:fill="FFFFFF"/>
          <w:lang w:val="uk-UA"/>
        </w:rPr>
        <w:t xml:space="preserve">В цьому регіоні випадає протягом року 600-</w:t>
      </w:r>
      <w:r>
        <w:rPr>
          <w:rFonts w:ascii="Arial" w:hAnsi="Arial" w:cs="Arial"/>
          <w:color w:val="000000"/>
          <w:sz w:val="24"/>
          <w:szCs w:val="24"/>
          <w:shd w:val="clear" w:color="auto" w:fill="FFFFFF"/>
          <w:lang w:val="uk-UA"/>
        </w:rPr>
        <w:t xml:space="preserve">630 </w:t>
      </w:r>
      <w:r>
        <w:rPr>
          <w:rFonts w:ascii="Arial" w:hAnsi="Arial" w:cs="Arial"/>
          <w:sz w:val="24"/>
          <w:szCs w:val="24"/>
          <w:shd w:val="clear" w:color="auto" w:fill="FFFFFF"/>
          <w:lang w:val="uk-UA"/>
        </w:rPr>
        <w:t xml:space="preserve">мм/рік атмосферних опадів (табл. 1). </w:t>
      </w:r>
      <w:r>
        <w:rPr>
          <w:rFonts w:ascii="Arial" w:hAnsi="Arial" w:cs="Arial"/>
          <w:color w:val="000000"/>
          <w:sz w:val="24"/>
          <w:szCs w:val="24"/>
          <w:shd w:val="clear" w:color="auto" w:fill="FFFFFF"/>
          <w:lang w:val="uk-UA"/>
        </w:rPr>
        <w:t xml:space="preserve">Опади бувають переважно Кількість днів з дощем - до 100 за рік (переважно влітку), в середньому за місяць випадає 90–70</w:t>
      </w:r>
      <w:r>
        <w:rPr>
          <w:rFonts w:ascii="Arial" w:hAnsi="Arial" w:cs="Arial"/>
          <w:color w:val="222222"/>
          <w:sz w:val="24"/>
          <w:szCs w:val="24"/>
          <w:shd w:val="clear" w:color="auto" w:fill="FFFFFF"/>
          <w:lang w:val="uk-UA"/>
        </w:rPr>
        <w:t xml:space="preserve"> мм/міс. К</w:t>
      </w:r>
      <w:r>
        <w:rPr>
          <w:rFonts w:ascii="Arial" w:hAnsi="Arial" w:cs="Arial"/>
          <w:color w:val="000000"/>
          <w:sz w:val="24"/>
          <w:szCs w:val="24"/>
          <w:shd w:val="clear" w:color="auto" w:fill="FFFFFF"/>
          <w:lang w:val="uk-UA"/>
        </w:rPr>
        <w:t xml:space="preserve">ількість днів зі снігом - 59</w:t>
      </w:r>
      <w:r>
        <w:rPr>
          <w:rFonts w:ascii="Arial" w:hAnsi="Arial" w:cs="Arial"/>
          <w:color w:val="222222"/>
          <w:sz w:val="24"/>
          <w:szCs w:val="24"/>
          <w:shd w:val="clear" w:color="auto" w:fill="FFFFFF"/>
          <w:lang w:val="uk-UA"/>
        </w:rPr>
        <w:t xml:space="preserve">, в зимовий період випадає біля 40-50 мм/ міс, а в весною і восени в межах 35–45 мм/міс. Максимум опадів випадає в теплий період року (березень–жовтень) – </w:t>
      </w:r>
      <w:r>
        <w:rPr>
          <w:rFonts w:ascii="Arial" w:hAnsi="Arial" w:cs="Arial"/>
          <w:color w:val="000000"/>
          <w:sz w:val="24"/>
          <w:szCs w:val="24"/>
          <w:shd w:val="clear" w:color="auto" w:fill="FFFFFF"/>
          <w:lang w:val="uk-UA"/>
        </w:rPr>
        <w:t xml:space="preserve">415-390 </w:t>
      </w:r>
      <w:r>
        <w:rPr>
          <w:rFonts w:ascii="Arial" w:hAnsi="Arial" w:cs="Arial"/>
          <w:color w:val="222222"/>
          <w:sz w:val="24"/>
          <w:szCs w:val="24"/>
          <w:shd w:val="clear" w:color="auto" w:fill="FFFFFF"/>
          <w:lang w:val="uk-UA"/>
        </w:rPr>
        <w:t xml:space="preserve">мм.</w:t>
      </w:r>
      <w:r>
        <w:rPr>
          <w:rFonts w:ascii="Arial" w:hAnsi="Arial" w:cs="Arial"/>
          <w:color w:val="000000"/>
          <w:sz w:val="24"/>
          <w:szCs w:val="24"/>
          <w:lang w:val="uk-UA"/>
        </w:rPr>
        <w:t xml:space="preserve">, в холодний період - 220-215 мм. Висота снігового покриву до 25 см.</w:t>
      </w:r>
      <w:r/>
    </w:p>
    <w:p>
      <w:pPr>
        <w:pStyle w:val="558"/>
        <w:ind w:firstLine="567"/>
        <w:jc w:val="both"/>
        <w:rPr>
          <w:rFonts w:ascii="Arial" w:hAnsi="Arial" w:cs="Arial"/>
          <w:color w:val="000000"/>
          <w:sz w:val="24"/>
          <w:szCs w:val="24"/>
          <w:lang w:val="uk-UA"/>
        </w:rPr>
      </w:pPr>
      <w:r>
        <w:rPr>
          <w:rFonts w:ascii="Arial" w:hAnsi="Arial" w:cs="Arial"/>
          <w:sz w:val="24"/>
          <w:szCs w:val="24"/>
          <w:lang w:val="uk-UA"/>
        </w:rPr>
        <w:t xml:space="preserve">За період 1970-2018 рр. в цьому регіоні не відбулося змін в річній сумі опадів (зафіксоване збільшення на 1% - в межах статистичної похиб</w:t>
      </w:r>
      <w:r>
        <w:rPr>
          <w:rFonts w:ascii="Arial" w:hAnsi="Arial" w:cs="Arial"/>
          <w:sz w:val="24"/>
          <w:szCs w:val="24"/>
          <w:lang w:val="uk-UA"/>
        </w:rPr>
        <w:t xml:space="preserve">ки). Разом з тим, спостерігаються зміни в сезонному ході. Зокрема,  зафіксовано характерне зменшення опадів в липні-серпні (до 10 %, в останні роки - на фоні аномально високих температур. В окремі роки зменшення кількості опадів в літній період сягало 25%.</w:t>
      </w:r>
      <w:r/>
    </w:p>
    <w:p>
      <w:pPr>
        <w:pStyle w:val="558"/>
        <w:ind w:firstLine="567"/>
        <w:jc w:val="both"/>
        <w:rPr>
          <w:rFonts w:ascii="Arial" w:hAnsi="Arial" w:cs="Arial" w:eastAsia="Times New Roman"/>
          <w:sz w:val="24"/>
          <w:szCs w:val="24"/>
          <w:lang w:val="uk-UA" w:eastAsia="ru-RU"/>
        </w:rPr>
      </w:pPr>
      <w:r>
        <w:rPr>
          <w:rFonts w:ascii="Arial" w:hAnsi="Arial" w:cs="Arial" w:eastAsia="Times New Roman"/>
          <w:sz w:val="24"/>
          <w:szCs w:val="24"/>
          <w:lang w:val="uk-UA" w:eastAsia="ru-RU"/>
        </w:rPr>
        <w:t xml:space="preserve">Найбільш вологим роком за вказаний період спостережень був 1970-й (794 мм, Чернігів). Найменше опадів випало у 1972 році – </w:t>
      </w:r>
      <w:r>
        <w:rPr>
          <w:rFonts w:ascii="Arial" w:hAnsi="Arial" w:cs="Arial"/>
          <w:sz w:val="24"/>
          <w:szCs w:val="24"/>
          <w:lang w:val="uk-UA"/>
        </w:rPr>
        <w:t xml:space="preserve">337</w:t>
      </w:r>
      <w:r>
        <w:rPr>
          <w:rFonts w:ascii="Arial" w:hAnsi="Arial" w:cs="Arial" w:eastAsia="Times New Roman"/>
          <w:sz w:val="24"/>
          <w:szCs w:val="24"/>
          <w:lang w:val="uk-UA" w:eastAsia="ru-RU"/>
        </w:rPr>
        <w:t xml:space="preserve"> мм (табл. 4). </w:t>
      </w:r>
      <w:r/>
    </w:p>
    <w:p>
      <w:pPr>
        <w:ind w:firstLine="567"/>
        <w:jc w:val="both"/>
        <w:spacing w:lineRule="auto" w:line="240" w:after="0"/>
        <w:rPr>
          <w:rFonts w:ascii="Arial" w:hAnsi="Arial" w:cs="Arial"/>
          <w:sz w:val="24"/>
          <w:szCs w:val="24"/>
          <w:lang w:val="uk-UA"/>
        </w:rPr>
      </w:pPr>
      <w:r>
        <w:rPr>
          <w:rFonts w:ascii="Arial" w:hAnsi="Arial" w:cs="Arial"/>
          <w:sz w:val="24"/>
          <w:szCs w:val="24"/>
          <w:lang w:val="uk-UA"/>
        </w:rPr>
        <w:t xml:space="preserve">Кількість днів з дощем є порівняно невисокою (в середньому 115), але змінюється з року в рік (табл. 4) і демонструє тенденцію до зниження (-4.4 за 10 років).</w:t>
      </w:r>
      <w:r/>
    </w:p>
    <w:p>
      <w:pPr>
        <w:pStyle w:val="539"/>
        <w:ind w:left="0" w:firstLine="567"/>
        <w:jc w:val="both"/>
        <w:spacing w:lineRule="auto" w:line="240" w:after="0"/>
        <w:tabs>
          <w:tab w:val="left" w:pos="709" w:leader="none"/>
        </w:tabs>
        <w:rPr>
          <w:rFonts w:ascii="Arial" w:hAnsi="Arial" w:cs="Arial"/>
          <w:sz w:val="24"/>
          <w:szCs w:val="24"/>
        </w:rPr>
      </w:pPr>
      <w:r>
        <w:rPr>
          <w:rFonts w:ascii="Arial" w:hAnsi="Arial" w:cs="Arial"/>
          <w:sz w:val="24"/>
          <w:szCs w:val="24"/>
        </w:rPr>
        <w:t xml:space="preserve">Кількість</w:t>
      </w:r>
      <w:r>
        <w:rPr>
          <w:rFonts w:ascii="Arial" w:hAnsi="Arial" w:cs="Arial"/>
          <w:sz w:val="24"/>
          <w:szCs w:val="24"/>
        </w:rPr>
        <w:t xml:space="preserve"> </w:t>
      </w:r>
      <w:r>
        <w:rPr>
          <w:rFonts w:ascii="Arial" w:hAnsi="Arial" w:cs="Arial"/>
          <w:sz w:val="24"/>
          <w:szCs w:val="24"/>
        </w:rPr>
        <w:t xml:space="preserve">днів</w:t>
      </w:r>
      <w:r>
        <w:rPr>
          <w:rFonts w:ascii="Arial" w:hAnsi="Arial" w:cs="Arial"/>
          <w:sz w:val="24"/>
          <w:szCs w:val="24"/>
        </w:rPr>
        <w:t xml:space="preserve"> з градом є </w:t>
      </w:r>
      <w:r>
        <w:rPr>
          <w:rFonts w:ascii="Arial" w:hAnsi="Arial" w:cs="Arial"/>
          <w:sz w:val="24"/>
          <w:szCs w:val="24"/>
        </w:rPr>
        <w:t xml:space="preserve">незначною</w:t>
      </w:r>
      <w:r>
        <w:rPr>
          <w:rFonts w:ascii="Arial" w:hAnsi="Arial" w:cs="Arial"/>
          <w:sz w:val="24"/>
          <w:szCs w:val="24"/>
        </w:rPr>
        <w:t xml:space="preserve"> (до 3 </w:t>
      </w:r>
      <w:r>
        <w:rPr>
          <w:rFonts w:ascii="Arial" w:hAnsi="Arial" w:cs="Arial"/>
          <w:sz w:val="24"/>
          <w:szCs w:val="24"/>
        </w:rPr>
        <w:t xml:space="preserve">нарік</w:t>
      </w:r>
      <w:r>
        <w:rPr>
          <w:rFonts w:ascii="Arial" w:hAnsi="Arial" w:cs="Arial"/>
          <w:sz w:val="24"/>
          <w:szCs w:val="24"/>
        </w:rPr>
        <w:t xml:space="preserve">), але </w:t>
      </w:r>
      <w:r>
        <w:rPr>
          <w:rFonts w:ascii="Arial" w:hAnsi="Arial" w:cs="Arial"/>
          <w:sz w:val="24"/>
          <w:szCs w:val="24"/>
        </w:rPr>
        <w:t xml:space="preserve">таке</w:t>
      </w:r>
      <w:r>
        <w:rPr>
          <w:rFonts w:ascii="Arial" w:hAnsi="Arial" w:cs="Arial"/>
          <w:sz w:val="24"/>
          <w:szCs w:val="24"/>
        </w:rPr>
        <w:t xml:space="preserve"> </w:t>
      </w:r>
      <w:r>
        <w:rPr>
          <w:rFonts w:ascii="Arial" w:hAnsi="Arial" w:cs="Arial"/>
          <w:sz w:val="24"/>
          <w:szCs w:val="24"/>
        </w:rPr>
        <w:t xml:space="preserve">трапляється</w:t>
      </w:r>
      <w:r>
        <w:rPr>
          <w:rFonts w:ascii="Arial" w:hAnsi="Arial" w:cs="Arial"/>
          <w:sz w:val="24"/>
          <w:szCs w:val="24"/>
        </w:rPr>
        <w:t xml:space="preserve"> не кожного року. </w:t>
      </w:r>
      <w:r>
        <w:rPr>
          <w:rFonts w:ascii="Arial" w:hAnsi="Arial" w:cs="Arial"/>
          <w:sz w:val="24"/>
          <w:szCs w:val="24"/>
        </w:rPr>
        <w:t xml:space="preserve">середнє</w:t>
      </w:r>
      <w:r>
        <w:rPr>
          <w:rFonts w:ascii="Arial" w:hAnsi="Arial" w:cs="Arial"/>
          <w:sz w:val="24"/>
          <w:szCs w:val="24"/>
        </w:rPr>
        <w:t xml:space="preserve"> число </w:t>
      </w:r>
      <w:r>
        <w:rPr>
          <w:rFonts w:ascii="Arial" w:hAnsi="Arial" w:cs="Arial"/>
          <w:sz w:val="24"/>
          <w:szCs w:val="24"/>
        </w:rPr>
        <w:t xml:space="preserve">днів</w:t>
      </w:r>
      <w:r>
        <w:rPr>
          <w:rFonts w:ascii="Arial" w:hAnsi="Arial" w:cs="Arial"/>
          <w:sz w:val="24"/>
          <w:szCs w:val="24"/>
        </w:rPr>
        <w:t xml:space="preserve"> з грозою за </w:t>
      </w:r>
      <w:r>
        <w:rPr>
          <w:rFonts w:ascii="Arial" w:hAnsi="Arial" w:cs="Arial"/>
          <w:sz w:val="24"/>
          <w:szCs w:val="24"/>
        </w:rPr>
        <w:t xml:space="preserve">рік</w:t>
      </w:r>
      <w:r>
        <w:rPr>
          <w:rFonts w:ascii="Arial" w:hAnsi="Arial" w:cs="Arial"/>
          <w:sz w:val="24"/>
          <w:szCs w:val="24"/>
        </w:rPr>
        <w:t xml:space="preserve"> – 14; </w:t>
      </w:r>
      <w:r>
        <w:rPr>
          <w:rFonts w:ascii="Arial" w:hAnsi="Arial" w:cs="Arial"/>
          <w:sz w:val="24"/>
          <w:szCs w:val="24"/>
        </w:rPr>
        <w:t xml:space="preserve">середнє</w:t>
      </w:r>
      <w:r>
        <w:rPr>
          <w:rFonts w:ascii="Arial" w:hAnsi="Arial" w:cs="Arial"/>
          <w:sz w:val="24"/>
          <w:szCs w:val="24"/>
        </w:rPr>
        <w:t xml:space="preserve"> число </w:t>
      </w:r>
      <w:r>
        <w:rPr>
          <w:rFonts w:ascii="Arial" w:hAnsi="Arial" w:cs="Arial"/>
          <w:sz w:val="24"/>
          <w:szCs w:val="24"/>
        </w:rPr>
        <w:t xml:space="preserve">днів</w:t>
      </w:r>
      <w:r>
        <w:rPr>
          <w:rFonts w:ascii="Arial" w:hAnsi="Arial" w:cs="Arial"/>
          <w:sz w:val="24"/>
          <w:szCs w:val="24"/>
        </w:rPr>
        <w:t xml:space="preserve"> з туманом – 33.</w:t>
      </w:r>
      <w:r/>
    </w:p>
    <w:p>
      <w:pPr>
        <w:jc w:val="both"/>
        <w:spacing w:lineRule="auto" w:line="240" w:after="0"/>
        <w:rPr>
          <w:rFonts w:ascii="Arial" w:hAnsi="Arial" w:cs="Arial"/>
          <w:sz w:val="24"/>
          <w:szCs w:val="24"/>
        </w:rPr>
      </w:pPr>
      <w:r>
        <w:rPr>
          <w:rFonts w:ascii="Arial" w:hAnsi="Arial" w:cs="Arial"/>
          <w:sz w:val="24"/>
          <w:szCs w:val="24"/>
        </w:rPr>
      </w:r>
      <w:r/>
    </w:p>
    <w:p>
      <w:pPr>
        <w:ind w:left="426" w:right="140"/>
        <w:jc w:val="both"/>
        <w:spacing w:lineRule="auto" w:line="240" w:after="120" w:before="120"/>
        <w:rPr>
          <w:rFonts w:ascii="Arial" w:hAnsi="Arial" w:cs="Arial"/>
          <w:b/>
          <w:sz w:val="24"/>
          <w:szCs w:val="24"/>
          <w:shd w:val="clear" w:color="auto" w:fill="FFFFFF"/>
          <w:lang w:val="uk-UA"/>
        </w:rPr>
        <w:sectPr>
          <w:footnotePr/>
          <w:type w:val="continuous"/>
          <w:pgSz w:w="16839" w:h="11907" w:orient="landscape"/>
          <w:pgMar w:top="1440" w:right="1104" w:bottom="1170" w:left="1440" w:header="720" w:footer="720"/>
          <w:cols w:num="2" w:sep="0" w:space="720" w:equalWidth="1"/>
          <w:docGrid w:linePitch="360"/>
        </w:sectPr>
      </w:pPr>
      <w:r>
        <w:rPr>
          <w:rFonts w:ascii="Arial" w:hAnsi="Arial" w:cs="Arial"/>
          <w:b/>
          <w:sz w:val="24"/>
          <w:szCs w:val="24"/>
          <w:shd w:val="clear" w:color="auto" w:fill="FFFFFF"/>
          <w:lang w:val="uk-UA"/>
        </w:rPr>
      </w:r>
      <w:r/>
    </w:p>
    <w:p>
      <w:pPr>
        <w:ind w:left="426" w:right="140"/>
        <w:jc w:val="both"/>
        <w:spacing w:lineRule="auto" w:line="240" w:after="120" w:before="120"/>
        <w:rPr>
          <w:rFonts w:ascii="Arial" w:hAnsi="Arial" w:cs="Arial"/>
          <w:b/>
          <w:color w:val="222222"/>
          <w:sz w:val="24"/>
          <w:szCs w:val="24"/>
          <w:shd w:val="clear" w:color="auto" w:fill="FFFFFF"/>
          <w:lang w:val="uk-UA"/>
        </w:rPr>
      </w:pPr>
      <w:r>
        <w:rPr>
          <w:rFonts w:ascii="Arial" w:hAnsi="Arial" w:cs="Arial"/>
          <w:b/>
          <w:sz w:val="24"/>
          <w:szCs w:val="24"/>
          <w:shd w:val="clear" w:color="auto" w:fill="FFFFFF"/>
          <w:lang w:val="uk-UA"/>
        </w:rPr>
        <w:t xml:space="preserve">Таблиця 3.</w:t>
      </w:r>
      <w:r>
        <w:rPr>
          <w:rFonts w:ascii="Arial" w:hAnsi="Arial" w:cs="Arial"/>
          <w:b/>
          <w:bCs/>
          <w:sz w:val="24"/>
          <w:szCs w:val="24"/>
          <w:shd w:val="clear" w:color="auto" w:fill="FFFFFF"/>
          <w:lang w:val="uk-UA"/>
        </w:rPr>
        <w:t xml:space="preserve"> </w:t>
      </w:r>
      <w:r>
        <w:rPr>
          <w:rFonts w:ascii="Arial" w:hAnsi="Arial" w:cs="Arial"/>
          <w:b/>
          <w:sz w:val="24"/>
          <w:szCs w:val="24"/>
          <w:shd w:val="clear" w:color="auto" w:fill="FFFFFF"/>
          <w:lang w:val="uk-UA"/>
        </w:rPr>
        <w:t xml:space="preserve">Основні параметри сезонного ходу</w:t>
      </w:r>
      <w:r>
        <w:rPr>
          <w:rFonts w:ascii="Arial" w:hAnsi="Arial" w:cs="Arial"/>
          <w:b/>
          <w:bCs/>
          <w:sz w:val="24"/>
          <w:szCs w:val="24"/>
          <w:shd w:val="clear" w:color="auto" w:fill="FFFFFF"/>
          <w:lang w:val="uk-UA"/>
        </w:rPr>
        <w:t xml:space="preserve"> суми атмосферних опадів на метеостанціях </w:t>
      </w:r>
      <w:r>
        <w:rPr>
          <w:rFonts w:ascii="Arial" w:hAnsi="Arial" w:cs="Arial"/>
          <w:b/>
          <w:color w:val="222222"/>
          <w:sz w:val="24"/>
          <w:szCs w:val="24"/>
          <w:shd w:val="clear" w:color="auto" w:fill="FFFFFF"/>
          <w:lang w:val="uk-UA"/>
        </w:rPr>
        <w:t xml:space="preserve">Сновськ і Чернігів для періоду19</w:t>
      </w:r>
      <w:r>
        <w:rPr>
          <w:rFonts w:ascii="Arial" w:hAnsi="Arial" w:cs="Arial"/>
          <w:b/>
          <w:color w:val="222222"/>
          <w:sz w:val="24"/>
          <w:szCs w:val="24"/>
          <w:shd w:val="clear" w:color="auto" w:fill="FFFFFF"/>
          <w:lang w:val="uk-UA"/>
        </w:rPr>
        <w:t xml:space="preserve">61–1990 рр.</w:t>
      </w:r>
      <w:r/>
    </w:p>
    <w:tbl>
      <w:tblPr>
        <w:tblW w:w="14370"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4A0" w:firstRow="1" w:lastRow="0" w:firstColumn="1" w:lastColumn="0" w:noHBand="0" w:noVBand="1"/>
      </w:tblPr>
      <w:tblGrid>
        <w:gridCol w:w="1812"/>
        <w:gridCol w:w="29"/>
        <w:gridCol w:w="803"/>
        <w:gridCol w:w="45"/>
        <w:gridCol w:w="132"/>
        <w:gridCol w:w="547"/>
        <w:gridCol w:w="58"/>
        <w:gridCol w:w="208"/>
        <w:gridCol w:w="570"/>
        <w:gridCol w:w="72"/>
        <w:gridCol w:w="171"/>
        <w:gridCol w:w="593"/>
        <w:gridCol w:w="86"/>
        <w:gridCol w:w="134"/>
        <w:gridCol w:w="616"/>
        <w:gridCol w:w="100"/>
        <w:gridCol w:w="97"/>
        <w:gridCol w:w="639"/>
        <w:gridCol w:w="114"/>
        <w:gridCol w:w="60"/>
        <w:gridCol w:w="661"/>
        <w:gridCol w:w="128"/>
        <w:gridCol w:w="23"/>
        <w:gridCol w:w="685"/>
        <w:gridCol w:w="128"/>
        <w:gridCol w:w="14"/>
        <w:gridCol w:w="694"/>
        <w:gridCol w:w="105"/>
        <w:gridCol w:w="51"/>
        <w:gridCol w:w="680"/>
        <w:gridCol w:w="82"/>
        <w:gridCol w:w="88"/>
        <w:gridCol w:w="666"/>
        <w:gridCol w:w="59"/>
        <w:gridCol w:w="125"/>
        <w:gridCol w:w="693"/>
        <w:gridCol w:w="44"/>
        <w:gridCol w:w="952"/>
        <w:gridCol w:w="837"/>
        <w:gridCol w:w="747"/>
        <w:gridCol w:w="12"/>
        <w:gridCol w:w="10"/>
      </w:tblGrid>
      <w:tr>
        <w:trPr>
          <w:jc w:val="center"/>
          <w:trHeight w:val="463"/>
        </w:trPr>
        <w:tc>
          <w:tcPr>
            <w:gridSpan w:val="42"/>
            <w:tcW w:w="14370" w:type="dxa"/>
            <w:vAlign w:val="bottom"/>
            <w:textDirection w:val="lrTb"/>
            <w:noWrap/>
          </w:tcPr>
          <w:p>
            <w:pPr>
              <w:jc w:val="both"/>
              <w:spacing w:lineRule="auto" w:line="240" w:after="0"/>
              <w:rPr>
                <w:rFonts w:ascii="Arial" w:hAnsi="Arial" w:cs="Arial"/>
                <w:b/>
                <w:sz w:val="24"/>
                <w:szCs w:val="24"/>
                <w:lang w:val="uk-UA"/>
              </w:rPr>
            </w:pPr>
            <w:r>
              <w:rPr>
                <w:rFonts w:ascii="Arial" w:hAnsi="Arial" w:cs="Arial"/>
                <w:b/>
                <w:sz w:val="24"/>
                <w:szCs w:val="24"/>
                <w:shd w:val="clear" w:color="auto" w:fill="FFFFFF"/>
                <w:lang w:val="uk-UA"/>
              </w:rPr>
              <w:t xml:space="preserve">Атмосферні опади</w:t>
            </w:r>
            <w:r/>
          </w:p>
        </w:tc>
      </w:tr>
      <w:tr>
        <w:trPr>
          <w:cantSplit/>
          <w:gridAfter w:val="2"/>
          <w:jc w:val="center"/>
          <w:trHeight w:val="1942"/>
        </w:trPr>
        <w:tc>
          <w:tcPr>
            <w:tcW w:w="1812" w:type="dxa"/>
            <w:vAlign w:val="center"/>
            <w:textDirection w:val="lrTb"/>
            <w:noWrap w:val="false"/>
          </w:tcPr>
          <w:p>
            <w:pPr>
              <w:ind w:left="-93"/>
              <w:jc w:val="both"/>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Характеристика</w:t>
            </w:r>
            <w:r/>
          </w:p>
        </w:tc>
        <w:tc>
          <w:tcPr>
            <w:gridSpan w:val="4"/>
            <w:tcW w:w="1009"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1</w:t>
            </w:r>
            <w:r/>
          </w:p>
        </w:tc>
        <w:tc>
          <w:tcPr>
            <w:gridSpan w:val="3"/>
            <w:tcW w:w="813"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2</w:t>
            </w:r>
            <w:r/>
          </w:p>
        </w:tc>
        <w:tc>
          <w:tcPr>
            <w:gridSpan w:val="3"/>
            <w:tcW w:w="813"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3</w:t>
            </w:r>
            <w:r/>
          </w:p>
        </w:tc>
        <w:tc>
          <w:tcPr>
            <w:gridSpan w:val="3"/>
            <w:tcW w:w="813"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4</w:t>
            </w:r>
            <w:r/>
          </w:p>
        </w:tc>
        <w:tc>
          <w:tcPr>
            <w:gridSpan w:val="3"/>
            <w:tcW w:w="813"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5</w:t>
            </w:r>
            <w:r/>
          </w:p>
        </w:tc>
        <w:tc>
          <w:tcPr>
            <w:gridSpan w:val="3"/>
            <w:tcW w:w="813"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6</w:t>
            </w:r>
            <w:r/>
          </w:p>
        </w:tc>
        <w:tc>
          <w:tcPr>
            <w:gridSpan w:val="3"/>
            <w:tcW w:w="812"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7</w:t>
            </w:r>
            <w:r/>
          </w:p>
        </w:tc>
        <w:tc>
          <w:tcPr>
            <w:gridSpan w:val="2"/>
            <w:tcW w:w="813"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8</w:t>
            </w:r>
            <w:r/>
          </w:p>
        </w:tc>
        <w:tc>
          <w:tcPr>
            <w:gridSpan w:val="3"/>
            <w:tcW w:w="813"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9</w:t>
            </w:r>
            <w:r/>
          </w:p>
        </w:tc>
        <w:tc>
          <w:tcPr>
            <w:gridSpan w:val="3"/>
            <w:tcW w:w="813"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10</w:t>
            </w:r>
            <w:r/>
          </w:p>
        </w:tc>
        <w:tc>
          <w:tcPr>
            <w:gridSpan w:val="3"/>
            <w:tcW w:w="813"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11</w:t>
            </w:r>
            <w:r/>
          </w:p>
        </w:tc>
        <w:tc>
          <w:tcPr>
            <w:gridSpan w:val="2"/>
            <w:tcW w:w="818" w:type="dxa"/>
            <w:vAlign w:val="bottom"/>
            <w:textDirection w:val="lrTb"/>
            <w:noWrap w:val="false"/>
          </w:tcPr>
          <w:p>
            <w:pPr>
              <w:jc w:val="both"/>
              <w:spacing w:lineRule="auto" w:line="240" w:after="360"/>
              <w:rPr>
                <w:rFonts w:ascii="Arial" w:hAnsi="Arial" w:cs="Arial"/>
                <w:b/>
                <w:color w:val="000000"/>
                <w:sz w:val="24"/>
                <w:szCs w:val="24"/>
                <w:lang w:val="uk-UA"/>
              </w:rPr>
            </w:pPr>
            <w:r>
              <w:rPr>
                <w:rFonts w:ascii="Arial" w:hAnsi="Arial" w:cs="Arial"/>
                <w:b/>
                <w:color w:val="000000"/>
                <w:sz w:val="24"/>
                <w:szCs w:val="24"/>
                <w:lang w:val="uk-UA"/>
              </w:rPr>
              <w:t xml:space="preserve">12</w:t>
            </w:r>
            <w:r/>
          </w:p>
        </w:tc>
        <w:tc>
          <w:tcPr>
            <w:gridSpan w:val="2"/>
            <w:tcW w:w="996" w:type="dxa"/>
            <w:vAlign w:val="center"/>
            <w:textDirection w:val="btLr"/>
            <w:noWrap w:val="false"/>
          </w:tcPr>
          <w:p>
            <w:pPr>
              <w:ind w:left="113" w:right="113"/>
              <w:jc w:val="both"/>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Холод-ний період (ХІ-ІІІ)</w:t>
            </w:r>
            <w:r/>
          </w:p>
        </w:tc>
        <w:tc>
          <w:tcPr>
            <w:tcW w:w="837" w:type="dxa"/>
            <w:vAlign w:val="center"/>
            <w:textDirection w:val="btLr"/>
            <w:noWrap w:val="false"/>
          </w:tcPr>
          <w:p>
            <w:pPr>
              <w:ind w:left="113" w:right="113"/>
              <w:jc w:val="both"/>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Теплий період (ІV-X)</w:t>
            </w:r>
            <w:r/>
          </w:p>
        </w:tc>
        <w:tc>
          <w:tcPr>
            <w:tcW w:w="747" w:type="dxa"/>
            <w:vAlign w:val="center"/>
            <w:textDirection w:val="lrTb"/>
            <w:noWrap w:val="false"/>
          </w:tcPr>
          <w:p>
            <w:pPr>
              <w:ind w:left="-108"/>
              <w:jc w:val="both"/>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Рік</w:t>
            </w:r>
            <w:r/>
          </w:p>
        </w:tc>
      </w:tr>
      <w:tr>
        <w:trPr>
          <w:jc w:val="center"/>
          <w:trHeight w:val="404"/>
        </w:trPr>
        <w:tc>
          <w:tcPr>
            <w:gridSpan w:val="42"/>
            <w:tcW w:w="14370" w:type="dxa"/>
            <w:vAlign w:val="bottom"/>
            <w:textDirection w:val="lrTb"/>
            <w:noWrap/>
          </w:tcPr>
          <w:p>
            <w:pPr>
              <w:jc w:val="both"/>
              <w:spacing w:lineRule="auto" w:line="240" w:after="0"/>
              <w:rPr>
                <w:rFonts w:ascii="Arial" w:hAnsi="Arial" w:cs="Arial"/>
                <w:b/>
                <w:sz w:val="24"/>
                <w:szCs w:val="24"/>
                <w:lang w:val="uk-UA"/>
              </w:rPr>
            </w:pPr>
            <w:r>
              <w:rPr>
                <w:rFonts w:ascii="Arial" w:hAnsi="Arial" w:cs="Arial"/>
                <w:color w:val="222222"/>
                <w:sz w:val="24"/>
                <w:szCs w:val="24"/>
                <w:shd w:val="clear" w:color="auto" w:fill="FFFFFF"/>
                <w:lang w:val="uk-UA"/>
              </w:rPr>
              <w:t xml:space="preserve">Сновськ</w:t>
            </w:r>
            <w:r/>
          </w:p>
        </w:tc>
      </w:tr>
      <w:tr>
        <w:trPr>
          <w:gridAfter w:val="1"/>
          <w:jc w:val="center"/>
          <w:trHeight w:val="404"/>
        </w:trPr>
        <w:tc>
          <w:tcPr>
            <w:tcW w:w="1812" w:type="dxa"/>
            <w:vAlign w:val="bottom"/>
            <w:textDirection w:val="lrTb"/>
            <w:noWrap/>
          </w:tcPr>
          <w:p>
            <w:pPr>
              <w:ind w:left="-93"/>
              <w:jc w:val="both"/>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Середня</w:t>
            </w:r>
            <w:r/>
          </w:p>
        </w:tc>
        <w:tc>
          <w:tcPr>
            <w:gridSpan w:val="2"/>
            <w:tcW w:w="832"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42</w:t>
            </w:r>
            <w:r/>
          </w:p>
        </w:tc>
        <w:tc>
          <w:tcPr>
            <w:gridSpan w:val="3"/>
            <w:tcW w:w="724"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38</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38</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42</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49</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79</w:t>
            </w:r>
            <w:r/>
          </w:p>
        </w:tc>
        <w:tc>
          <w:tcPr>
            <w:gridSpan w:val="3"/>
            <w:tcW w:w="835"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92</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67</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47</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37</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48</w:t>
            </w:r>
            <w:r/>
          </w:p>
        </w:tc>
        <w:tc>
          <w:tcPr>
            <w:gridSpan w:val="3"/>
            <w:tcW w:w="877"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51</w:t>
            </w:r>
            <w:r/>
          </w:p>
        </w:tc>
        <w:tc>
          <w:tcPr>
            <w:gridSpan w:val="2"/>
            <w:tcW w:w="99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217</w:t>
            </w:r>
            <w:r/>
          </w:p>
        </w:tc>
        <w:tc>
          <w:tcPr>
            <w:tcW w:w="837"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413</w:t>
            </w:r>
            <w:r/>
          </w:p>
        </w:tc>
        <w:tc>
          <w:tcPr>
            <w:gridSpan w:val="2"/>
            <w:tcW w:w="759"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630</w:t>
            </w:r>
            <w:r/>
          </w:p>
        </w:tc>
      </w:tr>
      <w:tr>
        <w:trPr>
          <w:gridAfter w:val="1"/>
          <w:jc w:val="center"/>
          <w:trHeight w:val="404"/>
        </w:trPr>
        <w:tc>
          <w:tcPr>
            <w:tcW w:w="1812" w:type="dxa"/>
            <w:vAlign w:val="bottom"/>
            <w:textDirection w:val="lrTb"/>
            <w:noWrap/>
          </w:tcPr>
          <w:p>
            <w:pPr>
              <w:ind w:left="-93"/>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Сер.кв.відх</w:t>
            </w:r>
            <w:r/>
          </w:p>
        </w:tc>
        <w:tc>
          <w:tcPr>
            <w:gridSpan w:val="2"/>
            <w:tcW w:w="832"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20.4</w:t>
            </w:r>
            <w:r/>
          </w:p>
        </w:tc>
        <w:tc>
          <w:tcPr>
            <w:gridSpan w:val="3"/>
            <w:tcW w:w="724"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21.5</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19.7</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19.3</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21.6</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34.5</w:t>
            </w:r>
            <w:r/>
          </w:p>
        </w:tc>
        <w:tc>
          <w:tcPr>
            <w:gridSpan w:val="3"/>
            <w:tcW w:w="835"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54.6</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31.0</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33.9</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27.7</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22.7</w:t>
            </w:r>
            <w:r/>
          </w:p>
        </w:tc>
        <w:tc>
          <w:tcPr>
            <w:gridSpan w:val="3"/>
            <w:tcW w:w="877"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23.1</w:t>
            </w:r>
            <w:r/>
          </w:p>
        </w:tc>
        <w:tc>
          <w:tcPr>
            <w:gridSpan w:val="2"/>
            <w:tcW w:w="99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55.1</w:t>
            </w:r>
            <w:r/>
          </w:p>
        </w:tc>
        <w:tc>
          <w:tcPr>
            <w:tcW w:w="837"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86.3</w:t>
            </w:r>
            <w:r/>
          </w:p>
        </w:tc>
        <w:tc>
          <w:tcPr>
            <w:gridSpan w:val="2"/>
            <w:tcW w:w="759"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105.4</w:t>
            </w:r>
            <w:r/>
          </w:p>
        </w:tc>
      </w:tr>
      <w:tr>
        <w:trPr>
          <w:gridAfter w:val="1"/>
          <w:jc w:val="center"/>
          <w:trHeight w:val="404"/>
        </w:trPr>
        <w:tc>
          <w:tcPr>
            <w:tcW w:w="1812" w:type="dxa"/>
            <w:vAlign w:val="bottom"/>
            <w:textDirection w:val="lrTb"/>
            <w:noWrap/>
          </w:tcPr>
          <w:p>
            <w:pPr>
              <w:ind w:left="-93"/>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Найменша</w:t>
            </w:r>
            <w:r/>
          </w:p>
        </w:tc>
        <w:tc>
          <w:tcPr>
            <w:gridSpan w:val="2"/>
            <w:tcW w:w="832"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7</w:t>
            </w:r>
            <w:r/>
          </w:p>
        </w:tc>
        <w:tc>
          <w:tcPr>
            <w:gridSpan w:val="3"/>
            <w:tcW w:w="724"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7</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7</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12</w:t>
            </w:r>
            <w:r/>
          </w:p>
        </w:tc>
        <w:tc>
          <w:tcPr>
            <w:gridSpan w:val="3"/>
            <w:tcW w:w="835"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10</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7</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w:t>
            </w:r>
            <w:r/>
          </w:p>
        </w:tc>
        <w:tc>
          <w:tcPr>
            <w:gridSpan w:val="3"/>
            <w:tcW w:w="877"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5</w:t>
            </w:r>
            <w:r/>
          </w:p>
        </w:tc>
        <w:tc>
          <w:tcPr>
            <w:gridSpan w:val="2"/>
            <w:tcW w:w="99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103</w:t>
            </w:r>
            <w:r/>
          </w:p>
        </w:tc>
        <w:tc>
          <w:tcPr>
            <w:tcW w:w="837"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221</w:t>
            </w:r>
            <w:r/>
          </w:p>
        </w:tc>
        <w:tc>
          <w:tcPr>
            <w:gridSpan w:val="2"/>
            <w:tcW w:w="759"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347</w:t>
            </w:r>
            <w:r/>
          </w:p>
        </w:tc>
      </w:tr>
      <w:tr>
        <w:trPr>
          <w:gridAfter w:val="1"/>
          <w:jc w:val="center"/>
          <w:trHeight w:val="404"/>
        </w:trPr>
        <w:tc>
          <w:tcPr>
            <w:tcW w:w="1812" w:type="dxa"/>
            <w:vAlign w:val="bottom"/>
            <w:textDirection w:val="lrTb"/>
            <w:noWrap/>
          </w:tcPr>
          <w:p>
            <w:pPr>
              <w:ind w:left="-93"/>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Найбільша</w:t>
            </w:r>
            <w:r/>
          </w:p>
        </w:tc>
        <w:tc>
          <w:tcPr>
            <w:gridSpan w:val="2"/>
            <w:tcW w:w="832"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82</w:t>
            </w:r>
            <w:r/>
          </w:p>
        </w:tc>
        <w:tc>
          <w:tcPr>
            <w:gridSpan w:val="3"/>
            <w:tcW w:w="724"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81</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92</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121</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167</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206</w:t>
            </w:r>
            <w:r/>
          </w:p>
        </w:tc>
        <w:tc>
          <w:tcPr>
            <w:gridSpan w:val="3"/>
            <w:tcW w:w="835"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216</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202</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155</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131</w:t>
            </w:r>
            <w:r/>
          </w:p>
        </w:tc>
        <w:tc>
          <w:tcPr>
            <w:gridSpan w:val="3"/>
            <w:tcW w:w="83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119</w:t>
            </w:r>
            <w:r/>
          </w:p>
        </w:tc>
        <w:tc>
          <w:tcPr>
            <w:gridSpan w:val="3"/>
            <w:tcW w:w="877"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105</w:t>
            </w:r>
            <w:r/>
          </w:p>
        </w:tc>
        <w:tc>
          <w:tcPr>
            <w:gridSpan w:val="2"/>
            <w:tcW w:w="996"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342</w:t>
            </w:r>
            <w:r/>
          </w:p>
        </w:tc>
        <w:tc>
          <w:tcPr>
            <w:tcW w:w="837"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595</w:t>
            </w:r>
            <w:r/>
          </w:p>
        </w:tc>
        <w:tc>
          <w:tcPr>
            <w:gridSpan w:val="2"/>
            <w:tcW w:w="759" w:type="dxa"/>
            <w:vAlign w:val="center"/>
            <w:textDirection w:val="lrTb"/>
            <w:noWrap/>
          </w:tcPr>
          <w:p>
            <w:pPr>
              <w:ind w:left="-108" w:right="-81"/>
              <w:jc w:val="both"/>
              <w:spacing w:lineRule="auto" w:line="240" w:after="0"/>
              <w:rPr>
                <w:rFonts w:ascii="Arial" w:hAnsi="Arial" w:cs="Arial"/>
                <w:sz w:val="24"/>
                <w:szCs w:val="24"/>
                <w:lang w:val="uk-UA"/>
              </w:rPr>
            </w:pPr>
            <w:r>
              <w:rPr>
                <w:rFonts w:ascii="Arial" w:hAnsi="Arial" w:cs="Arial"/>
                <w:sz w:val="24"/>
                <w:szCs w:val="24"/>
                <w:lang w:val="uk-UA"/>
              </w:rPr>
              <w:t xml:space="preserve">929</w:t>
            </w:r>
            <w:r/>
          </w:p>
        </w:tc>
      </w:tr>
      <w:tr>
        <w:trPr>
          <w:jc w:val="center"/>
          <w:trHeight w:val="404"/>
        </w:trPr>
        <w:tc>
          <w:tcPr>
            <w:gridSpan w:val="42"/>
            <w:tcW w:w="14370" w:type="dxa"/>
            <w:vAlign w:val="center"/>
            <w:textDirection w:val="lrTb"/>
            <w:noWrap/>
          </w:tcPr>
          <w:p>
            <w:pPr>
              <w:jc w:val="both"/>
              <w:spacing w:lineRule="auto" w:line="240" w:after="0"/>
              <w:rPr>
                <w:rFonts w:ascii="Arial" w:hAnsi="Arial" w:cs="Arial"/>
                <w:b/>
                <w:sz w:val="24"/>
                <w:szCs w:val="24"/>
                <w:lang w:val="uk-UA"/>
              </w:rPr>
            </w:pPr>
            <w:r>
              <w:rPr>
                <w:rFonts w:ascii="Arial" w:hAnsi="Arial" w:cs="Arial"/>
                <w:color w:val="222222"/>
                <w:sz w:val="24"/>
                <w:szCs w:val="24"/>
                <w:shd w:val="clear" w:color="auto" w:fill="FFFFFF"/>
                <w:lang w:val="uk-UA"/>
              </w:rPr>
              <w:t xml:space="preserve">Чернігів</w:t>
            </w:r>
            <w:r/>
          </w:p>
        </w:tc>
      </w:tr>
      <w:tr>
        <w:trPr>
          <w:gridAfter w:val="2"/>
          <w:jc w:val="center"/>
          <w:trHeight w:val="404"/>
        </w:trPr>
        <w:tc>
          <w:tcPr>
            <w:gridSpan w:val="2"/>
            <w:tcBorders>
              <w:left w:val="single" w:sz="4" w:space="0" w:color="auto"/>
              <w:top w:val="single" w:sz="4" w:space="0" w:color="auto"/>
              <w:right w:val="single" w:sz="4" w:space="0" w:color="auto"/>
              <w:bottom w:val="single" w:sz="4" w:space="0" w:color="auto"/>
            </w:tcBorders>
            <w:tcW w:w="1841" w:type="dxa"/>
            <w:vAlign w:val="bottom"/>
            <w:textDirection w:val="lrTb"/>
            <w:noWrap/>
          </w:tcPr>
          <w:p>
            <w:pPr>
              <w:ind w:left="-93"/>
              <w:jc w:val="both"/>
              <w:spacing w:lineRule="auto" w:line="240" w:after="0"/>
              <w:rPr>
                <w:rFonts w:ascii="Arial" w:hAnsi="Arial" w:cs="Arial"/>
                <w:b/>
                <w:sz w:val="24"/>
                <w:szCs w:val="24"/>
                <w:lang w:val="uk-UA" w:eastAsia="ru-RU"/>
              </w:rPr>
            </w:pPr>
            <w:r>
              <w:rPr>
                <w:rFonts w:ascii="Arial" w:hAnsi="Arial" w:cs="Arial"/>
                <w:b/>
                <w:sz w:val="24"/>
                <w:szCs w:val="24"/>
                <w:lang w:val="uk-UA" w:eastAsia="ru-RU"/>
              </w:rPr>
              <w:t xml:space="preserve">Середня</w:t>
            </w:r>
            <w:r/>
          </w:p>
        </w:tc>
        <w:tc>
          <w:tcPr>
            <w:gridSpan w:val="2"/>
            <w:tcBorders>
              <w:left w:val="single" w:sz="4" w:space="0" w:color="auto"/>
              <w:top w:val="single" w:sz="4" w:space="0" w:color="auto"/>
              <w:right w:val="single" w:sz="4" w:space="0" w:color="auto"/>
              <w:bottom w:val="single" w:sz="4" w:space="0" w:color="auto"/>
            </w:tcBorders>
            <w:tcW w:w="848"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43</w:t>
            </w:r>
            <w:r/>
          </w:p>
        </w:tc>
        <w:tc>
          <w:tcPr>
            <w:gridSpan w:val="3"/>
            <w:tcBorders>
              <w:left w:val="single" w:sz="4" w:space="0" w:color="auto"/>
              <w:top w:val="single" w:sz="4" w:space="0" w:color="auto"/>
              <w:right w:val="single" w:sz="4" w:space="0" w:color="auto"/>
              <w:bottom w:val="single" w:sz="4" w:space="0" w:color="auto"/>
            </w:tcBorders>
            <w:tcW w:w="7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36</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38</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45</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45</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72</w:t>
            </w:r>
            <w:r/>
          </w:p>
        </w:tc>
        <w:tc>
          <w:tcPr>
            <w:gridSpan w:val="3"/>
            <w:tcBorders>
              <w:left w:val="single" w:sz="4" w:space="0" w:color="auto"/>
              <w:top w:val="single" w:sz="4" w:space="0" w:color="auto"/>
              <w:right w:val="single" w:sz="4" w:space="0" w:color="auto"/>
              <w:bottom w:val="single" w:sz="4" w:space="0" w:color="auto"/>
            </w:tcBorders>
            <w:tcW w:w="849"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82</w:t>
            </w:r>
            <w:r/>
          </w:p>
        </w:tc>
        <w:tc>
          <w:tcPr>
            <w:gridSpan w:val="4"/>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64</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48</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37</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47</w:t>
            </w:r>
            <w:r/>
          </w:p>
        </w:tc>
        <w:tc>
          <w:tcPr>
            <w:gridSpan w:val="2"/>
            <w:tcBorders>
              <w:left w:val="single" w:sz="4" w:space="0" w:color="auto"/>
              <w:top w:val="single" w:sz="4" w:space="0" w:color="auto"/>
              <w:right w:val="single" w:sz="4" w:space="0" w:color="auto"/>
              <w:bottom w:val="single" w:sz="4" w:space="0" w:color="auto"/>
            </w:tcBorders>
            <w:tcW w:w="7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51</w:t>
            </w:r>
            <w:r/>
          </w:p>
        </w:tc>
        <w:tc>
          <w:tcPr>
            <w:tcBorders>
              <w:left w:val="single" w:sz="4" w:space="0" w:color="auto"/>
              <w:top w:val="single" w:sz="4" w:space="0" w:color="auto"/>
              <w:right w:val="single" w:sz="4" w:space="0" w:color="auto"/>
              <w:bottom w:val="single" w:sz="4" w:space="0" w:color="auto"/>
            </w:tcBorders>
            <w:tcW w:w="952"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215</w:t>
            </w:r>
            <w:r/>
          </w:p>
        </w:tc>
        <w:tc>
          <w:tcPr>
            <w:tcBorders>
              <w:left w:val="single" w:sz="4" w:space="0" w:color="auto"/>
              <w:top w:val="single" w:sz="4" w:space="0" w:color="auto"/>
              <w:right w:val="single" w:sz="4" w:space="0" w:color="auto"/>
              <w:bottom w:val="single" w:sz="4" w:space="0" w:color="auto"/>
            </w:tcBorders>
            <w:tcW w:w="8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393</w:t>
            </w:r>
            <w:r/>
          </w:p>
        </w:tc>
        <w:tc>
          <w:tcPr>
            <w:tcBorders>
              <w:left w:val="single" w:sz="4" w:space="0" w:color="auto"/>
              <w:top w:val="single" w:sz="4" w:space="0" w:color="auto"/>
              <w:right w:val="single" w:sz="4" w:space="0" w:color="auto"/>
              <w:bottom w:val="single" w:sz="4" w:space="0" w:color="auto"/>
            </w:tcBorders>
            <w:tcW w:w="74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608</w:t>
            </w:r>
            <w:r/>
          </w:p>
        </w:tc>
      </w:tr>
      <w:tr>
        <w:trPr>
          <w:gridAfter w:val="2"/>
          <w:jc w:val="center"/>
          <w:trHeight w:val="404"/>
        </w:trPr>
        <w:tc>
          <w:tcPr>
            <w:gridSpan w:val="2"/>
            <w:tcBorders>
              <w:left w:val="single" w:sz="4" w:space="0" w:color="auto"/>
              <w:top w:val="single" w:sz="4" w:space="0" w:color="auto"/>
              <w:right w:val="single" w:sz="4" w:space="0" w:color="auto"/>
              <w:bottom w:val="single" w:sz="4" w:space="0" w:color="auto"/>
            </w:tcBorders>
            <w:tcW w:w="1841" w:type="dxa"/>
            <w:vAlign w:val="bottom"/>
            <w:textDirection w:val="lrTb"/>
            <w:noWrap/>
          </w:tcPr>
          <w:p>
            <w:pPr>
              <w:ind w:left="-93"/>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Сер.кв.відх</w:t>
            </w:r>
            <w:r/>
          </w:p>
        </w:tc>
        <w:tc>
          <w:tcPr>
            <w:gridSpan w:val="2"/>
            <w:tcBorders>
              <w:left w:val="single" w:sz="4" w:space="0" w:color="auto"/>
              <w:top w:val="single" w:sz="4" w:space="0" w:color="auto"/>
              <w:right w:val="single" w:sz="4" w:space="0" w:color="auto"/>
              <w:bottom w:val="single" w:sz="4" w:space="0" w:color="auto"/>
            </w:tcBorders>
            <w:tcW w:w="848"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23.2</w:t>
            </w:r>
            <w:r/>
          </w:p>
        </w:tc>
        <w:tc>
          <w:tcPr>
            <w:gridSpan w:val="3"/>
            <w:tcBorders>
              <w:left w:val="single" w:sz="4" w:space="0" w:color="auto"/>
              <w:top w:val="single" w:sz="4" w:space="0" w:color="auto"/>
              <w:right w:val="single" w:sz="4" w:space="0" w:color="auto"/>
              <w:bottom w:val="single" w:sz="4" w:space="0" w:color="auto"/>
            </w:tcBorders>
            <w:tcW w:w="7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19.4</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19.1</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24.1</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25.0</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39.2</w:t>
            </w:r>
            <w:r/>
          </w:p>
        </w:tc>
        <w:tc>
          <w:tcPr>
            <w:gridSpan w:val="3"/>
            <w:tcBorders>
              <w:left w:val="single" w:sz="4" w:space="0" w:color="auto"/>
              <w:top w:val="single" w:sz="4" w:space="0" w:color="auto"/>
              <w:right w:val="single" w:sz="4" w:space="0" w:color="auto"/>
              <w:bottom w:val="single" w:sz="4" w:space="0" w:color="auto"/>
            </w:tcBorders>
            <w:tcW w:w="849"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42.4</w:t>
            </w:r>
            <w:r/>
          </w:p>
        </w:tc>
        <w:tc>
          <w:tcPr>
            <w:gridSpan w:val="4"/>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31.7</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32.8</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30.0</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18.5</w:t>
            </w:r>
            <w:r/>
          </w:p>
        </w:tc>
        <w:tc>
          <w:tcPr>
            <w:gridSpan w:val="2"/>
            <w:tcBorders>
              <w:left w:val="single" w:sz="4" w:space="0" w:color="auto"/>
              <w:top w:val="single" w:sz="4" w:space="0" w:color="auto"/>
              <w:right w:val="single" w:sz="4" w:space="0" w:color="auto"/>
              <w:bottom w:val="single" w:sz="4" w:space="0" w:color="auto"/>
            </w:tcBorders>
            <w:tcW w:w="7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23.1</w:t>
            </w:r>
            <w:r/>
          </w:p>
        </w:tc>
        <w:tc>
          <w:tcPr>
            <w:tcBorders>
              <w:left w:val="single" w:sz="4" w:space="0" w:color="auto"/>
              <w:top w:val="single" w:sz="4" w:space="0" w:color="auto"/>
              <w:right w:val="single" w:sz="4" w:space="0" w:color="auto"/>
              <w:bottom w:val="single" w:sz="4" w:space="0" w:color="auto"/>
            </w:tcBorders>
            <w:tcW w:w="952"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56.6</w:t>
            </w:r>
            <w:r/>
          </w:p>
        </w:tc>
        <w:tc>
          <w:tcPr>
            <w:tcBorders>
              <w:left w:val="single" w:sz="4" w:space="0" w:color="auto"/>
              <w:top w:val="single" w:sz="4" w:space="0" w:color="auto"/>
              <w:right w:val="single" w:sz="4" w:space="0" w:color="auto"/>
              <w:bottom w:val="single" w:sz="4" w:space="0" w:color="auto"/>
            </w:tcBorders>
            <w:tcW w:w="8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84.4</w:t>
            </w:r>
            <w:r/>
          </w:p>
        </w:tc>
        <w:tc>
          <w:tcPr>
            <w:tcBorders>
              <w:left w:val="single" w:sz="4" w:space="0" w:color="auto"/>
              <w:top w:val="single" w:sz="4" w:space="0" w:color="auto"/>
              <w:right w:val="single" w:sz="4" w:space="0" w:color="auto"/>
              <w:bottom w:val="single" w:sz="4" w:space="0" w:color="auto"/>
            </w:tcBorders>
            <w:tcW w:w="74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106.2</w:t>
            </w:r>
            <w:r/>
          </w:p>
        </w:tc>
      </w:tr>
      <w:tr>
        <w:trPr>
          <w:gridAfter w:val="2"/>
          <w:jc w:val="center"/>
          <w:trHeight w:val="404"/>
        </w:trPr>
        <w:tc>
          <w:tcPr>
            <w:gridSpan w:val="2"/>
            <w:tcBorders>
              <w:left w:val="single" w:sz="4" w:space="0" w:color="auto"/>
              <w:top w:val="single" w:sz="4" w:space="0" w:color="auto"/>
              <w:right w:val="single" w:sz="4" w:space="0" w:color="auto"/>
              <w:bottom w:val="single" w:sz="4" w:space="0" w:color="auto"/>
            </w:tcBorders>
            <w:tcW w:w="1841" w:type="dxa"/>
            <w:vAlign w:val="bottom"/>
            <w:textDirection w:val="lrTb"/>
            <w:noWrap/>
          </w:tcPr>
          <w:p>
            <w:pPr>
              <w:ind w:left="-93"/>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Найменша</w:t>
            </w:r>
            <w:r/>
          </w:p>
        </w:tc>
        <w:tc>
          <w:tcPr>
            <w:gridSpan w:val="2"/>
            <w:tcBorders>
              <w:left w:val="single" w:sz="4" w:space="0" w:color="auto"/>
              <w:top w:val="single" w:sz="4" w:space="0" w:color="auto"/>
              <w:right w:val="single" w:sz="4" w:space="0" w:color="auto"/>
              <w:bottom w:val="single" w:sz="4" w:space="0" w:color="auto"/>
            </w:tcBorders>
            <w:tcW w:w="848"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w:t>
            </w:r>
            <w:r/>
          </w:p>
        </w:tc>
        <w:tc>
          <w:tcPr>
            <w:gridSpan w:val="3"/>
            <w:tcBorders>
              <w:left w:val="single" w:sz="4" w:space="0" w:color="auto"/>
              <w:top w:val="single" w:sz="4" w:space="0" w:color="auto"/>
              <w:right w:val="single" w:sz="4" w:space="0" w:color="auto"/>
              <w:bottom w:val="single" w:sz="4" w:space="0" w:color="auto"/>
            </w:tcBorders>
            <w:tcW w:w="7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4</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7</w:t>
            </w:r>
            <w:r/>
          </w:p>
        </w:tc>
        <w:tc>
          <w:tcPr>
            <w:gridSpan w:val="3"/>
            <w:tcBorders>
              <w:left w:val="single" w:sz="4" w:space="0" w:color="auto"/>
              <w:top w:val="single" w:sz="4" w:space="0" w:color="auto"/>
              <w:right w:val="single" w:sz="4" w:space="0" w:color="auto"/>
              <w:bottom w:val="single" w:sz="4" w:space="0" w:color="auto"/>
            </w:tcBorders>
            <w:tcW w:w="849"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8</w:t>
            </w:r>
            <w:r/>
          </w:p>
        </w:tc>
        <w:tc>
          <w:tcPr>
            <w:gridSpan w:val="4"/>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2</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w:t>
            </w:r>
            <w:r/>
          </w:p>
        </w:tc>
        <w:tc>
          <w:tcPr>
            <w:gridSpan w:val="2"/>
            <w:tcBorders>
              <w:left w:val="single" w:sz="4" w:space="0" w:color="auto"/>
              <w:top w:val="single" w:sz="4" w:space="0" w:color="auto"/>
              <w:right w:val="single" w:sz="4" w:space="0" w:color="auto"/>
              <w:bottom w:val="single" w:sz="4" w:space="0" w:color="auto"/>
            </w:tcBorders>
            <w:tcW w:w="7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5</w:t>
            </w:r>
            <w:r/>
          </w:p>
        </w:tc>
        <w:tc>
          <w:tcPr>
            <w:tcBorders>
              <w:left w:val="single" w:sz="4" w:space="0" w:color="auto"/>
              <w:top w:val="single" w:sz="4" w:space="0" w:color="auto"/>
              <w:right w:val="single" w:sz="4" w:space="0" w:color="auto"/>
              <w:bottom w:val="single" w:sz="4" w:space="0" w:color="auto"/>
            </w:tcBorders>
            <w:tcW w:w="952"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85</w:t>
            </w:r>
            <w:r/>
          </w:p>
        </w:tc>
        <w:tc>
          <w:tcPr>
            <w:tcBorders>
              <w:left w:val="single" w:sz="4" w:space="0" w:color="auto"/>
              <w:top w:val="single" w:sz="4" w:space="0" w:color="auto"/>
              <w:right w:val="single" w:sz="4" w:space="0" w:color="auto"/>
              <w:bottom w:val="single" w:sz="4" w:space="0" w:color="auto"/>
            </w:tcBorders>
            <w:tcW w:w="8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224</w:t>
            </w:r>
            <w:r/>
          </w:p>
        </w:tc>
        <w:tc>
          <w:tcPr>
            <w:tcBorders>
              <w:left w:val="single" w:sz="4" w:space="0" w:color="auto"/>
              <w:top w:val="single" w:sz="4" w:space="0" w:color="auto"/>
              <w:right w:val="single" w:sz="4" w:space="0" w:color="auto"/>
              <w:bottom w:val="single" w:sz="4" w:space="0" w:color="auto"/>
            </w:tcBorders>
            <w:tcW w:w="74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349</w:t>
            </w:r>
            <w:r/>
          </w:p>
        </w:tc>
      </w:tr>
      <w:tr>
        <w:trPr>
          <w:gridAfter w:val="2"/>
          <w:jc w:val="center"/>
          <w:trHeight w:val="404"/>
        </w:trPr>
        <w:tc>
          <w:tcPr>
            <w:gridSpan w:val="2"/>
            <w:tcBorders>
              <w:left w:val="single" w:sz="4" w:space="0" w:color="auto"/>
              <w:top w:val="single" w:sz="4" w:space="0" w:color="auto"/>
              <w:right w:val="single" w:sz="4" w:space="0" w:color="auto"/>
              <w:bottom w:val="single" w:sz="4" w:space="0" w:color="auto"/>
            </w:tcBorders>
            <w:tcW w:w="1841" w:type="dxa"/>
            <w:vAlign w:val="bottom"/>
            <w:textDirection w:val="lrTb"/>
            <w:noWrap/>
          </w:tcPr>
          <w:p>
            <w:pPr>
              <w:ind w:left="-93"/>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Найбільша</w:t>
            </w:r>
            <w:r/>
          </w:p>
        </w:tc>
        <w:tc>
          <w:tcPr>
            <w:gridSpan w:val="2"/>
            <w:tcBorders>
              <w:left w:val="single" w:sz="4" w:space="0" w:color="auto"/>
              <w:top w:val="single" w:sz="4" w:space="0" w:color="auto"/>
              <w:right w:val="single" w:sz="4" w:space="0" w:color="auto"/>
              <w:bottom w:val="single" w:sz="4" w:space="0" w:color="auto"/>
            </w:tcBorders>
            <w:tcW w:w="848"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110</w:t>
            </w:r>
            <w:r/>
          </w:p>
        </w:tc>
        <w:tc>
          <w:tcPr>
            <w:gridSpan w:val="3"/>
            <w:tcBorders>
              <w:left w:val="single" w:sz="4" w:space="0" w:color="auto"/>
              <w:top w:val="single" w:sz="4" w:space="0" w:color="auto"/>
              <w:right w:val="single" w:sz="4" w:space="0" w:color="auto"/>
              <w:bottom w:val="single" w:sz="4" w:space="0" w:color="auto"/>
            </w:tcBorders>
            <w:tcW w:w="7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112</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77</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101</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154</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187</w:t>
            </w:r>
            <w:r/>
          </w:p>
        </w:tc>
        <w:tc>
          <w:tcPr>
            <w:gridSpan w:val="3"/>
            <w:tcBorders>
              <w:left w:val="single" w:sz="4" w:space="0" w:color="auto"/>
              <w:top w:val="single" w:sz="4" w:space="0" w:color="auto"/>
              <w:right w:val="single" w:sz="4" w:space="0" w:color="auto"/>
              <w:bottom w:val="single" w:sz="4" w:space="0" w:color="auto"/>
            </w:tcBorders>
            <w:tcW w:w="849"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245</w:t>
            </w:r>
            <w:r/>
          </w:p>
        </w:tc>
        <w:tc>
          <w:tcPr>
            <w:gridSpan w:val="4"/>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168</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143</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166</w:t>
            </w:r>
            <w:r/>
          </w:p>
        </w:tc>
        <w:tc>
          <w:tcPr>
            <w:gridSpan w:val="3"/>
            <w:tcBorders>
              <w:left w:val="single" w:sz="4" w:space="0" w:color="auto"/>
              <w:top w:val="single" w:sz="4" w:space="0" w:color="auto"/>
              <w:right w:val="single" w:sz="4" w:space="0" w:color="auto"/>
              <w:bottom w:val="single" w:sz="4" w:space="0" w:color="auto"/>
            </w:tcBorders>
            <w:tcW w:w="850"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125</w:t>
            </w:r>
            <w:r/>
          </w:p>
        </w:tc>
        <w:tc>
          <w:tcPr>
            <w:gridSpan w:val="2"/>
            <w:tcBorders>
              <w:left w:val="single" w:sz="4" w:space="0" w:color="auto"/>
              <w:top w:val="single" w:sz="4" w:space="0" w:color="auto"/>
              <w:right w:val="single" w:sz="4" w:space="0" w:color="auto"/>
              <w:bottom w:val="single" w:sz="4" w:space="0" w:color="auto"/>
            </w:tcBorders>
            <w:tcW w:w="7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123</w:t>
            </w:r>
            <w:r/>
          </w:p>
        </w:tc>
        <w:tc>
          <w:tcPr>
            <w:tcBorders>
              <w:left w:val="single" w:sz="4" w:space="0" w:color="auto"/>
              <w:top w:val="single" w:sz="4" w:space="0" w:color="auto"/>
              <w:right w:val="single" w:sz="4" w:space="0" w:color="auto"/>
              <w:bottom w:val="single" w:sz="4" w:space="0" w:color="auto"/>
            </w:tcBorders>
            <w:tcW w:w="952"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355</w:t>
            </w:r>
            <w:r/>
          </w:p>
        </w:tc>
        <w:tc>
          <w:tcPr>
            <w:tcBorders>
              <w:left w:val="single" w:sz="4" w:space="0" w:color="auto"/>
              <w:top w:val="single" w:sz="4" w:space="0" w:color="auto"/>
              <w:right w:val="single" w:sz="4" w:space="0" w:color="auto"/>
              <w:bottom w:val="single" w:sz="4" w:space="0" w:color="auto"/>
            </w:tcBorders>
            <w:tcW w:w="83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599</w:t>
            </w:r>
            <w:r/>
          </w:p>
        </w:tc>
        <w:tc>
          <w:tcPr>
            <w:tcBorders>
              <w:left w:val="single" w:sz="4" w:space="0" w:color="auto"/>
              <w:top w:val="single" w:sz="4" w:space="0" w:color="auto"/>
              <w:right w:val="single" w:sz="4" w:space="0" w:color="auto"/>
              <w:bottom w:val="single" w:sz="4" w:space="0" w:color="auto"/>
            </w:tcBorders>
            <w:tcW w:w="747" w:type="dxa"/>
            <w:vAlign w:val="center"/>
            <w:textDirection w:val="lrTb"/>
            <w:noWrap/>
          </w:tcPr>
          <w:p>
            <w:pPr>
              <w:ind w:left="-130" w:right="-49"/>
              <w:jc w:val="both"/>
              <w:spacing w:lineRule="auto" w:line="240" w:after="0"/>
              <w:rPr>
                <w:rFonts w:ascii="Arial" w:hAnsi="Arial" w:cs="Arial"/>
                <w:sz w:val="24"/>
                <w:szCs w:val="24"/>
                <w:lang w:val="uk-UA"/>
              </w:rPr>
            </w:pPr>
            <w:r>
              <w:rPr>
                <w:rFonts w:ascii="Arial" w:hAnsi="Arial" w:cs="Arial"/>
                <w:sz w:val="24"/>
                <w:szCs w:val="24"/>
                <w:lang w:val="uk-UA"/>
              </w:rPr>
              <w:t xml:space="preserve">899</w:t>
            </w:r>
            <w:r/>
          </w:p>
        </w:tc>
      </w:tr>
    </w:tbl>
    <w:p>
      <w:pPr>
        <w:jc w:val="both"/>
        <w:spacing w:lineRule="auto" w:line="240" w:after="0"/>
        <w:rPr>
          <w:rFonts w:ascii="Arial" w:hAnsi="Arial" w:cs="Arial"/>
          <w:sz w:val="24"/>
          <w:szCs w:val="24"/>
          <w:lang w:val="uk-UA"/>
        </w:rPr>
      </w:pPr>
      <w:r>
        <w:rPr>
          <w:rFonts w:ascii="Arial" w:hAnsi="Arial" w:cs="Arial"/>
          <w:sz w:val="24"/>
          <w:szCs w:val="24"/>
          <w:lang w:val="uk-UA"/>
        </w:rPr>
      </w:r>
      <w:r/>
    </w:p>
    <w:p>
      <w:pPr>
        <w:pStyle w:val="558"/>
        <w:jc w:val="both"/>
        <w:rPr>
          <w:rFonts w:ascii="Arial" w:hAnsi="Arial" w:cs="Arial"/>
          <w:b/>
          <w:sz w:val="24"/>
          <w:szCs w:val="24"/>
          <w:lang w:val="uk-UA"/>
        </w:rPr>
        <w:sectPr>
          <w:footnotePr/>
          <w:type w:val="continuous"/>
          <w:pgSz w:w="16839" w:h="11907" w:orient="landscape"/>
          <w:pgMar w:top="1440" w:right="1104" w:bottom="1170" w:left="1440" w:header="720" w:footer="720"/>
          <w:cols w:num="1" w:sep="0" w:space="720" w:equalWidth="1"/>
          <w:docGrid w:linePitch="360"/>
        </w:sectPr>
      </w:pPr>
      <w:r>
        <w:rPr>
          <w:rFonts w:ascii="Arial" w:hAnsi="Arial" w:cs="Arial"/>
          <w:b/>
          <w:sz w:val="24"/>
          <w:szCs w:val="24"/>
          <w:lang w:val="uk-UA"/>
        </w:rPr>
      </w:r>
      <w:r/>
    </w:p>
    <w:p>
      <w:pPr>
        <w:pStyle w:val="558"/>
        <w:ind w:firstLine="709"/>
        <w:jc w:val="both"/>
        <w:rPr>
          <w:rFonts w:ascii="Arial" w:hAnsi="Arial" w:cs="Arial"/>
          <w:b/>
          <w:sz w:val="24"/>
          <w:szCs w:val="24"/>
          <w:lang w:val="uk-UA"/>
        </w:rPr>
      </w:pPr>
      <w:r>
        <w:rPr>
          <w:rFonts w:ascii="Arial" w:hAnsi="Arial" w:cs="Arial"/>
          <w:b/>
          <w:sz w:val="24"/>
          <w:szCs w:val="24"/>
          <w:lang w:val="uk-UA"/>
        </w:rPr>
      </w:r>
      <w:r/>
    </w:p>
    <w:p>
      <w:pPr>
        <w:pStyle w:val="558"/>
        <w:ind w:firstLine="709"/>
        <w:jc w:val="both"/>
        <w:rPr>
          <w:rFonts w:ascii="Arial" w:hAnsi="Arial" w:cs="Arial"/>
          <w:b/>
          <w:sz w:val="24"/>
          <w:szCs w:val="24"/>
          <w:lang w:val="uk-UA"/>
        </w:rPr>
      </w:pPr>
      <w:r>
        <w:rPr>
          <w:rFonts w:ascii="Arial" w:hAnsi="Arial" w:cs="Arial"/>
          <w:b/>
          <w:sz w:val="24"/>
          <w:szCs w:val="24"/>
          <w:lang w:val="uk-UA"/>
        </w:rPr>
      </w:r>
      <w:r/>
    </w:p>
    <w:p>
      <w:pPr>
        <w:pStyle w:val="558"/>
        <w:ind w:firstLine="709"/>
        <w:jc w:val="both"/>
        <w:rPr>
          <w:rFonts w:ascii="Arial" w:hAnsi="Arial" w:cs="Arial"/>
          <w:b/>
          <w:sz w:val="24"/>
          <w:szCs w:val="24"/>
          <w:lang w:val="uk-UA"/>
        </w:rPr>
      </w:pPr>
      <w:r>
        <w:rPr>
          <w:rFonts w:ascii="Arial" w:hAnsi="Arial" w:cs="Arial"/>
          <w:b/>
          <w:sz w:val="24"/>
          <w:szCs w:val="24"/>
          <w:lang w:val="uk-UA"/>
        </w:rPr>
        <w:t xml:space="preserve">Тенденція зміни клімату: </w:t>
      </w:r>
      <w:r/>
    </w:p>
    <w:p>
      <w:pPr>
        <w:pStyle w:val="558"/>
        <w:ind w:firstLine="720"/>
        <w:jc w:val="both"/>
        <w:rPr>
          <w:rFonts w:ascii="Arial" w:hAnsi="Arial" w:cs="Arial"/>
          <w:sz w:val="24"/>
          <w:szCs w:val="24"/>
          <w:lang w:val="uk-UA"/>
        </w:rPr>
      </w:pPr>
      <w:r>
        <w:rPr>
          <w:rFonts w:ascii="Arial" w:hAnsi="Arial" w:cs="Arial"/>
          <w:sz w:val="24"/>
          <w:szCs w:val="24"/>
          <w:lang w:val="uk-UA"/>
        </w:rPr>
        <w:t xml:space="preserve">* За період 1970-2019 рр. у регіоні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зміни річної суми атмосферних опадів практично відсутні. </w:t>
      </w:r>
      <w:r/>
    </w:p>
    <w:p>
      <w:pPr>
        <w:ind w:firstLine="720"/>
        <w:jc w:val="both"/>
        <w:spacing w:lineRule="auto" w:line="240" w:after="0"/>
        <w:rPr>
          <w:rFonts w:ascii="Arial" w:hAnsi="Arial" w:cs="Arial"/>
          <w:sz w:val="24"/>
          <w:szCs w:val="24"/>
        </w:rPr>
      </w:pPr>
      <w:r>
        <w:rPr>
          <w:rFonts w:ascii="Arial" w:hAnsi="Arial" w:cs="Arial"/>
          <w:sz w:val="24"/>
          <w:szCs w:val="24"/>
        </w:rPr>
        <w:t xml:space="preserve">* В сезонному </w:t>
      </w:r>
      <w:r>
        <w:rPr>
          <w:rFonts w:ascii="Arial" w:hAnsi="Arial" w:cs="Arial"/>
          <w:sz w:val="24"/>
          <w:szCs w:val="24"/>
        </w:rPr>
        <w:t xml:space="preserve">ході</w:t>
      </w:r>
      <w:r>
        <w:rPr>
          <w:rFonts w:ascii="Arial" w:hAnsi="Arial" w:cs="Arial"/>
          <w:sz w:val="24"/>
          <w:szCs w:val="24"/>
        </w:rPr>
        <w:t xml:space="preserve"> </w:t>
      </w:r>
      <w:r>
        <w:rPr>
          <w:rFonts w:ascii="Arial" w:hAnsi="Arial" w:cs="Arial"/>
          <w:sz w:val="24"/>
          <w:szCs w:val="24"/>
        </w:rPr>
        <w:t xml:space="preserve">місячної</w:t>
      </w:r>
      <w:r>
        <w:rPr>
          <w:rFonts w:ascii="Arial" w:hAnsi="Arial" w:cs="Arial"/>
          <w:sz w:val="24"/>
          <w:szCs w:val="24"/>
        </w:rPr>
        <w:t xml:space="preserve"> </w:t>
      </w:r>
      <w:r>
        <w:rPr>
          <w:rFonts w:ascii="Arial" w:hAnsi="Arial" w:cs="Arial"/>
          <w:sz w:val="24"/>
          <w:szCs w:val="24"/>
        </w:rPr>
        <w:t xml:space="preserve">суми</w:t>
      </w:r>
      <w:r>
        <w:rPr>
          <w:rFonts w:ascii="Arial" w:hAnsi="Arial" w:cs="Arial"/>
          <w:sz w:val="24"/>
          <w:szCs w:val="24"/>
        </w:rPr>
        <w:t xml:space="preserve"> </w:t>
      </w:r>
      <w:r>
        <w:rPr>
          <w:rFonts w:ascii="Arial" w:hAnsi="Arial" w:cs="Arial"/>
          <w:sz w:val="24"/>
          <w:szCs w:val="24"/>
        </w:rPr>
        <w:t xml:space="preserve">атмосферних</w:t>
      </w:r>
      <w:r>
        <w:rPr>
          <w:rFonts w:ascii="Arial" w:hAnsi="Arial" w:cs="Arial"/>
          <w:sz w:val="24"/>
          <w:szCs w:val="24"/>
        </w:rPr>
        <w:t xml:space="preserve"> </w:t>
      </w:r>
      <w:r>
        <w:rPr>
          <w:rFonts w:ascii="Arial" w:hAnsi="Arial" w:cs="Arial"/>
          <w:sz w:val="24"/>
          <w:szCs w:val="24"/>
        </w:rPr>
        <w:t xml:space="preserve">опадів</w:t>
      </w:r>
      <w:r>
        <w:rPr>
          <w:rFonts w:ascii="Arial" w:hAnsi="Arial" w:cs="Arial"/>
          <w:sz w:val="24"/>
          <w:szCs w:val="24"/>
        </w:rPr>
        <w:t xml:space="preserve"> </w:t>
      </w:r>
      <w:r>
        <w:rPr>
          <w:rFonts w:ascii="Arial" w:hAnsi="Arial" w:cs="Arial"/>
          <w:sz w:val="24"/>
          <w:szCs w:val="24"/>
        </w:rPr>
        <w:t xml:space="preserve">спостерігається</w:t>
      </w:r>
      <w:r>
        <w:rPr>
          <w:rFonts w:ascii="Arial" w:hAnsi="Arial" w:cs="Arial"/>
          <w:sz w:val="24"/>
          <w:szCs w:val="24"/>
        </w:rPr>
        <w:t xml:space="preserve"> </w:t>
      </w:r>
      <w:r>
        <w:rPr>
          <w:rFonts w:ascii="Arial" w:hAnsi="Arial" w:cs="Arial"/>
          <w:sz w:val="24"/>
          <w:szCs w:val="24"/>
        </w:rPr>
        <w:t xml:space="preserve">перерозподіл</w:t>
      </w:r>
      <w:r>
        <w:rPr>
          <w:rFonts w:ascii="Arial" w:hAnsi="Arial" w:cs="Arial"/>
          <w:sz w:val="24"/>
          <w:szCs w:val="24"/>
        </w:rPr>
        <w:t xml:space="preserve"> за сезонами. </w:t>
      </w:r>
      <w:r>
        <w:rPr>
          <w:rFonts w:ascii="Arial" w:hAnsi="Arial" w:cs="Arial"/>
          <w:sz w:val="24"/>
          <w:szCs w:val="24"/>
        </w:rPr>
        <w:t xml:space="preserve">Характерне</w:t>
      </w:r>
      <w:r>
        <w:rPr>
          <w:rFonts w:ascii="Arial" w:hAnsi="Arial" w:cs="Arial"/>
          <w:sz w:val="24"/>
          <w:szCs w:val="24"/>
        </w:rPr>
        <w:t xml:space="preserve"> </w:t>
      </w:r>
      <w:r>
        <w:rPr>
          <w:rFonts w:ascii="Arial" w:hAnsi="Arial" w:cs="Arial"/>
          <w:sz w:val="24"/>
          <w:szCs w:val="24"/>
        </w:rPr>
        <w:t xml:space="preserve">збільшення</w:t>
      </w:r>
      <w:r>
        <w:rPr>
          <w:rFonts w:ascii="Arial" w:hAnsi="Arial" w:cs="Arial"/>
          <w:sz w:val="24"/>
          <w:szCs w:val="24"/>
        </w:rPr>
        <w:t xml:space="preserve"> </w:t>
      </w:r>
      <w:r>
        <w:rPr>
          <w:rFonts w:ascii="Arial" w:hAnsi="Arial" w:cs="Arial"/>
          <w:sz w:val="24"/>
          <w:szCs w:val="24"/>
        </w:rPr>
        <w:t xml:space="preserve">опадів</w:t>
      </w:r>
      <w:r>
        <w:rPr>
          <w:rFonts w:ascii="Arial" w:hAnsi="Arial" w:cs="Arial"/>
          <w:sz w:val="24"/>
          <w:szCs w:val="24"/>
        </w:rPr>
        <w:t xml:space="preserve"> </w:t>
      </w:r>
      <w:r>
        <w:rPr>
          <w:rFonts w:ascii="Arial" w:hAnsi="Arial" w:cs="Arial"/>
          <w:sz w:val="24"/>
          <w:szCs w:val="24"/>
        </w:rPr>
        <w:t xml:space="preserve">спостерігається</w:t>
      </w:r>
      <w:r>
        <w:rPr>
          <w:rFonts w:ascii="Arial" w:hAnsi="Arial" w:cs="Arial"/>
          <w:sz w:val="24"/>
          <w:szCs w:val="24"/>
        </w:rPr>
        <w:t xml:space="preserve"> у </w:t>
      </w:r>
      <w:r>
        <w:rPr>
          <w:rFonts w:ascii="Arial" w:hAnsi="Arial" w:cs="Arial"/>
          <w:sz w:val="24"/>
          <w:szCs w:val="24"/>
        </w:rPr>
        <w:t xml:space="preserve">червні-липні</w:t>
      </w:r>
      <w:r>
        <w:rPr>
          <w:rFonts w:ascii="Arial" w:hAnsi="Arial" w:cs="Arial"/>
          <w:sz w:val="24"/>
          <w:szCs w:val="24"/>
        </w:rPr>
        <w:t xml:space="preserve">. </w:t>
      </w:r>
      <w:r/>
    </w:p>
    <w:p>
      <w:pPr>
        <w:jc w:val="both"/>
        <w:spacing w:lineRule="auto" w:line="240" w:after="0"/>
        <w:rPr>
          <w:rFonts w:ascii="Arial" w:hAnsi="Arial" w:cs="Arial"/>
          <w:sz w:val="24"/>
          <w:szCs w:val="24"/>
          <w:lang w:val="uk-UA"/>
        </w:rPr>
      </w:pPr>
      <w:r>
        <w:rPr>
          <w:rFonts w:ascii="Arial" w:hAnsi="Arial" w:cs="Arial"/>
          <w:sz w:val="24"/>
          <w:szCs w:val="24"/>
        </w:rPr>
        <w:tab/>
      </w:r>
      <w:r>
        <w:rPr>
          <w:rFonts w:ascii="Arial" w:hAnsi="Arial" w:cs="Arial"/>
          <w:sz w:val="24"/>
          <w:szCs w:val="24"/>
          <w:lang w:val="uk-UA"/>
        </w:rPr>
        <w:t xml:space="preserve">* Відповідно до розроблених сценаріїв до 2050 року в регіоні очікується незначне збільшення кількості атмосферних опадів.</w:t>
      </w:r>
      <w:r/>
    </w:p>
    <w:p>
      <w:pPr>
        <w:jc w:val="both"/>
        <w:spacing w:lineRule="auto" w:line="240" w:after="0"/>
        <w:rPr>
          <w:rFonts w:ascii="Arial" w:hAnsi="Arial" w:cs="Arial"/>
          <w:sz w:val="24"/>
          <w:szCs w:val="24"/>
          <w:lang w:val="uk-UA"/>
        </w:rPr>
      </w:pPr>
      <w:r>
        <w:rPr>
          <w:rFonts w:ascii="Arial" w:hAnsi="Arial" w:cs="Arial"/>
          <w:sz w:val="24"/>
          <w:szCs w:val="24"/>
          <w:lang w:val="uk-UA"/>
        </w:rPr>
      </w:r>
      <w:r/>
    </w:p>
    <w:p>
      <w:pPr>
        <w:jc w:val="both"/>
        <w:spacing w:lineRule="auto" w:line="240" w:after="0"/>
        <w:rPr>
          <w:rFonts w:ascii="Arial" w:hAnsi="Arial" w:cs="Arial"/>
          <w:sz w:val="24"/>
          <w:szCs w:val="24"/>
          <w:lang w:val="uk-UA" w:eastAsia="ru-RU"/>
        </w:rPr>
      </w:pPr>
      <w:r>
        <w:rPr>
          <w:rFonts w:ascii="Arial" w:hAnsi="Arial" w:cs="Arial"/>
          <w:sz w:val="24"/>
          <w:szCs w:val="24"/>
          <w:lang w:val="uk-UA" w:eastAsia="uk-UA"/>
        </w:rPr>
        <w:drawing>
          <wp:inline distT="0" distB="0" distL="0" distR="0">
            <wp:extent cx="4442460" cy="2651760"/>
            <wp:effectExtent l="0" t="0" r="0" b="0"/>
            <wp:docPr id="34" name="Диаграмма 29"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p>
    <w:p>
      <w:pPr>
        <w:jc w:val="both"/>
        <w:spacing w:lineRule="auto" w:line="240" w:after="0"/>
        <w:rPr>
          <w:rFonts w:ascii="Arial" w:hAnsi="Arial" w:cs="Arial"/>
          <w:sz w:val="24"/>
          <w:szCs w:val="24"/>
          <w:lang w:val="uk-UA" w:eastAsia="ru-RU"/>
        </w:rPr>
      </w:pPr>
      <w:r>
        <w:rPr>
          <w:rFonts w:ascii="Arial" w:hAnsi="Arial" w:cs="Arial"/>
          <w:sz w:val="24"/>
          <w:szCs w:val="24"/>
          <w:lang w:val="uk-UA" w:eastAsia="ru-RU"/>
        </w:rPr>
      </w:r>
      <w:r/>
    </w:p>
    <w:p>
      <w:pPr>
        <w:ind w:firstLine="720"/>
        <w:jc w:val="both"/>
        <w:spacing w:lineRule="auto" w:line="240" w:after="0"/>
        <w:rPr>
          <w:rFonts w:ascii="Arial" w:hAnsi="Arial" w:cs="Arial"/>
          <w:b/>
          <w:sz w:val="24"/>
          <w:szCs w:val="24"/>
          <w:lang w:val="uk-UA"/>
        </w:rPr>
      </w:pPr>
      <w:r>
        <w:rPr>
          <w:rFonts w:ascii="Arial" w:hAnsi="Arial" w:cs="Arial"/>
          <w:b/>
          <w:sz w:val="24"/>
          <w:szCs w:val="24"/>
          <w:lang w:val="uk-UA"/>
        </w:rPr>
        <w:t xml:space="preserve">Рис. 4. Сезонний хід суми атмосферних опадів  на станціях Сновськ (1) та Чернігів (2) для періоду 1961–1990 рр., а також їх мінімальні і максимальні значення  (3) (табл. 3).</w:t>
      </w:r>
      <w:r/>
    </w:p>
    <w:p>
      <w:pPr>
        <w:jc w:val="both"/>
        <w:spacing w:lineRule="auto" w:line="240" w:after="0"/>
        <w:rPr>
          <w:rFonts w:ascii="Arial" w:hAnsi="Arial" w:cs="Arial"/>
          <w:sz w:val="24"/>
          <w:szCs w:val="24"/>
          <w:lang w:val="uk-UA" w:eastAsia="ru-RU"/>
        </w:rPr>
      </w:pPr>
      <w:r>
        <w:rPr>
          <w:rFonts w:ascii="Arial" w:hAnsi="Arial" w:cs="Arial"/>
          <w:sz w:val="24"/>
          <w:szCs w:val="24"/>
          <w:lang w:val="uk-UA" w:eastAsia="ru-RU"/>
        </w:rPr>
      </w:r>
      <w:r/>
    </w:p>
    <w:p>
      <w:pPr>
        <w:jc w:val="both"/>
        <w:spacing w:lineRule="auto" w:line="240" w:after="20" w:before="20"/>
        <w:rPr>
          <w:rFonts w:ascii="Arial" w:hAnsi="Arial" w:cs="Arial"/>
          <w:sz w:val="24"/>
          <w:szCs w:val="24"/>
          <w:lang w:eastAsia="ru-RU"/>
        </w:rPr>
      </w:pPr>
      <w:r>
        <w:rPr>
          <w:rFonts w:ascii="Arial" w:hAnsi="Arial" w:cs="Arial"/>
          <w:sz w:val="24"/>
          <w:szCs w:val="24"/>
          <w:lang w:val="uk-UA" w:eastAsia="uk-UA"/>
        </w:rPr>
        <w:drawing>
          <wp:inline distT="0" distB="0" distL="0" distR="0">
            <wp:extent cx="4587240" cy="2621280"/>
            <wp:effectExtent l="0" t="0" r="3810" b="7620"/>
            <wp:docPr id="35" name="Диаграмма 31" hidden="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p>
    <w:p>
      <w:pPr>
        <w:ind w:left="142" w:right="283" w:firstLine="567"/>
        <w:jc w:val="both"/>
        <w:spacing w:lineRule="auto" w:line="240" w:after="0"/>
        <w:rPr>
          <w:rFonts w:ascii="Arial" w:hAnsi="Arial" w:cs="Arial"/>
          <w:b/>
          <w:sz w:val="24"/>
          <w:szCs w:val="24"/>
          <w:lang w:val="uk-UA"/>
        </w:rPr>
      </w:pPr>
      <w:r>
        <w:rPr>
          <w:rFonts w:ascii="Arial" w:hAnsi="Arial" w:cs="Arial"/>
          <w:b/>
          <w:sz w:val="24"/>
          <w:szCs w:val="24"/>
          <w:lang w:val="uk-UA"/>
        </w:rPr>
      </w:r>
      <w:r/>
    </w:p>
    <w:p>
      <w:pPr>
        <w:ind w:left="142" w:right="283" w:firstLine="567"/>
        <w:jc w:val="both"/>
        <w:spacing w:lineRule="auto" w:line="240" w:after="0"/>
        <w:rPr>
          <w:rFonts w:ascii="Arial" w:hAnsi="Arial" w:cs="Arial"/>
          <w:b/>
          <w:sz w:val="24"/>
          <w:szCs w:val="24"/>
          <w:lang w:val="uk-UA"/>
        </w:rPr>
      </w:pPr>
      <w:r>
        <w:rPr>
          <w:rFonts w:ascii="Arial" w:hAnsi="Arial" w:cs="Arial"/>
          <w:b/>
          <w:sz w:val="24"/>
          <w:szCs w:val="24"/>
          <w:lang w:val="uk-UA"/>
        </w:rPr>
        <w:t xml:space="preserve">Рис. 5. Часовий хід річної суми атмосферних опадів на метеостанції Чернігів за період 1970-2019 рр. (1 – емпіричні данні, 2 – </w:t>
      </w:r>
      <w:r>
        <w:rPr>
          <w:rFonts w:ascii="Arial" w:hAnsi="Arial" w:cs="Arial"/>
          <w:b/>
          <w:color w:val="000000"/>
          <w:sz w:val="24"/>
          <w:szCs w:val="24"/>
          <w:lang w:val="uk-UA" w:eastAsia="ru-RU"/>
        </w:rPr>
        <w:t xml:space="preserve">±σ, 3 - </w:t>
      </w:r>
      <w:r>
        <w:rPr>
          <w:rFonts w:ascii="Arial" w:hAnsi="Arial" w:cs="Arial"/>
          <w:b/>
          <w:sz w:val="24"/>
          <w:szCs w:val="24"/>
          <w:lang w:val="uk-UA"/>
        </w:rPr>
        <w:t xml:space="preserve">тренд) (табл. 4).</w:t>
      </w:r>
      <w:r/>
    </w:p>
    <w:p>
      <w:pPr>
        <w:ind w:left="142" w:right="283" w:firstLine="567"/>
        <w:jc w:val="both"/>
        <w:spacing w:lineRule="auto" w:line="240" w:after="0"/>
        <w:rPr>
          <w:rFonts w:ascii="Arial" w:hAnsi="Arial" w:cs="Arial"/>
          <w:b/>
          <w:sz w:val="24"/>
          <w:szCs w:val="24"/>
          <w:lang w:val="uk-UA"/>
        </w:rPr>
      </w:pPr>
      <w:r>
        <w:rPr>
          <w:rFonts w:ascii="Arial" w:hAnsi="Arial" w:cs="Arial"/>
          <w:b/>
          <w:sz w:val="24"/>
          <w:szCs w:val="24"/>
          <w:lang w:val="uk-UA"/>
        </w:rPr>
      </w:r>
      <w:r/>
    </w:p>
    <w:tbl>
      <w:tblPr>
        <w:tblStyle w:val="521"/>
        <w:tblW w:w="6886" w:type="dxa"/>
        <w:tblInd w:w="142" w:type="dxa"/>
        <w:shd w:val="clear" w:color="auto" w:fill="BCFFDA" w:themeFill="accent1" w:themeFillTint="33"/>
        <w:tblLook w:val="04A0" w:firstRow="1" w:lastRow="0" w:firstColumn="1" w:lastColumn="0" w:noHBand="0" w:noVBand="1"/>
      </w:tblPr>
      <w:tblGrid>
        <w:gridCol w:w="6886"/>
      </w:tblGrid>
      <w:tr>
        <w:trPr>
          <w:trHeight w:val="3000"/>
        </w:trPr>
        <w:tc>
          <w:tcPr>
            <w:shd w:val="clear" w:color="auto" w:fill="BCFFDA" w:themeFill="accent1" w:themeFillTint="33"/>
            <w:tcW w:w="6886" w:type="dxa"/>
            <w:textDirection w:val="lrTb"/>
            <w:noWrap w:val="false"/>
          </w:tcPr>
          <w:p>
            <w:pPr>
              <w:pStyle w:val="558"/>
              <w:jc w:val="both"/>
              <w:rPr>
                <w:rFonts w:ascii="Arial" w:hAnsi="Arial" w:cs="Arial"/>
                <w:b/>
                <w:sz w:val="24"/>
                <w:szCs w:val="24"/>
                <w:lang w:val="uk-UA"/>
              </w:rPr>
            </w:pPr>
            <w:r>
              <w:rPr>
                <w:rFonts w:ascii="Arial" w:hAnsi="Arial" w:cs="Arial"/>
                <w:b/>
                <w:sz w:val="24"/>
                <w:szCs w:val="24"/>
                <w:lang w:val="uk-UA"/>
              </w:rPr>
              <w:t xml:space="preserve">Основні фактори впливу (загрози) для довкілля, інфраструктури і населення::</w:t>
            </w:r>
            <w:r/>
          </w:p>
          <w:p>
            <w:pPr>
              <w:pStyle w:val="558"/>
              <w:ind w:firstLine="567"/>
              <w:jc w:val="both"/>
              <w:rPr>
                <w:rFonts w:ascii="Arial" w:hAnsi="Arial" w:cs="Arial"/>
                <w:sz w:val="24"/>
                <w:szCs w:val="24"/>
                <w:lang w:val="uk-UA"/>
              </w:rPr>
            </w:pPr>
            <w:r>
              <w:rPr>
                <w:rFonts w:ascii="Arial" w:hAnsi="Arial" w:cs="Arial"/>
                <w:sz w:val="24"/>
                <w:szCs w:val="24"/>
                <w:lang w:val="uk-UA"/>
              </w:rPr>
              <w:t xml:space="preserve">Загрозами, пов’язаними з опадами (факторами впливу на мешканців і навколишнє середовище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можуть бути </w:t>
            </w:r>
            <w:r/>
          </w:p>
          <w:p>
            <w:pPr>
              <w:pStyle w:val="558"/>
              <w:ind w:firstLine="567"/>
              <w:jc w:val="both"/>
              <w:rPr>
                <w:rFonts w:ascii="Arial" w:hAnsi="Arial" w:cs="Arial"/>
                <w:sz w:val="24"/>
                <w:szCs w:val="24"/>
                <w:lang w:val="uk-UA"/>
              </w:rPr>
            </w:pPr>
            <w:r>
              <w:rPr>
                <w:rFonts w:ascii="Arial" w:hAnsi="Arial" w:cs="Arial"/>
                <w:sz w:val="24"/>
                <w:szCs w:val="24"/>
                <w:lang w:val="uk-UA"/>
              </w:rPr>
              <w:t xml:space="preserve">* Підтоплення та паводки у разі масивних короткочасних опадів;</w:t>
            </w:r>
            <w:r/>
          </w:p>
          <w:p>
            <w:pPr>
              <w:pStyle w:val="558"/>
              <w:ind w:firstLine="567"/>
              <w:jc w:val="both"/>
              <w:rPr>
                <w:rFonts w:ascii="Arial" w:hAnsi="Arial" w:cs="Arial"/>
                <w:sz w:val="24"/>
                <w:szCs w:val="24"/>
                <w:lang w:val="uk-UA"/>
              </w:rPr>
            </w:pPr>
            <w:r>
              <w:rPr>
                <w:rFonts w:ascii="Arial" w:hAnsi="Arial" w:cs="Arial"/>
                <w:sz w:val="24"/>
                <w:szCs w:val="24"/>
                <w:lang w:val="uk-UA"/>
              </w:rPr>
              <w:t xml:space="preserve">* Виникнення ситуації дефіциту водних ресурсів  при тривалих періодах затримки опадів;</w:t>
            </w:r>
            <w:r/>
          </w:p>
          <w:p>
            <w:pPr>
              <w:pStyle w:val="558"/>
              <w:ind w:firstLine="567"/>
              <w:jc w:val="both"/>
              <w:rPr>
                <w:rFonts w:ascii="Arial" w:hAnsi="Arial" w:cs="Arial"/>
                <w:b/>
                <w:sz w:val="24"/>
                <w:szCs w:val="24"/>
                <w:lang w:val="uk-UA"/>
              </w:rPr>
            </w:pPr>
            <w:r>
              <w:rPr>
                <w:rFonts w:ascii="Arial" w:hAnsi="Arial" w:cs="Arial"/>
                <w:sz w:val="24"/>
                <w:szCs w:val="24"/>
                <w:lang w:val="uk-UA"/>
              </w:rPr>
              <w:t xml:space="preserve">* Поширення інфекційних захворювань як при надмірних опадах, так і при дефіциті води.</w:t>
            </w:r>
            <w:r/>
          </w:p>
        </w:tc>
      </w:tr>
    </w:tbl>
    <w:p>
      <w:pPr>
        <w:jc w:val="both"/>
        <w:spacing w:lineRule="auto" w:line="240" w:after="0"/>
        <w:rPr>
          <w:rFonts w:ascii="Arial" w:hAnsi="Arial" w:cs="Arial"/>
          <w:sz w:val="24"/>
          <w:szCs w:val="24"/>
        </w:rPr>
        <w:sectPr>
          <w:footnotePr/>
          <w:type w:val="continuous"/>
          <w:pgSz w:w="16839" w:h="11907" w:orient="landscape"/>
          <w:pgMar w:top="1440" w:right="1104" w:bottom="1170" w:left="1440" w:header="720" w:footer="720"/>
          <w:cols w:num="2" w:sep="0" w:space="720" w:equalWidth="1"/>
          <w:docGrid w:linePitch="360"/>
        </w:sectPr>
      </w:pPr>
      <w:r>
        <w:rPr>
          <w:rFonts w:ascii="Arial" w:hAnsi="Arial" w:cs="Arial"/>
          <w:sz w:val="24"/>
          <w:szCs w:val="24"/>
        </w:rPr>
      </w:r>
      <w:r/>
    </w:p>
    <w:p>
      <w:pPr>
        <w:jc w:val="both"/>
        <w:spacing w:lineRule="auto" w:line="240" w:after="0"/>
        <w:rPr>
          <w:rFonts w:ascii="Arial" w:hAnsi="Arial" w:cs="Arial"/>
          <w:sz w:val="24"/>
          <w:szCs w:val="24"/>
          <w:lang w:val="uk-UA"/>
        </w:rPr>
      </w:pPr>
      <w:r>
        <w:rPr>
          <w:rFonts w:ascii="Arial" w:hAnsi="Arial" w:cs="Arial"/>
          <w:sz w:val="24"/>
          <w:szCs w:val="24"/>
          <w:lang w:val="uk-UA"/>
        </w:rPr>
      </w:r>
      <w:r/>
    </w:p>
    <w:p>
      <w:pPr>
        <w:ind w:left="709"/>
        <w:jc w:val="both"/>
        <w:spacing w:lineRule="auto" w:line="240" w:after="120" w:before="240"/>
        <w:rPr>
          <w:rFonts w:ascii="Arial" w:hAnsi="Arial" w:cs="Arial"/>
          <w:b/>
          <w:sz w:val="24"/>
          <w:szCs w:val="24"/>
          <w:lang w:val="uk-UA"/>
        </w:rPr>
      </w:pPr>
      <w:r>
        <w:rPr>
          <w:rFonts w:ascii="Arial" w:hAnsi="Arial" w:cs="Arial"/>
          <w:b/>
          <w:sz w:val="24"/>
          <w:szCs w:val="24"/>
          <w:lang w:val="uk-UA"/>
        </w:rPr>
        <w:t xml:space="preserve">Таблиця 4. Основні кліматичні характеристики та повторюваність небезпечних явищ погоди зафіксовані в Чернігові за період 1970-2019 рр.</w:t>
      </w:r>
      <w:r/>
    </w:p>
    <w:tbl>
      <w:tblPr>
        <w:tblW w:w="12359"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4A0" w:firstRow="1" w:lastRow="0" w:firstColumn="1" w:lastColumn="0" w:noHBand="0" w:noVBand="1"/>
      </w:tblPr>
      <w:tblGrid>
        <w:gridCol w:w="2095"/>
        <w:gridCol w:w="933"/>
        <w:gridCol w:w="934"/>
        <w:gridCol w:w="934"/>
        <w:gridCol w:w="933"/>
        <w:gridCol w:w="933"/>
        <w:gridCol w:w="933"/>
        <w:gridCol w:w="933"/>
        <w:gridCol w:w="932"/>
        <w:gridCol w:w="933"/>
        <w:gridCol w:w="933"/>
        <w:gridCol w:w="933"/>
      </w:tblGrid>
      <w:tr>
        <w:trPr>
          <w:cantSplit/>
          <w:jc w:val="center"/>
          <w:trHeight w:val="2028"/>
        </w:trPr>
        <w:tc>
          <w:tcPr>
            <w:tcBorders>
              <w:left w:val="single" w:sz="4" w:space="0" w:color="auto"/>
              <w:top w:val="single" w:sz="4" w:space="0" w:color="auto"/>
              <w:right w:val="single" w:sz="4" w:space="0" w:color="auto"/>
              <w:bottom w:val="single" w:sz="4" w:space="0" w:color="auto"/>
            </w:tcBorders>
            <w:tcW w:w="2095" w:type="dxa"/>
            <w:vAlign w:val="bottom"/>
            <w:textDirection w:val="btLr"/>
            <w:noWrap/>
          </w:tcPr>
          <w:p>
            <w:pPr>
              <w:ind w:left="113" w:right="113"/>
              <w:jc w:val="both"/>
              <w:spacing w:lineRule="auto" w:line="240" w:after="0"/>
              <w:rPr>
                <w:rFonts w:ascii="Arial" w:hAnsi="Arial" w:cs="Arial"/>
                <w:sz w:val="24"/>
                <w:szCs w:val="24"/>
                <w:lang w:val="uk-UA" w:eastAsia="ru-RU"/>
              </w:rPr>
            </w:pPr>
            <w:r>
              <w:rPr>
                <w:rFonts w:ascii="Arial" w:hAnsi="Arial" w:cs="Arial"/>
                <w:sz w:val="24"/>
                <w:szCs w:val="24"/>
                <w:lang w:val="uk-UA" w:eastAsia="ru-RU"/>
              </w:rPr>
              <w:t xml:space="preserve">Роки</w:t>
            </w:r>
            <w:r/>
          </w:p>
        </w:tc>
        <w:tc>
          <w:tcPr>
            <w:shd w:val="clear" w:color="auto" w:fill="FFFFFF"/>
            <w:tcBorders>
              <w:left w:val="single" w:sz="4" w:space="0" w:color="auto"/>
              <w:top w:val="single" w:sz="4" w:space="0" w:color="auto"/>
              <w:right w:val="single" w:sz="4" w:space="0" w:color="auto"/>
              <w:bottom w:val="single" w:sz="4" w:space="0" w:color="auto"/>
            </w:tcBorders>
            <w:tcW w:w="933" w:type="dxa"/>
            <w:vAlign w:val="center"/>
            <w:textDirection w:val="btLr"/>
            <w:noWrap w:val="false"/>
          </w:tcPr>
          <w:p>
            <w:pPr>
              <w:ind w:left="113" w:right="113"/>
              <w:jc w:val="both"/>
              <w:spacing w:lineRule="auto" w:line="240" w:after="0"/>
              <w:rPr>
                <w:rFonts w:ascii="Arial" w:hAnsi="Arial" w:cs="Arial"/>
                <w:sz w:val="24"/>
                <w:szCs w:val="24"/>
                <w:lang w:val="uk-UA"/>
              </w:rPr>
            </w:pPr>
            <w:r>
              <w:rPr>
                <w:rFonts w:ascii="Arial" w:hAnsi="Arial" w:cs="Arial"/>
                <w:sz w:val="24"/>
                <w:szCs w:val="24"/>
                <w:lang w:val="uk-UA"/>
              </w:rPr>
              <w:t xml:space="preserve">Середньомісячна</w:t>
            </w:r>
            <w:r/>
          </w:p>
          <w:p>
            <w:pPr>
              <w:ind w:left="113" w:right="113"/>
              <w:jc w:val="both"/>
              <w:spacing w:lineRule="auto" w:line="240" w:after="0"/>
              <w:rPr>
                <w:rFonts w:ascii="Arial" w:hAnsi="Arial" w:cs="Arial"/>
                <w:bCs/>
                <w:sz w:val="24"/>
                <w:szCs w:val="24"/>
                <w:lang w:val="uk-UA" w:eastAsia="ru-RU"/>
              </w:rPr>
            </w:pPr>
            <w:r>
              <w:rPr>
                <w:rFonts w:ascii="Arial" w:hAnsi="Arial" w:cs="Arial"/>
                <w:sz w:val="24"/>
                <w:szCs w:val="24"/>
                <w:lang w:val="uk-UA"/>
              </w:rPr>
              <w:t xml:space="preserve">температура, </w:t>
            </w:r>
            <w:r>
              <w:rPr>
                <w:rFonts w:ascii="Arial" w:hAnsi="Arial" w:cs="Arial"/>
                <w:sz w:val="24"/>
                <w:szCs w:val="24"/>
                <w:vertAlign w:val="superscript"/>
                <w:lang w:val="uk-UA"/>
              </w:rPr>
              <w:t xml:space="preserve">о</w:t>
            </w:r>
            <w:r>
              <w:rPr>
                <w:rFonts w:ascii="Arial" w:hAnsi="Arial" w:cs="Arial"/>
                <w:sz w:val="24"/>
                <w:szCs w:val="24"/>
                <w:lang w:val="uk-UA"/>
              </w:rPr>
              <w:t xml:space="preserve">С</w:t>
            </w:r>
            <w:r/>
          </w:p>
        </w:tc>
        <w:tc>
          <w:tcPr>
            <w:shd w:val="clear" w:color="auto" w:fill="FFFFFF"/>
            <w:tcBorders>
              <w:left w:val="single" w:sz="4" w:space="0" w:color="auto"/>
              <w:top w:val="single" w:sz="4" w:space="0" w:color="auto"/>
              <w:right w:val="single" w:sz="4" w:space="0" w:color="auto"/>
              <w:bottom w:val="single" w:sz="4" w:space="0" w:color="auto"/>
            </w:tcBorders>
            <w:tcW w:w="934"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sz w:val="24"/>
                <w:szCs w:val="24"/>
                <w:lang w:val="uk-UA"/>
              </w:rPr>
              <w:t xml:space="preserve">Максимальні температура, </w:t>
            </w:r>
            <w:r>
              <w:rPr>
                <w:rFonts w:ascii="Arial" w:hAnsi="Arial" w:cs="Arial"/>
                <w:sz w:val="24"/>
                <w:szCs w:val="24"/>
                <w:vertAlign w:val="superscript"/>
                <w:lang w:val="uk-UA"/>
              </w:rPr>
              <w:t xml:space="preserve">о</w:t>
            </w:r>
            <w:r>
              <w:rPr>
                <w:rFonts w:ascii="Arial" w:hAnsi="Arial" w:cs="Arial"/>
                <w:sz w:val="24"/>
                <w:szCs w:val="24"/>
                <w:lang w:val="uk-UA"/>
              </w:rPr>
              <w:t xml:space="preserve">С</w:t>
            </w:r>
            <w:r/>
          </w:p>
        </w:tc>
        <w:tc>
          <w:tcPr>
            <w:shd w:val="clear" w:color="auto" w:fill="FFFFFF"/>
            <w:tcBorders>
              <w:left w:val="single" w:sz="4" w:space="0" w:color="auto"/>
              <w:top w:val="single" w:sz="4" w:space="0" w:color="auto"/>
              <w:right w:val="single" w:sz="4" w:space="0" w:color="auto"/>
              <w:bottom w:val="single" w:sz="4" w:space="0" w:color="auto"/>
            </w:tcBorders>
            <w:tcW w:w="934"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sz w:val="24"/>
                <w:szCs w:val="24"/>
                <w:lang w:val="uk-UA"/>
              </w:rPr>
              <w:t xml:space="preserve">Мінімальна температура, </w:t>
            </w:r>
            <w:r>
              <w:rPr>
                <w:rFonts w:ascii="Arial" w:hAnsi="Arial" w:cs="Arial"/>
                <w:sz w:val="24"/>
                <w:szCs w:val="24"/>
                <w:vertAlign w:val="superscript"/>
                <w:lang w:val="uk-UA"/>
              </w:rPr>
              <w:t xml:space="preserve">о</w:t>
            </w:r>
            <w:r>
              <w:rPr>
                <w:rFonts w:ascii="Arial" w:hAnsi="Arial" w:cs="Arial"/>
                <w:sz w:val="24"/>
                <w:szCs w:val="24"/>
                <w:lang w:val="uk-UA"/>
              </w:rPr>
              <w:t xml:space="preserve">С</w:t>
            </w:r>
            <w:r/>
          </w:p>
        </w:tc>
        <w:tc>
          <w:tcPr>
            <w:shd w:val="clear" w:color="auto" w:fill="FFFFFF"/>
            <w:tcBorders>
              <w:left w:val="single" w:sz="4" w:space="0" w:color="auto"/>
              <w:top w:val="single" w:sz="4" w:space="0" w:color="auto"/>
              <w:right w:val="single" w:sz="4" w:space="0" w:color="auto"/>
              <w:bottom w:val="single" w:sz="4" w:space="0" w:color="auto"/>
            </w:tcBorders>
            <w:tcW w:w="933"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bCs/>
                <w:sz w:val="24"/>
                <w:szCs w:val="24"/>
                <w:lang w:val="uk-UA" w:eastAsia="ru-RU"/>
              </w:rPr>
              <w:t xml:space="preserve">Кількість атмосферних опадів, мм/міс.</w:t>
            </w:r>
            <w:r/>
          </w:p>
        </w:tc>
        <w:tc>
          <w:tcPr>
            <w:shd w:val="clear" w:color="auto" w:fill="FFFFFF"/>
            <w:tcBorders>
              <w:left w:val="single" w:sz="4" w:space="0" w:color="auto"/>
              <w:top w:val="single" w:sz="4" w:space="0" w:color="auto"/>
              <w:right w:val="single" w:sz="4" w:space="0" w:color="auto"/>
              <w:bottom w:val="single" w:sz="4" w:space="0" w:color="auto"/>
            </w:tcBorders>
            <w:tcW w:w="933"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bCs/>
                <w:sz w:val="24"/>
                <w:szCs w:val="24"/>
                <w:lang w:val="uk-UA" w:eastAsia="ru-RU"/>
              </w:rPr>
              <w:t xml:space="preserve">Середня швидкість вітру, км/год</w:t>
            </w:r>
            <w:r/>
          </w:p>
        </w:tc>
        <w:tc>
          <w:tcPr>
            <w:shd w:val="clear" w:color="auto" w:fill="FFFFFF"/>
            <w:tcBorders>
              <w:left w:val="single" w:sz="4" w:space="0" w:color="auto"/>
              <w:top w:val="single" w:sz="4" w:space="0" w:color="auto"/>
              <w:right w:val="single" w:sz="4" w:space="0" w:color="auto"/>
              <w:bottom w:val="single" w:sz="4" w:space="0" w:color="auto"/>
            </w:tcBorders>
            <w:tcW w:w="933"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bCs/>
                <w:sz w:val="24"/>
                <w:szCs w:val="24"/>
                <w:lang w:val="uk-UA" w:eastAsia="ru-RU"/>
              </w:rPr>
              <w:t xml:space="preserve">Кількість днів з дощем</w:t>
            </w:r>
            <w:r/>
          </w:p>
        </w:tc>
        <w:tc>
          <w:tcPr>
            <w:shd w:val="clear" w:color="auto" w:fill="FFFFFF"/>
            <w:tcBorders>
              <w:left w:val="single" w:sz="4" w:space="0" w:color="auto"/>
              <w:top w:val="single" w:sz="4" w:space="0" w:color="auto"/>
              <w:right w:val="single" w:sz="4" w:space="0" w:color="auto"/>
              <w:bottom w:val="single" w:sz="4" w:space="0" w:color="auto"/>
            </w:tcBorders>
            <w:tcW w:w="933"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bCs/>
                <w:sz w:val="24"/>
                <w:szCs w:val="24"/>
                <w:lang w:val="uk-UA" w:eastAsia="ru-RU"/>
              </w:rPr>
              <w:t xml:space="preserve">Кількість днів із снігом</w:t>
            </w:r>
            <w:r/>
          </w:p>
        </w:tc>
        <w:tc>
          <w:tcPr>
            <w:shd w:val="clear" w:color="auto" w:fill="FFFFFF"/>
            <w:tcBorders>
              <w:left w:val="single" w:sz="4" w:space="0" w:color="auto"/>
              <w:top w:val="single" w:sz="4" w:space="0" w:color="auto"/>
              <w:right w:val="single" w:sz="4" w:space="0" w:color="auto"/>
              <w:bottom w:val="single" w:sz="4" w:space="0" w:color="auto"/>
            </w:tcBorders>
            <w:tcW w:w="932"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bCs/>
                <w:sz w:val="24"/>
                <w:szCs w:val="24"/>
                <w:lang w:val="uk-UA" w:eastAsia="ru-RU"/>
              </w:rPr>
              <w:t xml:space="preserve">Кількість днів із грозою</w:t>
            </w:r>
            <w:r/>
          </w:p>
        </w:tc>
        <w:tc>
          <w:tcPr>
            <w:shd w:val="clear" w:color="auto" w:fill="FFFFFF"/>
            <w:tcBorders>
              <w:left w:val="single" w:sz="4" w:space="0" w:color="auto"/>
              <w:top w:val="single" w:sz="4" w:space="0" w:color="auto"/>
              <w:right w:val="single" w:sz="4" w:space="0" w:color="auto"/>
              <w:bottom w:val="single" w:sz="4" w:space="0" w:color="auto"/>
            </w:tcBorders>
            <w:tcW w:w="933"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bCs/>
                <w:sz w:val="24"/>
                <w:szCs w:val="24"/>
                <w:lang w:val="uk-UA" w:eastAsia="ru-RU"/>
              </w:rPr>
              <w:t xml:space="preserve">Кількість днів  з туманом</w:t>
            </w:r>
            <w:r/>
          </w:p>
        </w:tc>
        <w:tc>
          <w:tcPr>
            <w:shd w:val="clear" w:color="auto" w:fill="FFFFFF"/>
            <w:tcBorders>
              <w:left w:val="single" w:sz="4" w:space="0" w:color="auto"/>
              <w:top w:val="single" w:sz="4" w:space="0" w:color="auto"/>
              <w:right w:val="single" w:sz="4" w:space="0" w:color="auto"/>
              <w:bottom w:val="single" w:sz="4" w:space="0" w:color="auto"/>
            </w:tcBorders>
            <w:tcW w:w="933"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sz w:val="24"/>
                <w:szCs w:val="24"/>
                <w:lang w:val="uk-UA"/>
              </w:rPr>
              <w:t xml:space="preserve">Кількість днів зі смерчами</w:t>
            </w:r>
            <w:r/>
          </w:p>
        </w:tc>
        <w:tc>
          <w:tcPr>
            <w:shd w:val="clear" w:color="auto" w:fill="FFFFFF"/>
            <w:tcBorders>
              <w:left w:val="single" w:sz="4" w:space="0" w:color="auto"/>
              <w:top w:val="single" w:sz="4" w:space="0" w:color="auto"/>
              <w:right w:val="single" w:sz="4" w:space="0" w:color="auto"/>
              <w:bottom w:val="single" w:sz="4" w:space="0" w:color="auto"/>
            </w:tcBorders>
            <w:tcW w:w="933" w:type="dxa"/>
            <w:vAlign w:val="center"/>
            <w:textDirection w:val="btLr"/>
            <w:noWrap w:val="false"/>
          </w:tcPr>
          <w:p>
            <w:pPr>
              <w:ind w:left="113" w:right="113"/>
              <w:jc w:val="both"/>
              <w:spacing w:lineRule="auto" w:line="240" w:after="0"/>
              <w:rPr>
                <w:rFonts w:ascii="Arial" w:hAnsi="Arial" w:cs="Arial"/>
                <w:bCs/>
                <w:sz w:val="24"/>
                <w:szCs w:val="24"/>
                <w:lang w:val="uk-UA" w:eastAsia="ru-RU"/>
              </w:rPr>
            </w:pPr>
            <w:r>
              <w:rPr>
                <w:rFonts w:ascii="Arial" w:hAnsi="Arial" w:cs="Arial"/>
                <w:sz w:val="24"/>
                <w:szCs w:val="24"/>
                <w:lang w:val="uk-UA"/>
              </w:rPr>
              <w:t xml:space="preserve">Кількість днів з градом</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6.69</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794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130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86</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47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6.68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731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63</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7.34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337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108.5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61</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6.64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2.2</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582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112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69</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38</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7.20</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519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41</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47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8.58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13.6</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3.9</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440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60</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5.31</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9.8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510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130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57</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50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6.53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2.4</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715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135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63</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18</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54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5.90</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578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74</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4</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1979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6.67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551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72</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57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5.62</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9.9</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1.7</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756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139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79</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45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7.52</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673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72</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39</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7.33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463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131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52</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49</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7.98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3.4</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498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67</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41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6.67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11.2</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2.4</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630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64</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39</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5.08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9.9</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0.3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573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116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76</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45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6.68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568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59</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45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4.68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9.6</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-0.1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629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112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73</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6.77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2.4</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694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114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76</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1989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8.69</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3.9</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481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44</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38</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8.27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4.2</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742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149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43</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18</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40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7.27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3.6</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462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114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55</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54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7.68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3.5</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504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78</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6.38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2.5</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601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131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61</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7.26</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489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73</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7.75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11.9</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3.8</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690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63</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19</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6.33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637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53</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9</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19</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6.68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2.8</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695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71</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18</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7.13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3.5</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634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131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67</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1999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8.43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12.9</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4.4</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544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69</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8.39</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4.5</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640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55</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7.70</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12.1</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649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118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70</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8.43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3.6</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640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55</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7.30</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11.6</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553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52</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7.74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528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60</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7.74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606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68</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7.34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607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52</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15</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39</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8.86</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4.7</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603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48</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8.69</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13.2</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4.6</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640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47</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39</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2009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8.14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12.6</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3.9</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571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53</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50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8.28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13.1</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655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84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56</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2011</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7.99</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12.8</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3.8</w:t>
            </w:r>
            <w:r/>
          </w:p>
        </w:tc>
        <w:tc>
          <w:tcPr>
            <w:tcBorders>
              <w:left w:val="single" w:sz="4" w:space="0" w:color="auto"/>
              <w:top w:val="single" w:sz="4" w:space="0" w:color="auto"/>
              <w:right w:val="single" w:sz="4" w:space="0" w:color="auto"/>
              <w:bottom w:val="single" w:sz="4" w:space="0" w:color="auto"/>
            </w:tcBorders>
            <w:tcW w:w="933" w:type="dxa"/>
            <w:vAlign w:val="center"/>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606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94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55</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7.80</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3" w:type="dxa"/>
            <w:vAlign w:val="center"/>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708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56</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2013</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8.23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4.4</w:t>
            </w:r>
            <w:r/>
          </w:p>
        </w:tc>
        <w:tc>
          <w:tcPr>
            <w:tcBorders>
              <w:left w:val="single" w:sz="4" w:space="0" w:color="auto"/>
              <w:top w:val="single" w:sz="4" w:space="0" w:color="auto"/>
              <w:right w:val="single" w:sz="4" w:space="0" w:color="auto"/>
              <w:bottom w:val="single" w:sz="4" w:space="0" w:color="auto"/>
            </w:tcBorders>
            <w:tcW w:w="933" w:type="dxa"/>
            <w:vAlign w:val="center"/>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602</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61</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7.75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3.4</w:t>
            </w:r>
            <w:r/>
          </w:p>
        </w:tc>
        <w:tc>
          <w:tcPr>
            <w:tcBorders>
              <w:left w:val="single" w:sz="4" w:space="0" w:color="auto"/>
              <w:top w:val="single" w:sz="4" w:space="0" w:color="auto"/>
              <w:right w:val="single" w:sz="4" w:space="0" w:color="auto"/>
              <w:bottom w:val="single" w:sz="4" w:space="0" w:color="auto"/>
            </w:tcBorders>
            <w:tcW w:w="933" w:type="dxa"/>
            <w:vAlign w:val="center"/>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454</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90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22</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2015</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8.67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4.3</w:t>
            </w:r>
            <w:r/>
          </w:p>
        </w:tc>
        <w:tc>
          <w:tcPr>
            <w:tcBorders>
              <w:left w:val="single" w:sz="4" w:space="0" w:color="auto"/>
              <w:top w:val="single" w:sz="4" w:space="0" w:color="auto"/>
              <w:right w:val="single" w:sz="4" w:space="0" w:color="auto"/>
              <w:bottom w:val="single" w:sz="4" w:space="0" w:color="auto"/>
            </w:tcBorders>
            <w:tcW w:w="933" w:type="dxa"/>
            <w:vAlign w:val="center"/>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528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33</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16</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2016</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7.75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13.1</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w:t>
            </w:r>
            <w:r/>
          </w:p>
        </w:tc>
        <w:tc>
          <w:tcPr>
            <w:tcBorders>
              <w:left w:val="single" w:sz="4" w:space="0" w:color="auto"/>
              <w:top w:val="single" w:sz="4" w:space="0" w:color="auto"/>
              <w:right w:val="single" w:sz="4" w:space="0" w:color="auto"/>
              <w:bottom w:val="single" w:sz="4" w:space="0" w:color="auto"/>
            </w:tcBorders>
            <w:tcW w:w="933" w:type="dxa"/>
            <w:vAlign w:val="center"/>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659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56</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8.67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13.4</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3.8</w:t>
            </w:r>
            <w:r/>
          </w:p>
        </w:tc>
        <w:tc>
          <w:tcPr>
            <w:tcBorders>
              <w:left w:val="single" w:sz="4" w:space="0" w:color="auto"/>
              <w:top w:val="single" w:sz="4" w:space="0" w:color="auto"/>
              <w:right w:val="single" w:sz="4" w:space="0" w:color="auto"/>
              <w:bottom w:val="single" w:sz="4" w:space="0" w:color="auto"/>
            </w:tcBorders>
            <w:tcW w:w="933" w:type="dxa"/>
            <w:vAlign w:val="center"/>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600</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11</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129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44</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8.37</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13.5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3.6</w:t>
            </w:r>
            <w:r/>
          </w:p>
        </w:tc>
        <w:tc>
          <w:tcPr>
            <w:tcBorders>
              <w:left w:val="single" w:sz="4" w:space="0" w:color="auto"/>
              <w:top w:val="single" w:sz="4" w:space="0" w:color="auto"/>
              <w:right w:val="single" w:sz="4" w:space="0" w:color="auto"/>
              <w:bottom w:val="single" w:sz="4" w:space="0" w:color="auto"/>
            </w:tcBorders>
            <w:tcW w:w="933" w:type="dxa"/>
            <w:vAlign w:val="center"/>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528</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89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69</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30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2019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9.33</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14.5</w:t>
            </w:r>
            <w:r/>
          </w:p>
        </w:tc>
        <w:tc>
          <w:tcPr>
            <w:tcBorders>
              <w:left w:val="single" w:sz="4" w:space="0" w:color="auto"/>
              <w:top w:val="single" w:sz="4" w:space="0" w:color="auto"/>
              <w:right w:val="single" w:sz="4" w:space="0" w:color="auto"/>
              <w:bottom w:val="single" w:sz="4" w:space="0" w:color="auto"/>
            </w:tcBorders>
            <w:tcW w:w="934"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4.3</w:t>
            </w:r>
            <w:r/>
          </w:p>
        </w:tc>
        <w:tc>
          <w:tcPr>
            <w:tcBorders>
              <w:left w:val="single" w:sz="4" w:space="0" w:color="auto"/>
              <w:top w:val="single" w:sz="4" w:space="0" w:color="auto"/>
              <w:right w:val="single" w:sz="4" w:space="0" w:color="auto"/>
              <w:bottom w:val="single" w:sz="4" w:space="0" w:color="auto"/>
            </w:tcBorders>
            <w:tcW w:w="933" w:type="dxa"/>
            <w:vAlign w:val="center"/>
            <w:textDirection w:val="lrTb"/>
            <w:noWrap w:val="false"/>
          </w:tcPr>
          <w:p>
            <w:pPr>
              <w:jc w:val="both"/>
              <w:spacing w:lineRule="auto" w:line="240" w:after="0"/>
              <w:rPr>
                <w:rFonts w:ascii="Arial" w:hAnsi="Arial" w:cs="Arial"/>
                <w:sz w:val="24"/>
                <w:szCs w:val="24"/>
                <w:lang w:val="uk-UA"/>
              </w:rPr>
            </w:pPr>
            <w:r>
              <w:rPr>
                <w:rFonts w:ascii="Arial" w:hAnsi="Arial" w:cs="Arial"/>
                <w:color w:val="000000"/>
                <w:sz w:val="24"/>
                <w:szCs w:val="24"/>
              </w:rPr>
              <w:t xml:space="preserve">589</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12</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107</w:t>
            </w:r>
            <w:r/>
          </w:p>
        </w:tc>
        <w:tc>
          <w:tcPr>
            <w:tcBorders>
              <w:left w:val="single" w:sz="4" w:space="0" w:color="auto"/>
              <w:top w:val="single" w:sz="4" w:space="0" w:color="auto"/>
              <w:right w:val="single" w:sz="4" w:space="0" w:color="auto"/>
              <w:bottom w:val="single" w:sz="4" w:space="0" w:color="auto"/>
            </w:tcBorders>
            <w:tcW w:w="933"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37</w:t>
            </w:r>
            <w:r/>
          </w:p>
        </w:tc>
        <w:tc>
          <w:tcPr>
            <w:tcBorders>
              <w:left w:val="single" w:sz="4" w:space="0" w:color="auto"/>
              <w:top w:val="single" w:sz="4" w:space="0" w:color="auto"/>
              <w:right w:val="single" w:sz="4" w:space="0" w:color="auto"/>
              <w:bottom w:val="single" w:sz="4" w:space="0" w:color="auto"/>
            </w:tcBorders>
            <w:tcW w:w="932" w:type="dxa"/>
            <w:textDirection w:val="lrTb"/>
            <w:noWrap/>
          </w:tcPr>
          <w:p>
            <w:pPr>
              <w:jc w:val="both"/>
              <w:spacing w:lineRule="auto" w:line="240" w:after="0"/>
              <w:rPr>
                <w:rFonts w:ascii="Arial" w:hAnsi="Arial" w:cs="Arial"/>
                <w:sz w:val="24"/>
                <w:szCs w:val="24"/>
                <w:lang w:val="uk-UA"/>
              </w:rPr>
            </w:pPr>
            <w:r>
              <w:rPr>
                <w:rFonts w:ascii="Arial" w:hAnsi="Arial" w:cs="Arial"/>
                <w:sz w:val="24"/>
                <w:szCs w:val="24"/>
              </w:rPr>
              <w:t xml:space="preserve">17</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24</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c>
          <w:tcPr>
            <w:tcBorders>
              <w:left w:val="single" w:sz="4" w:space="0" w:color="auto"/>
              <w:top w:val="single" w:sz="4" w:space="0" w:color="auto"/>
              <w:right w:val="single" w:sz="4" w:space="0" w:color="auto"/>
              <w:bottom w:val="single" w:sz="4" w:space="0" w:color="auto"/>
            </w:tcBorders>
            <w:tcW w:w="933" w:type="dxa"/>
            <w:textDirection w:val="lrTb"/>
            <w:noWrap w:val="false"/>
          </w:tcPr>
          <w:p>
            <w:pPr>
              <w:jc w:val="both"/>
              <w:spacing w:lineRule="auto" w:line="240" w:after="0"/>
              <w:rPr>
                <w:rFonts w:ascii="Arial" w:hAnsi="Arial" w:cs="Arial"/>
                <w:sz w:val="24"/>
                <w:szCs w:val="24"/>
                <w:lang w:val="uk-UA"/>
              </w:rPr>
            </w:pPr>
            <w:r>
              <w:rPr>
                <w:rFonts w:ascii="Arial" w:hAnsi="Arial" w:cs="Arial"/>
                <w:sz w:val="24"/>
                <w:szCs w:val="24"/>
              </w:rPr>
              <w:t xml:space="preserve">0</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ind w:left="-51" w:right="-108"/>
              <w:jc w:val="both"/>
              <w:spacing w:lineRule="auto" w:line="240" w:after="0"/>
              <w:rPr>
                <w:rFonts w:ascii="Arial" w:hAnsi="Arial" w:cs="Arial"/>
                <w:b/>
                <w:sz w:val="24"/>
                <w:szCs w:val="24"/>
                <w:lang w:val="uk-UA"/>
              </w:rPr>
            </w:pPr>
            <w:r>
              <w:rPr>
                <w:rFonts w:ascii="Arial" w:hAnsi="Arial" w:cs="Arial"/>
                <w:b/>
                <w:sz w:val="24"/>
                <w:szCs w:val="24"/>
                <w:lang w:val="uk-UA"/>
              </w:rPr>
              <w:t xml:space="preserve">Середнє</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7.4</w:t>
            </w:r>
            <w:r/>
          </w:p>
        </w:tc>
        <w:tc>
          <w:tcPr>
            <w:tcBorders>
              <w:left w:val="single" w:sz="4" w:space="0" w:color="auto"/>
              <w:top w:val="single" w:sz="4" w:space="0" w:color="auto"/>
              <w:right w:val="single" w:sz="4" w:space="0" w:color="auto"/>
              <w:bottom w:val="single" w:sz="4" w:space="0" w:color="auto"/>
            </w:tcBorders>
            <w:tcW w:w="934" w:type="dxa"/>
            <w:vAlign w:val="bottom"/>
            <w:textDirection w:val="lrTb"/>
            <w:noWrap/>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12.0</w:t>
            </w:r>
            <w:r/>
          </w:p>
        </w:tc>
        <w:tc>
          <w:tcPr>
            <w:tcBorders>
              <w:left w:val="single" w:sz="4" w:space="0" w:color="auto"/>
              <w:top w:val="single" w:sz="4" w:space="0" w:color="auto"/>
              <w:right w:val="single" w:sz="4" w:space="0" w:color="auto"/>
              <w:bottom w:val="single" w:sz="4" w:space="0" w:color="auto"/>
            </w:tcBorders>
            <w:tcW w:w="934" w:type="dxa"/>
            <w:vAlign w:val="bottom"/>
            <w:textDirection w:val="lrTb"/>
            <w:noWrap/>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3.2</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594</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13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114.8</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59.8</w:t>
            </w:r>
            <w:r/>
          </w:p>
        </w:tc>
        <w:tc>
          <w:tcPr>
            <w:tcBorders>
              <w:left w:val="single" w:sz="4" w:space="0" w:color="auto"/>
              <w:top w:val="single" w:sz="4" w:space="0" w:color="auto"/>
              <w:right w:val="single" w:sz="4" w:space="0" w:color="auto"/>
              <w:bottom w:val="single" w:sz="4" w:space="0" w:color="auto"/>
            </w:tcBorders>
            <w:tcW w:w="932" w:type="dxa"/>
            <w:vAlign w:val="bottom"/>
            <w:textDirection w:val="lrTb"/>
            <w:noWrap/>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14.1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33.3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0.1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0.7</w:t>
            </w:r>
            <w:r/>
          </w:p>
        </w:tc>
      </w:tr>
      <w:tr>
        <w:trPr>
          <w:jc w:val="center"/>
          <w:trHeight w:val="56"/>
        </w:trPr>
        <w:tc>
          <w:tcPr>
            <w:tcBorders>
              <w:left w:val="single" w:sz="4" w:space="0" w:color="auto"/>
              <w:top w:val="single" w:sz="4" w:space="0" w:color="auto"/>
              <w:right w:val="single" w:sz="4" w:space="0" w:color="auto"/>
              <w:bottom w:val="single" w:sz="4" w:space="0" w:color="auto"/>
            </w:tcBorders>
            <w:tcW w:w="2095" w:type="dxa"/>
            <w:textDirection w:val="lrTb"/>
            <w:noWrap/>
          </w:tcPr>
          <w:p>
            <w:pPr>
              <w:ind w:left="-51" w:right="-108"/>
              <w:jc w:val="both"/>
              <w:spacing w:lineRule="auto" w:line="240" w:after="0"/>
              <w:rPr>
                <w:rFonts w:ascii="Arial" w:hAnsi="Arial" w:cs="Arial"/>
                <w:b/>
                <w:sz w:val="24"/>
                <w:szCs w:val="24"/>
                <w:lang w:val="uk-UA"/>
              </w:rPr>
            </w:pPr>
            <w:r>
              <w:rPr>
                <w:rFonts w:ascii="Arial" w:hAnsi="Arial" w:cs="Arial"/>
                <w:b/>
                <w:sz w:val="24"/>
                <w:szCs w:val="24"/>
                <w:lang w:val="uk-UA"/>
              </w:rPr>
              <w:t xml:space="preserve">±σ</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1.0</w:t>
            </w:r>
            <w:r/>
          </w:p>
        </w:tc>
        <w:tc>
          <w:tcPr>
            <w:tcBorders>
              <w:left w:val="single" w:sz="4" w:space="0" w:color="auto"/>
              <w:top w:val="single" w:sz="4" w:space="0" w:color="auto"/>
              <w:right w:val="single" w:sz="4" w:space="0" w:color="auto"/>
              <w:bottom w:val="single" w:sz="4" w:space="0" w:color="auto"/>
            </w:tcBorders>
            <w:tcW w:w="934" w:type="dxa"/>
            <w:vAlign w:val="bottom"/>
            <w:textDirection w:val="lrTb"/>
            <w:noWrap/>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1.2</w:t>
            </w:r>
            <w:r/>
          </w:p>
        </w:tc>
        <w:tc>
          <w:tcPr>
            <w:tcBorders>
              <w:left w:val="single" w:sz="4" w:space="0" w:color="auto"/>
              <w:top w:val="single" w:sz="4" w:space="0" w:color="auto"/>
              <w:right w:val="single" w:sz="4" w:space="0" w:color="auto"/>
              <w:bottom w:val="single" w:sz="4" w:space="0" w:color="auto"/>
            </w:tcBorders>
            <w:tcW w:w="934" w:type="dxa"/>
            <w:vAlign w:val="bottom"/>
            <w:textDirection w:val="lrTb"/>
            <w:noWrap/>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1.0</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92</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2</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13.7</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12.8</w:t>
            </w:r>
            <w:r/>
          </w:p>
        </w:tc>
        <w:tc>
          <w:tcPr>
            <w:tcBorders>
              <w:left w:val="single" w:sz="4" w:space="0" w:color="auto"/>
              <w:top w:val="single" w:sz="4" w:space="0" w:color="auto"/>
              <w:right w:val="single" w:sz="4" w:space="0" w:color="auto"/>
              <w:bottom w:val="single" w:sz="4" w:space="0" w:color="auto"/>
            </w:tcBorders>
            <w:tcW w:w="932" w:type="dxa"/>
            <w:vAlign w:val="bottom"/>
            <w:textDirection w:val="lrTb"/>
            <w:noWrap/>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4.7</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11.3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0.3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0.9</w:t>
            </w:r>
            <w:r/>
          </w:p>
        </w:tc>
      </w:tr>
      <w:tr>
        <w:trPr>
          <w:jc w:val="center"/>
          <w:trHeight w:val="343"/>
        </w:trPr>
        <w:tc>
          <w:tcPr>
            <w:tcBorders>
              <w:left w:val="single" w:sz="4" w:space="0" w:color="auto"/>
              <w:top w:val="single" w:sz="4" w:space="0" w:color="auto"/>
              <w:right w:val="single" w:sz="4" w:space="0" w:color="auto"/>
              <w:bottom w:val="single" w:sz="4" w:space="0" w:color="auto"/>
            </w:tcBorders>
            <w:tcW w:w="2095" w:type="dxa"/>
            <w:textDirection w:val="lrTb"/>
            <w:noWrap/>
          </w:tcPr>
          <w:p>
            <w:pPr>
              <w:ind w:left="-51" w:right="-108"/>
              <w:jc w:val="both"/>
              <w:spacing w:lineRule="auto" w:line="240" w:after="0"/>
              <w:rPr>
                <w:rFonts w:ascii="Arial" w:hAnsi="Arial" w:cs="Arial"/>
                <w:b/>
                <w:sz w:val="24"/>
                <w:szCs w:val="24"/>
                <w:lang w:val="uk-UA"/>
              </w:rPr>
            </w:pPr>
            <w:r>
              <w:rPr>
                <w:rFonts w:ascii="Arial" w:hAnsi="Arial" w:cs="Arial"/>
                <w:b/>
                <w:sz w:val="24"/>
                <w:szCs w:val="24"/>
                <w:lang w:val="uk-UA"/>
              </w:rPr>
              <w:t xml:space="preserve">Тренд, 10 років</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0.43</w:t>
            </w:r>
            <w:r/>
          </w:p>
        </w:tc>
        <w:tc>
          <w:tcPr>
            <w:tcBorders>
              <w:left w:val="single" w:sz="4" w:space="0" w:color="auto"/>
              <w:top w:val="single" w:sz="4" w:space="0" w:color="auto"/>
              <w:right w:val="single" w:sz="4" w:space="0" w:color="auto"/>
              <w:bottom w:val="single" w:sz="4" w:space="0" w:color="auto"/>
            </w:tcBorders>
            <w:tcW w:w="934" w:type="dxa"/>
            <w:vAlign w:val="bottom"/>
            <w:textDirection w:val="lrTb"/>
            <w:noWrap/>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0.51</w:t>
            </w:r>
            <w:r/>
          </w:p>
        </w:tc>
        <w:tc>
          <w:tcPr>
            <w:tcBorders>
              <w:left w:val="single" w:sz="4" w:space="0" w:color="auto"/>
              <w:top w:val="single" w:sz="4" w:space="0" w:color="auto"/>
              <w:right w:val="single" w:sz="4" w:space="0" w:color="auto"/>
              <w:bottom w:val="single" w:sz="4" w:space="0" w:color="auto"/>
            </w:tcBorders>
            <w:tcW w:w="934" w:type="dxa"/>
            <w:vAlign w:val="bottom"/>
            <w:textDirection w:val="lrTb"/>
            <w:noWrap/>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0.43</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color w:val="000000"/>
                <w:sz w:val="24"/>
                <w:szCs w:val="24"/>
                <w:lang w:val="uk-UA"/>
              </w:rPr>
            </w:pPr>
            <w:r>
              <w:rPr>
                <w:rFonts w:ascii="Arial" w:hAnsi="Arial" w:cs="Arial"/>
                <w:b/>
                <w:color w:val="000000"/>
                <w:sz w:val="24"/>
                <w:szCs w:val="24"/>
              </w:rPr>
              <w:t xml:space="preserve">1.88</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-1.</w:t>
            </w:r>
            <w:r>
              <w:rPr>
                <w:rFonts w:ascii="Arial" w:hAnsi="Arial" w:cs="Arial"/>
                <w:b/>
                <w:color w:val="000000"/>
                <w:sz w:val="24"/>
                <w:szCs w:val="24"/>
                <w:lang w:val="uk-UA"/>
              </w:rPr>
              <w:t xml:space="preserve">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-4.</w:t>
            </w:r>
            <w:r>
              <w:rPr>
                <w:rFonts w:ascii="Arial" w:hAnsi="Arial" w:cs="Arial"/>
                <w:b/>
                <w:color w:val="000000"/>
                <w:sz w:val="24"/>
                <w:szCs w:val="24"/>
                <w:lang w:val="uk-UA"/>
              </w:rPr>
              <w:t xml:space="preserve">4</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-4.</w:t>
            </w:r>
            <w:r>
              <w:rPr>
                <w:rFonts w:ascii="Arial" w:hAnsi="Arial" w:cs="Arial"/>
                <w:b/>
                <w:color w:val="000000"/>
                <w:sz w:val="24"/>
                <w:szCs w:val="24"/>
                <w:lang w:val="uk-UA"/>
              </w:rPr>
              <w:t xml:space="preserve">2</w:t>
            </w:r>
            <w:r/>
          </w:p>
        </w:tc>
        <w:tc>
          <w:tcPr>
            <w:tcBorders>
              <w:left w:val="single" w:sz="4" w:space="0" w:color="auto"/>
              <w:top w:val="single" w:sz="4" w:space="0" w:color="auto"/>
              <w:right w:val="single" w:sz="4" w:space="0" w:color="auto"/>
              <w:bottom w:val="single" w:sz="4" w:space="0" w:color="auto"/>
            </w:tcBorders>
            <w:tcW w:w="932" w:type="dxa"/>
            <w:vAlign w:val="bottom"/>
            <w:textDirection w:val="lrTb"/>
            <w:noWrap/>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0.</w:t>
            </w:r>
            <w:r>
              <w:rPr>
                <w:rFonts w:ascii="Arial" w:hAnsi="Arial" w:cs="Arial"/>
                <w:b/>
                <w:color w:val="000000"/>
                <w:sz w:val="24"/>
                <w:szCs w:val="24"/>
                <w:lang w:val="uk-UA"/>
              </w:rPr>
              <w:t xml:space="preserve">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-5.</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-0.</w:t>
            </w:r>
            <w:r>
              <w:rPr>
                <w:rFonts w:ascii="Arial" w:hAnsi="Arial" w:cs="Arial"/>
                <w:b/>
                <w:color w:val="000000"/>
                <w:sz w:val="24"/>
                <w:szCs w:val="24"/>
                <w:lang w:val="uk-UA"/>
              </w:rPr>
              <w:t xml:space="preserve">1</w:t>
            </w:r>
            <w:r/>
          </w:p>
        </w:tc>
        <w:tc>
          <w:tcPr>
            <w:tcBorders>
              <w:left w:val="single" w:sz="4" w:space="0" w:color="auto"/>
              <w:top w:val="single" w:sz="4" w:space="0" w:color="auto"/>
              <w:right w:val="single" w:sz="4" w:space="0" w:color="auto"/>
              <w:bottom w:val="single" w:sz="4" w:space="0" w:color="auto"/>
            </w:tcBorders>
            <w:tcW w:w="933" w:type="dxa"/>
            <w:vAlign w:val="bottom"/>
            <w:textDirection w:val="lrTb"/>
            <w:noWrap w:val="false"/>
          </w:tcPr>
          <w:p>
            <w:pPr>
              <w:jc w:val="both"/>
              <w:spacing w:lineRule="auto" w:line="240" w:after="0"/>
              <w:rPr>
                <w:rFonts w:ascii="Arial" w:hAnsi="Arial" w:cs="Arial"/>
                <w:b/>
                <w:sz w:val="24"/>
                <w:szCs w:val="24"/>
                <w:lang w:val="uk-UA"/>
              </w:rPr>
            </w:pPr>
            <w:r>
              <w:rPr>
                <w:rFonts w:ascii="Arial" w:hAnsi="Arial" w:cs="Arial"/>
                <w:b/>
                <w:color w:val="000000"/>
                <w:sz w:val="24"/>
                <w:szCs w:val="24"/>
              </w:rPr>
              <w:t xml:space="preserve">-0.1</w:t>
            </w:r>
            <w:r/>
          </w:p>
        </w:tc>
      </w:tr>
    </w:tbl>
    <w:p>
      <w:pPr>
        <w:pStyle w:val="539"/>
        <w:ind w:left="0" w:firstLine="567"/>
        <w:jc w:val="both"/>
        <w:spacing w:lineRule="auto" w:line="240" w:after="0"/>
        <w:tabs>
          <w:tab w:val="left" w:pos="709" w:leader="none"/>
        </w:tabs>
        <w:rPr>
          <w:rFonts w:ascii="Arial" w:hAnsi="Arial" w:cs="Arial"/>
          <w:b/>
          <w:sz w:val="24"/>
          <w:szCs w:val="24"/>
          <w:lang w:val="uk-UA"/>
        </w:rPr>
        <w:sectPr>
          <w:footnotePr/>
          <w:type w:val="continuous"/>
          <w:pgSz w:w="16839" w:h="11907" w:orient="landscape"/>
          <w:pgMar w:top="1440" w:right="1104" w:bottom="1170" w:left="1440" w:header="720" w:footer="720"/>
          <w:cols w:num="1" w:sep="0" w:space="720" w:equalWidth="1"/>
          <w:docGrid w:linePitch="360"/>
        </w:sectPr>
      </w:pPr>
      <w:r>
        <w:rPr>
          <w:rFonts w:ascii="Arial" w:hAnsi="Arial" w:cs="Arial"/>
          <w:b/>
          <w:sz w:val="24"/>
          <w:szCs w:val="24"/>
          <w:lang w:val="uk-UA"/>
        </w:rPr>
      </w:r>
      <w:r/>
    </w:p>
    <w:p>
      <w:pPr>
        <w:pStyle w:val="539"/>
        <w:ind w:left="0" w:firstLine="567"/>
        <w:jc w:val="both"/>
        <w:spacing w:lineRule="auto" w:line="240" w:after="0"/>
        <w:tabs>
          <w:tab w:val="left" w:pos="709" w:leader="none"/>
        </w:tabs>
        <w:rPr>
          <w:rFonts w:ascii="Arial" w:hAnsi="Arial" w:cs="Arial"/>
          <w:b/>
          <w:sz w:val="24"/>
          <w:szCs w:val="24"/>
          <w:lang w:val="uk-UA"/>
        </w:rPr>
      </w:pPr>
      <w:r>
        <w:rPr>
          <w:rFonts w:ascii="Arial" w:hAnsi="Arial" w:cs="Arial"/>
          <w:b/>
          <w:sz w:val="24"/>
          <w:szCs w:val="24"/>
          <w:lang w:val="uk-UA"/>
        </w:rPr>
        <w:t xml:space="preserve">Надзвичайні погодні явища та їх динаміка</w:t>
      </w:r>
      <w:r/>
    </w:p>
    <w:p>
      <w:pPr>
        <w:pStyle w:val="539"/>
        <w:ind w:left="0" w:firstLine="567"/>
        <w:jc w:val="both"/>
        <w:spacing w:lineRule="auto" w:line="240" w:after="0"/>
        <w:tabs>
          <w:tab w:val="left" w:pos="709" w:leader="none"/>
        </w:tabs>
        <w:rPr>
          <w:rFonts w:ascii="Arial" w:hAnsi="Arial" w:cs="Arial"/>
          <w:b/>
          <w:sz w:val="24"/>
          <w:szCs w:val="24"/>
          <w:lang w:val="uk-UA"/>
        </w:rPr>
      </w:pPr>
      <w:r>
        <w:rPr>
          <w:rFonts w:ascii="Arial" w:hAnsi="Arial" w:cs="Arial"/>
          <w:b/>
          <w:sz w:val="24"/>
          <w:szCs w:val="24"/>
          <w:lang w:val="uk-UA"/>
        </w:rPr>
      </w:r>
      <w:r/>
    </w:p>
    <w:p>
      <w:pPr>
        <w:pStyle w:val="548"/>
        <w:ind w:firstLine="720"/>
        <w:jc w:val="both"/>
        <w:rPr>
          <w:color w:val="auto"/>
          <w:lang w:val="uk-UA"/>
        </w:rPr>
      </w:pPr>
      <w:r>
        <w:rPr>
          <w:color w:val="auto"/>
          <w:lang w:val="uk-UA"/>
        </w:rPr>
        <w:t xml:space="preserve">Як випливає з даних таблиці 4, смерчі в регіоні </w:t>
      </w:r>
      <w:r>
        <w:rPr>
          <w:lang w:val="uk-UA"/>
        </w:rPr>
        <w:t xml:space="preserve">Менської міської </w:t>
      </w:r>
      <w:r>
        <w:rPr>
          <w:lang w:val="uk-UA"/>
        </w:rPr>
        <w:t xml:space="preserve">територіальної громади</w:t>
      </w:r>
      <w:r>
        <w:rPr>
          <w:color w:val="auto"/>
          <w:lang w:val="uk-UA"/>
        </w:rPr>
        <w:t xml:space="preserve"> були практично відсутні, але внаслідок теплої зими та безводної весни 2019-</w:t>
      </w:r>
      <w:r>
        <w:rPr>
          <w:color w:val="auto"/>
          <w:lang w:val="uk-UA"/>
        </w:rPr>
        <w:t xml:space="preserve">2020 рр. смерчі й торнадо з’явилися на теренах не лише південних областей України, а й в центральних, східних та північних областях. Тому можливості появи цих явищ при подальшому підвищенні температури та збільшення кількості посушливих днів посилюються. Г</w:t>
      </w:r>
      <w:r>
        <w:rPr>
          <w:color w:val="auto"/>
          <w:lang w:val="uk-UA"/>
        </w:rPr>
        <w:t xml:space="preserve">розових днів буває в середньому 14 на рік, але град випадає не кожного року. Загрозу становлять лише зливові опади в окремі періоди, зокрема, влітку. Характерними для регіону є весняні паводки з огляду на наявність таких водотоків, як річки Мена та Десна. </w:t>
      </w:r>
      <w:r/>
    </w:p>
    <w:p>
      <w:pPr>
        <w:pStyle w:val="548"/>
        <w:ind w:firstLine="720"/>
        <w:jc w:val="both"/>
        <w:rPr>
          <w:color w:val="auto"/>
          <w:lang w:val="uk-UA"/>
        </w:rPr>
      </w:pPr>
      <w:r>
        <w:rPr>
          <w:color w:val="auto"/>
          <w:lang w:val="uk-UA"/>
        </w:rPr>
        <w:t xml:space="preserve">Разом з тим, викликає занепокоєння тенденція до аномального прояву надзвичайних метеорологічних явищ, яка простежується останніми десятиліттями. </w:t>
      </w:r>
      <w:r/>
    </w:p>
    <w:p>
      <w:pPr>
        <w:pStyle w:val="558"/>
        <w:ind w:firstLine="567"/>
        <w:jc w:val="both"/>
        <w:rPr>
          <w:rFonts w:ascii="Arial" w:hAnsi="Arial" w:cs="Arial"/>
          <w:b/>
          <w:sz w:val="24"/>
          <w:szCs w:val="24"/>
          <w:lang w:val="uk-UA"/>
        </w:rPr>
      </w:pPr>
      <w:r>
        <w:rPr>
          <w:rFonts w:ascii="Arial" w:hAnsi="Arial" w:cs="Arial"/>
          <w:b/>
          <w:sz w:val="24"/>
          <w:szCs w:val="24"/>
          <w:lang w:val="uk-UA"/>
        </w:rPr>
      </w:r>
      <w:r/>
    </w:p>
    <w:tbl>
      <w:tblPr>
        <w:tblStyle w:val="521"/>
        <w:tblW w:w="0" w:type="auto"/>
        <w:shd w:val="clear" w:color="auto" w:fill="D6FEE8" w:themeFill="accent6" w:themeFillTint="33"/>
        <w:tblLook w:val="04A0" w:firstRow="1" w:lastRow="0" w:firstColumn="1" w:lastColumn="0" w:noHBand="0" w:noVBand="1"/>
      </w:tblPr>
      <w:tblGrid>
        <w:gridCol w:w="6777"/>
      </w:tblGrid>
      <w:tr>
        <w:trPr/>
        <w:tc>
          <w:tcPr>
            <w:shd w:val="clear" w:color="auto" w:fill="D6FEE8" w:themeFill="accent6" w:themeFillTint="33"/>
            <w:tcW w:w="9620" w:type="dxa"/>
            <w:textDirection w:val="lrTb"/>
            <w:noWrap w:val="false"/>
          </w:tcPr>
          <w:p>
            <w:pPr>
              <w:pStyle w:val="558"/>
              <w:ind w:firstLine="567"/>
              <w:jc w:val="both"/>
              <w:rPr>
                <w:rFonts w:ascii="Arial" w:hAnsi="Arial" w:cs="Arial"/>
                <w:sz w:val="24"/>
                <w:szCs w:val="24"/>
                <w:lang w:val="uk-UA"/>
              </w:rPr>
            </w:pPr>
            <w:r>
              <w:rPr>
                <w:rFonts w:ascii="Arial" w:hAnsi="Arial" w:cs="Arial"/>
                <w:b/>
                <w:sz w:val="24"/>
                <w:szCs w:val="24"/>
                <w:lang w:val="uk-UA"/>
              </w:rPr>
              <w:t xml:space="preserve">Загрозами, </w:t>
            </w:r>
            <w:r>
              <w:rPr>
                <w:rFonts w:ascii="Arial" w:hAnsi="Arial" w:cs="Arial"/>
                <w:sz w:val="24"/>
                <w:szCs w:val="24"/>
                <w:lang w:val="uk-UA"/>
              </w:rPr>
              <w:t xml:space="preserve">пов’язаними з надзвичайними погодними явищами (ф</w:t>
            </w:r>
            <w:r>
              <w:rPr>
                <w:rFonts w:ascii="Arial" w:hAnsi="Arial" w:cs="Arial"/>
                <w:b/>
                <w:sz w:val="24"/>
                <w:szCs w:val="24"/>
                <w:lang w:val="uk-UA"/>
              </w:rPr>
              <w:t xml:space="preserve">акторами впливу),</w:t>
            </w:r>
            <w:r>
              <w:rPr>
                <w:rFonts w:ascii="Arial" w:hAnsi="Arial" w:cs="Arial"/>
                <w:sz w:val="24"/>
                <w:szCs w:val="24"/>
                <w:lang w:val="uk-UA"/>
              </w:rPr>
              <w:t xml:space="preserve"> для  мешканців і навколишнього середовища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можуть бути </w:t>
            </w:r>
            <w:r/>
          </w:p>
          <w:p>
            <w:pPr>
              <w:pStyle w:val="558"/>
              <w:ind w:firstLine="567"/>
              <w:jc w:val="both"/>
              <w:rPr>
                <w:rFonts w:ascii="Arial" w:hAnsi="Arial" w:cs="Arial"/>
                <w:sz w:val="24"/>
                <w:szCs w:val="24"/>
                <w:lang w:val="uk-UA"/>
              </w:rPr>
            </w:pPr>
            <w:r>
              <w:rPr>
                <w:rFonts w:ascii="Arial" w:hAnsi="Arial" w:cs="Arial"/>
                <w:sz w:val="24"/>
                <w:szCs w:val="24"/>
                <w:lang w:val="uk-UA"/>
              </w:rPr>
              <w:t xml:space="preserve">* Підтоплення та паводки у разі масивних короткочасних опадів;</w:t>
            </w:r>
            <w:r/>
          </w:p>
          <w:p>
            <w:pPr>
              <w:pStyle w:val="558"/>
              <w:ind w:firstLine="567"/>
              <w:jc w:val="both"/>
              <w:rPr>
                <w:rFonts w:ascii="Arial" w:hAnsi="Arial" w:cs="Arial"/>
                <w:sz w:val="24"/>
                <w:szCs w:val="24"/>
                <w:lang w:val="uk-UA"/>
              </w:rPr>
            </w:pPr>
            <w:r>
              <w:rPr>
                <w:rFonts w:ascii="Arial" w:hAnsi="Arial" w:cs="Arial"/>
                <w:sz w:val="24"/>
                <w:szCs w:val="24"/>
                <w:lang w:val="uk-UA"/>
              </w:rPr>
              <w:t xml:space="preserve">* Нанесення збитків зеленим зонам, сільськогосподарським угіддям; </w:t>
            </w:r>
            <w:r/>
          </w:p>
          <w:p>
            <w:pPr>
              <w:pStyle w:val="558"/>
              <w:ind w:firstLine="567"/>
              <w:jc w:val="both"/>
              <w:rPr>
                <w:rFonts w:ascii="Arial" w:hAnsi="Arial" w:cs="Arial"/>
                <w:sz w:val="24"/>
                <w:szCs w:val="24"/>
                <w:lang w:val="uk-UA"/>
              </w:rPr>
            </w:pPr>
            <w:r>
              <w:rPr>
                <w:rFonts w:ascii="Arial" w:hAnsi="Arial" w:cs="Arial"/>
                <w:sz w:val="24"/>
                <w:szCs w:val="24"/>
                <w:lang w:val="uk-UA"/>
              </w:rPr>
              <w:t xml:space="preserve">* Порушення систем енергозабезпечення, водозабезпечення та транспортних мереж;</w:t>
            </w:r>
            <w:r/>
          </w:p>
          <w:p>
            <w:pPr>
              <w:pStyle w:val="558"/>
              <w:ind w:firstLine="567"/>
              <w:jc w:val="both"/>
              <w:rPr>
                <w:rFonts w:ascii="Arial" w:hAnsi="Arial" w:cs="Arial"/>
                <w:sz w:val="24"/>
                <w:szCs w:val="24"/>
                <w:lang w:val="uk-UA"/>
              </w:rPr>
            </w:pPr>
            <w:r>
              <w:rPr>
                <w:rFonts w:ascii="Arial" w:hAnsi="Arial" w:cs="Arial"/>
                <w:sz w:val="24"/>
                <w:szCs w:val="24"/>
                <w:lang w:val="uk-UA"/>
              </w:rPr>
              <w:t xml:space="preserve">* Порушення цілісності та функціонування матеріальних об’єктів міської інфраструктури – житлових будівель та нежитлових споруд виробничого та соціального призначення </w:t>
            </w:r>
            <w:r/>
          </w:p>
          <w:p>
            <w:pPr>
              <w:pStyle w:val="558"/>
              <w:jc w:val="both"/>
              <w:rPr>
                <w:rFonts w:ascii="Arial" w:hAnsi="Arial" w:cs="Arial"/>
                <w:b/>
                <w:sz w:val="24"/>
                <w:szCs w:val="24"/>
                <w:lang w:val="uk-UA"/>
              </w:rPr>
            </w:pPr>
            <w:r>
              <w:rPr>
                <w:rFonts w:ascii="Arial" w:hAnsi="Arial" w:cs="Arial"/>
                <w:b/>
                <w:sz w:val="24"/>
                <w:szCs w:val="24"/>
                <w:lang w:val="uk-UA"/>
              </w:rPr>
            </w:r>
            <w:r/>
          </w:p>
        </w:tc>
      </w:tr>
    </w:tbl>
    <w:p>
      <w:pPr>
        <w:pStyle w:val="536"/>
        <w:ind w:firstLine="709"/>
        <w:jc w:val="both"/>
        <w:spacing w:after="0" w:afterAutospacing="0" w:before="0" w:beforeAutospacing="0"/>
        <w:shd w:val="clear" w:color="auto" w:fill="FFFFFF"/>
        <w:rPr>
          <w:rFonts w:ascii="Arial" w:hAnsi="Arial" w:cs="Arial"/>
          <w:b/>
          <w:lang w:val="uk-UA"/>
        </w:rPr>
      </w:pPr>
      <w:r>
        <w:rPr>
          <w:rFonts w:ascii="Arial" w:hAnsi="Arial" w:cs="Arial"/>
          <w:b/>
          <w:lang w:val="uk-UA"/>
        </w:rPr>
        <w:t xml:space="preserve">Вразливість населення, навколишнього середовища та інфраструктури Менської міської </w:t>
      </w:r>
      <w:r>
        <w:rPr>
          <w:rFonts w:ascii="Arial" w:hAnsi="Arial" w:cs="Arial"/>
          <w:b/>
          <w:lang w:val="uk-UA"/>
        </w:rPr>
        <w:t xml:space="preserve">територіальної громади</w:t>
      </w:r>
      <w:r>
        <w:rPr>
          <w:rFonts w:ascii="Arial" w:hAnsi="Arial" w:cs="Arial"/>
          <w:b/>
          <w:lang w:val="uk-UA"/>
        </w:rPr>
        <w:t xml:space="preserve"> до змін клімату та їх наслідків </w:t>
      </w:r>
      <w:r/>
    </w:p>
    <w:p>
      <w:pPr>
        <w:pStyle w:val="536"/>
        <w:ind w:firstLine="709"/>
        <w:jc w:val="both"/>
        <w:spacing w:after="0" w:afterAutospacing="0" w:before="0" w:beforeAutospacing="0"/>
        <w:shd w:val="clear" w:color="auto" w:fill="FFFFFF"/>
        <w:rPr>
          <w:rFonts w:ascii="Arial" w:hAnsi="Arial" w:cs="Arial"/>
          <w:lang w:val="uk-UA"/>
        </w:rPr>
      </w:pPr>
      <w:r>
        <w:rPr>
          <w:rFonts w:ascii="Arial" w:hAnsi="Arial" w:cs="Arial"/>
          <w:lang w:val="uk-UA"/>
        </w:rPr>
      </w:r>
      <w:r/>
    </w:p>
    <w:p>
      <w:pPr>
        <w:pStyle w:val="536"/>
        <w:ind w:firstLine="709"/>
        <w:jc w:val="both"/>
        <w:spacing w:after="0" w:afterAutospacing="0" w:before="0" w:beforeAutospacing="0"/>
        <w:shd w:val="clear" w:color="auto" w:fill="FFFFFF"/>
        <w:rPr>
          <w:rFonts w:ascii="Arial" w:hAnsi="Arial" w:cs="Arial"/>
          <w:lang w:val="uk-UA"/>
        </w:rPr>
      </w:pPr>
      <w:r>
        <w:rPr>
          <w:rFonts w:ascii="Arial" w:hAnsi="Arial" w:cs="Arial"/>
          <w:b/>
          <w:lang w:val="uk-UA"/>
        </w:rPr>
        <w:t xml:space="preserve">Загрози, ризики та</w:t>
      </w:r>
      <w:r>
        <w:rPr>
          <w:rFonts w:ascii="Arial" w:hAnsi="Arial" w:cs="Arial"/>
          <w:lang w:val="uk-UA"/>
        </w:rPr>
        <w:t xml:space="preserve"> в</w:t>
      </w:r>
      <w:r>
        <w:rPr>
          <w:rFonts w:ascii="Arial" w:hAnsi="Arial" w:cs="Arial"/>
          <w:b/>
          <w:lang w:val="uk-UA"/>
        </w:rPr>
        <w:t xml:space="preserve">разливості території, інфраструктури і населення, пов’язані зі змінами клімату</w:t>
      </w:r>
      <w:r>
        <w:rPr>
          <w:rFonts w:ascii="Arial" w:hAnsi="Arial" w:cs="Arial"/>
          <w:lang w:val="uk-UA"/>
        </w:rPr>
        <w:t xml:space="preserve"> </w:t>
      </w:r>
      <w:r/>
    </w:p>
    <w:p>
      <w:pPr>
        <w:pStyle w:val="536"/>
        <w:ind w:firstLine="709"/>
        <w:jc w:val="both"/>
        <w:spacing w:after="0" w:afterAutospacing="0" w:before="0" w:beforeAutospacing="0"/>
        <w:shd w:val="clear" w:color="auto" w:fill="FFFFFF"/>
        <w:rPr>
          <w:rFonts w:ascii="Arial" w:hAnsi="Arial" w:cs="Arial"/>
          <w:lang w:val="uk-UA"/>
        </w:rPr>
      </w:pPr>
      <w:r>
        <w:rPr>
          <w:rFonts w:ascii="Arial" w:hAnsi="Arial" w:cs="Arial"/>
          <w:lang w:val="uk-UA"/>
        </w:rPr>
      </w:r>
      <w:r/>
    </w:p>
    <w:p>
      <w:pPr>
        <w:pStyle w:val="536"/>
        <w:ind w:firstLine="709"/>
        <w:jc w:val="both"/>
        <w:spacing w:after="0" w:afterAutospacing="0" w:before="0" w:beforeAutospacing="0"/>
        <w:shd w:val="clear" w:color="auto" w:fill="FFFFFF"/>
        <w:rPr>
          <w:rFonts w:ascii="Arial" w:hAnsi="Arial" w:cs="Arial"/>
          <w:lang w:val="uk-UA"/>
        </w:rPr>
      </w:pPr>
      <w:r>
        <w:rPr>
          <w:rFonts w:ascii="Arial" w:hAnsi="Arial" w:cs="Arial"/>
          <w:lang w:val="uk-UA"/>
        </w:rPr>
        <w:t xml:space="preserve">Кліматичні загрози залежать від особливостей географічного положення регіону. Територія Менської міської </w:t>
      </w:r>
      <w:r>
        <w:rPr>
          <w:rFonts w:ascii="Arial" w:hAnsi="Arial" w:cs="Arial"/>
          <w:lang w:val="uk-UA"/>
        </w:rPr>
        <w:t xml:space="preserve">територіальної громади</w:t>
      </w:r>
      <w:r>
        <w:rPr>
          <w:rFonts w:ascii="Arial" w:hAnsi="Arial" w:cs="Arial"/>
          <w:lang w:val="uk-UA"/>
        </w:rPr>
        <w:t xml:space="preserve"> розташована в басейні річки Десна, сама Десна, як і її притока Мена, протікають територією </w:t>
      </w:r>
      <w:r>
        <w:rPr>
          <w:rFonts w:ascii="Arial" w:hAnsi="Arial" w:cs="Arial"/>
          <w:lang w:val="uk-UA"/>
        </w:rPr>
        <w:t xml:space="preserve">громади</w:t>
      </w:r>
      <w:r>
        <w:rPr>
          <w:rFonts w:ascii="Arial" w:hAnsi="Arial" w:cs="Arial"/>
          <w:lang w:val="uk-UA"/>
        </w:rPr>
        <w:t xml:space="preserve">.  Під час весняного водопілля після різкого танення снігу або при сильних зливових опадів в інші пори  року рівень обох річок піднімається й відбувається затоплення заплав, п</w:t>
      </w:r>
      <w:r>
        <w:rPr>
          <w:rFonts w:ascii="Arial" w:hAnsi="Arial" w:cs="Arial"/>
          <w:lang w:val="uk-UA"/>
        </w:rPr>
        <w:t xml:space="preserve">ідтоплення низько розташованих садиб і транспортних сполучень.  В критичних випадках рівень води в річці Десна піднімався до трьох метрів (2013 р.) і вище, зокрема, максимальні рівні води весняної повені Десни перевищували 6 м над нулем поста у Чернігові. </w:t>
      </w:r>
      <w:r/>
    </w:p>
    <w:p>
      <w:pPr>
        <w:pStyle w:val="536"/>
        <w:ind w:firstLine="709"/>
        <w:jc w:val="both"/>
        <w:spacing w:after="0" w:afterAutospacing="0" w:before="0" w:beforeAutospacing="0"/>
        <w:shd w:val="clear" w:color="auto" w:fill="FFFFFF"/>
        <w:rPr>
          <w:rFonts w:ascii="Arial" w:hAnsi="Arial" w:cs="Arial"/>
          <w:lang w:val="uk-UA"/>
        </w:rPr>
      </w:pPr>
      <w:r>
        <w:rPr>
          <w:rFonts w:ascii="Arial" w:hAnsi="Arial" w:cs="Arial"/>
          <w:lang w:val="uk-UA"/>
        </w:rPr>
        <w:t xml:space="preserve">Водопостачання споживачів м. Мена та деяких інших сіл </w:t>
      </w:r>
      <w:r>
        <w:rPr>
          <w:rFonts w:ascii="Arial" w:hAnsi="Arial" w:cs="Arial"/>
          <w:lang w:val="uk-UA"/>
        </w:rPr>
        <w:t xml:space="preserve">громади</w:t>
      </w:r>
      <w:r>
        <w:rPr>
          <w:rFonts w:ascii="Arial" w:hAnsi="Arial" w:cs="Arial"/>
          <w:lang w:val="uk-UA"/>
        </w:rPr>
        <w:t xml:space="preserve"> є централізованим, загальна протяжність водопровідної мережі населених пунктів громади становить 78,15 км, каналізаційної – 12,815 км. Але водогони є проблемними - </w:t>
      </w:r>
      <w:r>
        <w:rPr>
          <w:rFonts w:ascii="Arial" w:hAnsi="Arial" w:cs="Arial"/>
        </w:rPr>
        <w:t xml:space="preserve">майже</w:t>
      </w:r>
      <w:r>
        <w:rPr>
          <w:rFonts w:ascii="Arial" w:hAnsi="Arial" w:cs="Arial"/>
        </w:rPr>
        <w:t xml:space="preserve"> 25 км </w:t>
      </w:r>
      <w:r>
        <w:rPr>
          <w:rFonts w:ascii="Arial" w:hAnsi="Arial" w:cs="Arial"/>
          <w:lang w:val="uk-UA"/>
        </w:rPr>
        <w:t xml:space="preserve">з них</w:t>
      </w:r>
      <w:r>
        <w:rPr>
          <w:rFonts w:ascii="Arial" w:hAnsi="Arial" w:cs="Arial"/>
        </w:rPr>
        <w:t xml:space="preserve"> </w:t>
      </w:r>
      <w:r>
        <w:rPr>
          <w:rFonts w:ascii="Arial" w:hAnsi="Arial" w:cs="Arial"/>
        </w:rPr>
        <w:t xml:space="preserve">знаходиться</w:t>
      </w:r>
      <w:r>
        <w:rPr>
          <w:rFonts w:ascii="Arial" w:hAnsi="Arial" w:cs="Arial"/>
        </w:rPr>
        <w:t xml:space="preserve"> в </w:t>
      </w:r>
      <w:r>
        <w:rPr>
          <w:rFonts w:ascii="Arial" w:hAnsi="Arial" w:cs="Arial"/>
        </w:rPr>
        <w:t xml:space="preserve">аварійному</w:t>
      </w:r>
      <w:r>
        <w:rPr>
          <w:rFonts w:ascii="Arial" w:hAnsi="Arial" w:cs="Arial"/>
        </w:rPr>
        <w:t xml:space="preserve"> </w:t>
      </w:r>
      <w:r>
        <w:rPr>
          <w:rFonts w:ascii="Arial" w:hAnsi="Arial" w:cs="Arial"/>
        </w:rPr>
        <w:t xml:space="preserve">стані</w:t>
      </w:r>
      <w:r>
        <w:rPr>
          <w:rFonts w:ascii="Arial" w:hAnsi="Arial" w:cs="Arial"/>
        </w:rPr>
        <w:t xml:space="preserve">.</w:t>
      </w:r>
      <w:r>
        <w:rPr>
          <w:rFonts w:ascii="Arial" w:hAnsi="Arial" w:cs="Arial"/>
          <w:lang w:val="uk-UA"/>
        </w:rPr>
        <w:t xml:space="preserve"> У м. Мена в експлуатації </w:t>
      </w:r>
      <w:r>
        <w:rPr>
          <w:rFonts w:ascii="Arial" w:hAnsi="Arial" w:cs="Arial"/>
          <w:lang w:val="uk-UA" w:eastAsia="en-US"/>
        </w:rPr>
        <w:t xml:space="preserve">перебуває </w:t>
      </w:r>
      <w:r>
        <w:rPr>
          <w:rFonts w:ascii="Arial" w:hAnsi="Arial" w:cs="Arial"/>
          <w:lang w:eastAsia="en-US"/>
        </w:rPr>
        <w:t xml:space="preserve">32,7 км. </w:t>
      </w:r>
      <w:r>
        <w:rPr>
          <w:rFonts w:ascii="Arial" w:hAnsi="Arial" w:cs="Arial"/>
          <w:lang w:eastAsia="en-US"/>
        </w:rPr>
        <w:t xml:space="preserve">водопровідних</w:t>
      </w:r>
      <w:r>
        <w:rPr>
          <w:rFonts w:ascii="Arial" w:hAnsi="Arial" w:cs="Arial"/>
          <w:lang w:eastAsia="en-US"/>
        </w:rPr>
        <w:t xml:space="preserve"> та </w:t>
      </w:r>
      <w:r>
        <w:rPr>
          <w:rFonts w:ascii="Arial" w:hAnsi="Arial" w:cs="Arial"/>
        </w:rPr>
        <w:t xml:space="preserve">10,1 </w:t>
      </w:r>
      <w:r>
        <w:rPr>
          <w:rFonts w:ascii="Arial" w:hAnsi="Arial" w:cs="Arial"/>
          <w:lang w:eastAsia="en-US"/>
        </w:rPr>
        <w:t xml:space="preserve">км. </w:t>
      </w:r>
      <w:r>
        <w:rPr>
          <w:rFonts w:ascii="Arial" w:hAnsi="Arial" w:cs="Arial"/>
          <w:lang w:eastAsia="en-US"/>
        </w:rPr>
        <w:t xml:space="preserve">каналізаційних</w:t>
      </w:r>
      <w:r>
        <w:rPr>
          <w:rFonts w:ascii="Arial" w:hAnsi="Arial" w:cs="Arial"/>
          <w:lang w:eastAsia="en-US"/>
        </w:rPr>
        <w:t xml:space="preserve"> мереж (не </w:t>
      </w:r>
      <w:r>
        <w:rPr>
          <w:rFonts w:ascii="Arial" w:hAnsi="Arial" w:cs="Arial"/>
          <w:lang w:eastAsia="en-US"/>
        </w:rPr>
        <w:t xml:space="preserve">всі</w:t>
      </w:r>
      <w:r>
        <w:rPr>
          <w:rFonts w:ascii="Arial" w:hAnsi="Arial" w:cs="Arial"/>
          <w:lang w:eastAsia="en-US"/>
        </w:rPr>
        <w:t xml:space="preserve"> </w:t>
      </w:r>
      <w:r>
        <w:rPr>
          <w:rFonts w:ascii="Arial" w:hAnsi="Arial" w:cs="Arial"/>
          <w:lang w:eastAsia="en-US"/>
        </w:rPr>
        <w:t xml:space="preserve">домогосподарства</w:t>
      </w:r>
      <w:r>
        <w:rPr>
          <w:rFonts w:ascii="Arial" w:hAnsi="Arial" w:cs="Arial"/>
          <w:lang w:eastAsia="en-US"/>
        </w:rPr>
        <w:t xml:space="preserve"> та </w:t>
      </w:r>
      <w:r>
        <w:rPr>
          <w:rFonts w:ascii="Arial" w:hAnsi="Arial" w:cs="Arial"/>
          <w:lang w:eastAsia="en-US"/>
        </w:rPr>
        <w:t xml:space="preserve">жителі</w:t>
      </w:r>
      <w:r>
        <w:rPr>
          <w:rFonts w:ascii="Arial" w:hAnsi="Arial" w:cs="Arial"/>
          <w:lang w:eastAsia="en-US"/>
        </w:rPr>
        <w:t xml:space="preserve"> </w:t>
      </w:r>
      <w:r>
        <w:rPr>
          <w:rFonts w:ascii="Arial" w:hAnsi="Arial" w:cs="Arial"/>
          <w:lang w:eastAsia="en-US"/>
        </w:rPr>
        <w:t xml:space="preserve">міста</w:t>
      </w:r>
      <w:r>
        <w:rPr>
          <w:rFonts w:ascii="Arial" w:hAnsi="Arial" w:cs="Arial"/>
          <w:lang w:eastAsia="en-US"/>
        </w:rPr>
        <w:t xml:space="preserve"> </w:t>
      </w:r>
      <w:r>
        <w:rPr>
          <w:rFonts w:ascii="Arial" w:hAnsi="Arial" w:cs="Arial"/>
          <w:lang w:eastAsia="en-US"/>
        </w:rPr>
        <w:t xml:space="preserve">мають</w:t>
      </w:r>
      <w:r>
        <w:rPr>
          <w:rFonts w:ascii="Arial" w:hAnsi="Arial" w:cs="Arial"/>
          <w:lang w:eastAsia="en-US"/>
        </w:rPr>
        <w:t xml:space="preserve"> доступ до </w:t>
      </w:r>
      <w:r>
        <w:rPr>
          <w:rFonts w:ascii="Arial" w:hAnsi="Arial" w:cs="Arial"/>
          <w:lang w:eastAsia="en-US"/>
        </w:rPr>
        <w:t xml:space="preserve">каналізації</w:t>
      </w:r>
      <w:r>
        <w:rPr>
          <w:rFonts w:ascii="Arial" w:hAnsi="Arial" w:cs="Arial"/>
          <w:lang w:eastAsia="en-US"/>
        </w:rPr>
        <w:t xml:space="preserve">). </w:t>
      </w:r>
      <w:r>
        <w:rPr>
          <w:rFonts w:ascii="Arial" w:hAnsi="Arial" w:cs="Arial"/>
          <w:lang w:val="uk-UA" w:eastAsia="en-US"/>
        </w:rPr>
        <w:t xml:space="preserve">Саме тому місцеве водопостачальне підприємство ТОВ «Менський комунальник» забезпечує постачання води з підземних джерел в обсязі</w:t>
      </w:r>
      <w:r>
        <w:rPr>
          <w:rFonts w:ascii="Arial" w:hAnsi="Arial" w:cs="Arial"/>
        </w:rPr>
        <w:t xml:space="preserve"> 320 тис. м</w:t>
      </w:r>
      <w:r>
        <w:rPr>
          <w:rFonts w:ascii="Arial" w:hAnsi="Arial" w:cs="Arial"/>
          <w:vertAlign w:val="superscript"/>
          <w:lang w:val="uk-UA"/>
        </w:rPr>
        <w:t xml:space="preserve">3</w:t>
      </w:r>
      <w:r>
        <w:rPr>
          <w:rFonts w:ascii="Arial" w:hAnsi="Arial" w:cs="Arial"/>
          <w:lang w:val="uk-UA"/>
        </w:rPr>
        <w:t xml:space="preserve"> за рік,</w:t>
      </w:r>
      <w:r>
        <w:rPr>
          <w:rFonts w:ascii="Arial" w:hAnsi="Arial" w:cs="Arial"/>
        </w:rPr>
        <w:t xml:space="preserve"> </w:t>
      </w:r>
      <w:r>
        <w:rPr>
          <w:rFonts w:ascii="Arial" w:hAnsi="Arial" w:cs="Arial"/>
        </w:rPr>
        <w:t xml:space="preserve">тоді</w:t>
      </w:r>
      <w:r>
        <w:rPr>
          <w:rFonts w:ascii="Arial" w:hAnsi="Arial" w:cs="Arial"/>
        </w:rPr>
        <w:t xml:space="preserve"> як </w:t>
      </w:r>
      <w:r>
        <w:rPr>
          <w:rFonts w:ascii="Arial" w:hAnsi="Arial" w:cs="Arial"/>
          <w:lang w:val="uk-UA"/>
        </w:rPr>
        <w:t xml:space="preserve">обсяги </w:t>
      </w:r>
      <w:r>
        <w:rPr>
          <w:rFonts w:ascii="Arial" w:hAnsi="Arial" w:cs="Arial"/>
        </w:rPr>
        <w:t xml:space="preserve">перекачаних</w:t>
      </w:r>
      <w:r>
        <w:rPr>
          <w:rFonts w:ascii="Arial" w:hAnsi="Arial" w:cs="Arial"/>
        </w:rPr>
        <w:t xml:space="preserve"> </w:t>
      </w:r>
      <w:r>
        <w:rPr>
          <w:rFonts w:ascii="Arial" w:hAnsi="Arial" w:cs="Arial"/>
        </w:rPr>
        <w:t xml:space="preserve">стоків</w:t>
      </w:r>
      <w:r>
        <w:rPr>
          <w:rFonts w:ascii="Arial" w:hAnsi="Arial" w:cs="Arial"/>
        </w:rPr>
        <w:t xml:space="preserve"> </w:t>
      </w:r>
      <w:r>
        <w:rPr>
          <w:rFonts w:ascii="Arial" w:hAnsi="Arial" w:cs="Arial"/>
          <w:lang w:val="uk-UA"/>
        </w:rPr>
        <w:t xml:space="preserve">становлять лише близько </w:t>
      </w:r>
      <w:r>
        <w:rPr>
          <w:rFonts w:ascii="Arial" w:hAnsi="Arial" w:cs="Arial"/>
        </w:rPr>
        <w:t xml:space="preserve">58 тис. м</w:t>
      </w:r>
      <w:r>
        <w:rPr>
          <w:rFonts w:ascii="Arial" w:hAnsi="Arial" w:cs="Arial"/>
          <w:vertAlign w:val="superscript"/>
        </w:rPr>
        <w:t xml:space="preserve">3</w:t>
      </w:r>
      <w:r>
        <w:rPr>
          <w:rFonts w:ascii="Arial" w:hAnsi="Arial" w:cs="Arial"/>
        </w:rPr>
        <w:t xml:space="preserve">.</w:t>
      </w:r>
      <w:r>
        <w:rPr>
          <w:rFonts w:ascii="Arial" w:hAnsi="Arial" w:cs="Arial"/>
          <w:lang w:val="uk-UA"/>
        </w:rPr>
        <w:t xml:space="preserve"> Спеціалізовані підприємства </w:t>
      </w:r>
      <w:r>
        <w:rPr>
          <w:rFonts w:ascii="Arial" w:hAnsi="Arial" w:cs="Arial"/>
          <w:lang w:val="uk-UA"/>
        </w:rPr>
        <w:t xml:space="preserve">водопровідно-каналізаційного господарства в селах громади відсутні, переважна більшість водогонів у сільській місцевості не облікована, плата за користування не справляється або є символічною. Водовідведення наявне тільки в м. Мена та селищі Макошине.</w:t>
      </w:r>
      <w:r/>
    </w:p>
    <w:p>
      <w:pPr>
        <w:pStyle w:val="536"/>
        <w:ind w:firstLine="709"/>
        <w:jc w:val="both"/>
        <w:spacing w:after="0" w:afterAutospacing="0" w:before="0" w:beforeAutospacing="0"/>
        <w:shd w:val="clear" w:color="auto" w:fill="FFFFFF"/>
        <w:rPr>
          <w:rFonts w:ascii="Arial" w:hAnsi="Arial" w:cs="Arial"/>
          <w:lang w:val="uk-UA"/>
        </w:rPr>
      </w:pPr>
      <w:r>
        <w:rPr>
          <w:rFonts w:ascii="Arial" w:hAnsi="Arial" w:cs="Arial"/>
          <w:lang w:val="uk-UA"/>
        </w:rPr>
        <w:t xml:space="preserve">С</w:t>
      </w:r>
      <w:r>
        <w:rPr>
          <w:rFonts w:ascii="Arial" w:hAnsi="Arial" w:cs="Arial" w:eastAsia="Arial"/>
          <w:lang w:val="uk-UA"/>
        </w:rPr>
        <w:t xml:space="preserve">истема водозабезпечення в цілому потребу капітального ремонту  та суттєвої модернізації.</w:t>
      </w:r>
      <w:r/>
    </w:p>
    <w:p>
      <w:pPr>
        <w:pStyle w:val="536"/>
        <w:ind w:firstLine="709"/>
        <w:jc w:val="both"/>
        <w:spacing w:after="0" w:afterAutospacing="0" w:before="0" w:beforeAutospacing="0"/>
        <w:shd w:val="clear" w:color="auto" w:fill="FFFFFF"/>
        <w:rPr>
          <w:rFonts w:ascii="Arial" w:hAnsi="Arial" w:cs="Arial"/>
          <w:lang w:val="uk-UA"/>
        </w:rPr>
      </w:pPr>
      <w:r>
        <w:rPr>
          <w:rFonts w:ascii="Arial" w:hAnsi="Arial" w:cs="Arial"/>
          <w:lang w:val="uk-UA"/>
        </w:rPr>
        <w:t xml:space="preserve">В табл. 5 представлені узагальнені дані, що отримані в результаті аналізу кліматичних та інших показників та які стосуються ризиків і загроз, пов'язаних зі змінами клімату в регіоні Менської міської </w:t>
      </w:r>
      <w:r>
        <w:rPr>
          <w:rFonts w:ascii="Arial" w:hAnsi="Arial" w:cs="Arial"/>
          <w:lang w:val="uk-UA"/>
        </w:rPr>
        <w:t xml:space="preserve">територіальної громади</w:t>
      </w:r>
      <w:r>
        <w:rPr>
          <w:rFonts w:ascii="Arial" w:hAnsi="Arial" w:cs="Arial"/>
          <w:lang w:val="uk-UA"/>
        </w:rPr>
        <w:t xml:space="preserve">. Впродовж </w:t>
      </w:r>
      <w:r>
        <w:rPr>
          <w:rFonts w:ascii="Arial" w:hAnsi="Arial" w:cs="Arial"/>
          <w:lang w:val="uk-UA"/>
        </w:rPr>
        <w:t xml:space="preserve">2019 та першої половини 2020 р. спостерігалися </w:t>
      </w:r>
      <w:r>
        <w:rPr>
          <w:rFonts w:ascii="Arial" w:hAnsi="Arial" w:cs="Arial"/>
          <w:lang w:val="uk-UA"/>
        </w:rPr>
        <w:t xml:space="preserve">малодощова</w:t>
      </w:r>
      <w:r>
        <w:rPr>
          <w:rFonts w:ascii="Arial" w:hAnsi="Arial" w:cs="Arial"/>
          <w:lang w:val="uk-UA"/>
        </w:rPr>
        <w:t xml:space="preserve"> осінь, малосніжна й відносно тепла зима, </w:t>
      </w:r>
      <w:r>
        <w:rPr>
          <w:rFonts w:ascii="Arial" w:hAnsi="Arial" w:cs="Arial"/>
          <w:lang w:val="uk-UA"/>
        </w:rPr>
        <w:t xml:space="preserve">малодощова</w:t>
      </w:r>
      <w:r>
        <w:rPr>
          <w:rFonts w:ascii="Arial" w:hAnsi="Arial" w:cs="Arial"/>
          <w:lang w:val="uk-UA"/>
        </w:rPr>
        <w:t xml:space="preserve"> весна, що спричинило виснаження природних водних об’єктів не лише в регіоні Менської міської </w:t>
      </w:r>
      <w:r>
        <w:rPr>
          <w:rFonts w:ascii="Arial" w:hAnsi="Arial" w:cs="Arial"/>
          <w:lang w:val="uk-UA"/>
        </w:rPr>
        <w:t xml:space="preserve">територіальної громади</w:t>
      </w:r>
      <w:r>
        <w:rPr>
          <w:rFonts w:ascii="Arial" w:hAnsi="Arial" w:cs="Arial"/>
          <w:lang w:val="uk-UA"/>
        </w:rPr>
        <w:t xml:space="preserve">, а взагалі в Східній</w:t>
      </w:r>
      <w:r>
        <w:rPr>
          <w:rFonts w:ascii="Arial" w:hAnsi="Arial" w:cs="Arial"/>
          <w:lang w:val="uk-UA"/>
        </w:rPr>
        <w:t xml:space="preserve"> Європі,  та створило умови для пожежонебезпечної обстановки з масовими й масштабними пожежами в лісових, лугових та степових системах і населених пунктах. Зважаючи на таку погодну обстановку, деякі загрози оцінені як такі, що мають високий ступінь ризику.</w:t>
      </w:r>
      <w:r/>
    </w:p>
    <w:p>
      <w:pPr>
        <w:jc w:val="both"/>
        <w:spacing w:lineRule="auto" w:line="240" w:after="0"/>
        <w:rPr>
          <w:rFonts w:ascii="Arial" w:hAnsi="Arial" w:cs="Arial"/>
          <w:sz w:val="24"/>
          <w:szCs w:val="24"/>
          <w:lang w:val="uk-UA" w:eastAsia="ru-RU"/>
        </w:rPr>
      </w:pPr>
      <w:r>
        <w:rPr>
          <w:rFonts w:ascii="Arial" w:hAnsi="Arial" w:cs="Arial"/>
          <w:sz w:val="24"/>
          <w:szCs w:val="24"/>
          <w:lang w:val="uk-UA" w:eastAsia="ru-RU"/>
        </w:rPr>
      </w:r>
      <w:r/>
    </w:p>
    <w:p>
      <w:pPr>
        <w:pStyle w:val="558"/>
        <w:jc w:val="both"/>
        <w:rPr>
          <w:rFonts w:ascii="Arial" w:hAnsi="Arial" w:cs="Arial"/>
          <w:b/>
          <w:sz w:val="24"/>
          <w:szCs w:val="24"/>
          <w:lang w:val="uk-UA"/>
        </w:rPr>
        <w:sectPr>
          <w:footnotePr/>
          <w:type w:val="continuous"/>
          <w:pgSz w:w="16839" w:h="11907" w:orient="landscape"/>
          <w:pgMar w:top="1440" w:right="1104" w:bottom="1170" w:left="1440" w:header="720" w:footer="720"/>
          <w:cols w:num="2" w:sep="0" w:space="720" w:equalWidth="1"/>
          <w:docGrid w:linePitch="360"/>
        </w:sectPr>
      </w:pPr>
      <w:r>
        <w:rPr>
          <w:rFonts w:ascii="Arial" w:hAnsi="Arial" w:cs="Arial"/>
          <w:b/>
          <w:sz w:val="24"/>
          <w:szCs w:val="24"/>
          <w:lang w:val="uk-UA"/>
        </w:rPr>
      </w:r>
      <w:r/>
    </w:p>
    <w:p>
      <w:pPr>
        <w:pStyle w:val="558"/>
        <w:jc w:val="both"/>
        <w:shd w:val="clear" w:color="auto" w:fill="FFFFFF" w:themeFill="background1"/>
        <w:rPr>
          <w:rFonts w:ascii="Arial" w:hAnsi="Arial" w:cs="Arial"/>
          <w:b/>
          <w:sz w:val="24"/>
          <w:szCs w:val="24"/>
          <w:lang w:val="uk-UA"/>
        </w:rPr>
      </w:pPr>
      <w:r>
        <w:rPr>
          <w:rFonts w:ascii="Arial" w:hAnsi="Arial" w:cs="Arial"/>
          <w:b/>
          <w:sz w:val="24"/>
          <w:szCs w:val="24"/>
          <w:lang w:val="uk-UA"/>
        </w:rPr>
      </w:r>
      <w:r/>
    </w:p>
    <w:p>
      <w:pPr>
        <w:pStyle w:val="558"/>
        <w:jc w:val="center"/>
        <w:shd w:val="clear" w:color="auto" w:fill="FFFFFF" w:themeFill="background1"/>
        <w:rPr>
          <w:rFonts w:ascii="Arial" w:hAnsi="Arial" w:cs="Arial"/>
          <w:b/>
          <w:sz w:val="24"/>
          <w:szCs w:val="24"/>
          <w:lang w:val="uk-UA"/>
        </w:rPr>
      </w:pPr>
      <w:r>
        <w:rPr>
          <w:rFonts w:ascii="Arial" w:hAnsi="Arial" w:cs="Arial"/>
          <w:b/>
          <w:sz w:val="24"/>
          <w:szCs w:val="24"/>
          <w:lang w:val="uk-UA"/>
        </w:rPr>
        <w:t xml:space="preserve">Таблиця 5. Ризики та загрози, пов'язані зі змінами клімату, важливі для регіону Менської міської </w:t>
      </w:r>
      <w:r>
        <w:rPr>
          <w:rFonts w:ascii="Arial" w:hAnsi="Arial" w:cs="Arial"/>
          <w:b/>
          <w:sz w:val="24"/>
          <w:szCs w:val="24"/>
          <w:lang w:val="uk-UA"/>
        </w:rPr>
        <w:t xml:space="preserve">територіальної громади</w:t>
      </w:r>
      <w:r/>
    </w:p>
    <w:p>
      <w:pPr>
        <w:pStyle w:val="558"/>
        <w:jc w:val="both"/>
        <w:shd w:val="clear" w:color="auto" w:fill="FFFFFF" w:themeFill="background1"/>
        <w:rPr>
          <w:rFonts w:ascii="Arial" w:hAnsi="Arial" w:cs="Arial"/>
          <w:b/>
          <w:sz w:val="24"/>
          <w:szCs w:val="24"/>
          <w:lang w:val="uk-UA"/>
        </w:rPr>
      </w:pPr>
      <w:r>
        <w:rPr>
          <w:rFonts w:ascii="Arial" w:hAnsi="Arial" w:cs="Arial"/>
          <w:b/>
          <w:sz w:val="24"/>
          <w:szCs w:val="24"/>
          <w:lang w:val="uk-UA"/>
        </w:rPr>
      </w:r>
      <w:r/>
    </w:p>
    <w:tbl>
      <w:tblPr>
        <w:tblW w:w="14312" w:type="dxa"/>
        <w:shd w:val="clear" w:color="auto" w:fill="FFFFFF" w:themeFill="background1"/>
        <w:tblLook w:val="04A0" w:firstRow="1" w:lastRow="0" w:firstColumn="1" w:lastColumn="0" w:noHBand="0" w:noVBand="1"/>
      </w:tblPr>
      <w:tblGrid>
        <w:gridCol w:w="1930"/>
        <w:gridCol w:w="1555"/>
        <w:gridCol w:w="1862"/>
        <w:gridCol w:w="1832"/>
        <w:gridCol w:w="1401"/>
        <w:gridCol w:w="5732"/>
      </w:tblGrid>
      <w:tr>
        <w:trPr>
          <w:trHeight w:val="465"/>
        </w:trPr>
        <w:tc>
          <w:tcPr>
            <w:shd w:val="clear" w:color="auto" w:fill="FFFFFF" w:themeFill="background1"/>
            <w:tcBorders>
              <w:left w:val="single" w:color="6C6864" w:sz="4" w:space="0"/>
              <w:top w:val="single" w:color="6C6864" w:sz="4" w:space="0"/>
              <w:right w:val="single" w:color="6C6864" w:sz="4" w:space="0"/>
              <w:bottom w:val="single" w:color="6C6864" w:sz="4" w:space="0"/>
            </w:tcBorders>
            <w:tcW w:w="1930" w:type="dxa"/>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Тип кліматичної загрози</w:t>
            </w:r>
            <w:r/>
          </w:p>
        </w:tc>
        <w:tc>
          <w:tcPr>
            <w:shd w:val="clear" w:color="auto" w:fill="FFFFFF" w:themeFill="background1"/>
            <w:tcBorders>
              <w:left w:val="single" w:color="6C6864" w:sz="4" w:space="0"/>
              <w:top w:val="single" w:color="6C6864" w:sz="4" w:space="0"/>
              <w:right w:val="single" w:color="6C6864" w:sz="4" w:space="0"/>
              <w:bottom w:val="single" w:color="6C6864" w:sz="4" w:space="0"/>
            </w:tcBorders>
            <w:tcW w:w="1555" w:type="dxa"/>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Поточний рівень ризику, пов’язаний із загрозою</w:t>
            </w:r>
            <w:r/>
          </w:p>
        </w:tc>
        <w:tc>
          <w:tcPr>
            <w:shd w:val="clear" w:color="auto" w:fill="FFFFFF" w:themeFill="background1"/>
            <w:tcBorders>
              <w:left w:val="single" w:color="6C6864" w:sz="4" w:space="0"/>
              <w:top w:val="single" w:color="6C6864" w:sz="4" w:space="0"/>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Прогнозовані зміни інтенсивності</w:t>
            </w:r>
            <w:r/>
          </w:p>
        </w:tc>
        <w:tc>
          <w:tcPr>
            <w:shd w:val="clear" w:color="auto" w:fill="FFFFFF" w:themeFill="background1"/>
            <w:tcBorders>
              <w:left w:val="none" w:color="000000" w:sz="4" w:space="0"/>
              <w:top w:val="single" w:color="6C6864" w:sz="4" w:space="0"/>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Прогнозовані зміни частоти</w:t>
            </w:r>
            <w:r/>
          </w:p>
        </w:tc>
        <w:tc>
          <w:tcPr>
            <w:shd w:val="clear" w:color="auto" w:fill="FFFFFF" w:themeFill="background1"/>
            <w:tcBorders>
              <w:left w:val="none" w:color="000000" w:sz="4" w:space="0"/>
              <w:top w:val="single" w:color="6C6864" w:sz="4" w:space="0"/>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Терміни</w:t>
            </w:r>
            <w:r/>
          </w:p>
        </w:tc>
        <w:tc>
          <w:tcPr>
            <w:shd w:val="clear" w:color="auto" w:fill="FFFFFF" w:themeFill="background1"/>
            <w:tcBorders>
              <w:left w:val="none" w:color="000000" w:sz="4" w:space="0"/>
              <w:top w:val="single" w:color="6C6864" w:sz="4" w:space="0"/>
              <w:right w:val="single" w:color="808080" w:sz="4" w:space="0"/>
              <w:bottom w:val="single" w:color="6C6864" w:sz="4" w:space="0"/>
            </w:tcBorders>
            <w:tcW w:w="5732"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Індикатори, пов’язані з ризиком</w:t>
            </w:r>
            <w:r/>
          </w:p>
        </w:tc>
      </w:tr>
      <w:tr>
        <w:trPr>
          <w:trHeight w:val="465"/>
        </w:trPr>
        <w:tc>
          <w:tcPr>
            <w:shd w:val="clear" w:color="auto" w:fill="FFFFFF" w:themeFill="background1"/>
            <w:tcBorders>
              <w:left w:val="single" w:color="6C6864" w:sz="4" w:space="0"/>
              <w:top w:val="none" w:color="000000" w:sz="4" w:space="0"/>
              <w:right w:val="single" w:color="6C6864" w:sz="4" w:space="0"/>
              <w:bottom w:val="single" w:color="6C6864" w:sz="4" w:space="0"/>
            </w:tcBorders>
            <w:tcW w:w="1930"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Екстремально</w:t>
            </w:r>
            <w:r>
              <w:rPr>
                <w:rFonts w:ascii="Arial" w:hAnsi="Arial" w:cs="Arial"/>
                <w:b/>
                <w:sz w:val="24"/>
                <w:szCs w:val="24"/>
                <w:lang w:val="uk-UA"/>
              </w:rPr>
              <w:t xml:space="preserve"> спекотні дні</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555"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rPr>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Високий</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bottom w:val="single" w:color="6C6864" w:sz="4" w:space="0"/>
            </w:tcBorders>
            <w:tcW w:w="57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діб (днів/ночей) з </w:t>
            </w:r>
            <w:r>
              <w:rPr>
                <w:rFonts w:ascii="Arial" w:hAnsi="Arial" w:cs="Arial"/>
                <w:sz w:val="24"/>
                <w:szCs w:val="24"/>
                <w:lang w:val="uk-UA"/>
              </w:rPr>
              <w:t xml:space="preserve">екстремально</w:t>
            </w:r>
            <w:r>
              <w:rPr>
                <w:rFonts w:ascii="Arial" w:hAnsi="Arial" w:cs="Arial"/>
                <w:sz w:val="24"/>
                <w:szCs w:val="24"/>
                <w:lang w:val="uk-UA"/>
              </w:rPr>
              <w:t xml:space="preserve"> високою температурою</w:t>
            </w:r>
            <w:r/>
          </w:p>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 Частота теплових / холодних хвиль</w:t>
            </w:r>
            <w:r/>
          </w:p>
        </w:tc>
      </w:tr>
      <w:tr>
        <w:trPr>
          <w:trHeight w:val="465"/>
        </w:trPr>
        <w:tc>
          <w:tcPr>
            <w:shd w:val="clear" w:color="auto" w:fill="FFFFFF" w:themeFill="background1"/>
            <w:tcBorders>
              <w:left w:val="single" w:color="6C6864" w:sz="4" w:space="0"/>
              <w:top w:val="none" w:color="000000" w:sz="4" w:space="0"/>
              <w:right w:val="single" w:color="6C6864" w:sz="4" w:space="0"/>
              <w:bottom w:val="single" w:color="6C6864" w:sz="4" w:space="0"/>
            </w:tcBorders>
            <w:tcW w:w="1930"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Екстремально</w:t>
            </w:r>
            <w:r>
              <w:rPr>
                <w:rFonts w:ascii="Arial" w:hAnsi="Arial" w:cs="Arial"/>
                <w:b/>
                <w:sz w:val="24"/>
                <w:szCs w:val="24"/>
                <w:lang w:val="uk-UA"/>
              </w:rPr>
              <w:t xml:space="preserve"> холодні дні</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555"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rPr>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Низький</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Знижується</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Знижується</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bottom w:val="single" w:color="6C6864" w:sz="4" w:space="0"/>
            </w:tcBorders>
            <w:tcW w:w="57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діб (днів/ночей) з </w:t>
            </w:r>
            <w:r>
              <w:rPr>
                <w:rFonts w:ascii="Arial" w:hAnsi="Arial" w:cs="Arial"/>
                <w:sz w:val="24"/>
                <w:szCs w:val="24"/>
                <w:lang w:val="uk-UA"/>
              </w:rPr>
              <w:t xml:space="preserve">екстремально</w:t>
            </w:r>
            <w:r>
              <w:rPr>
                <w:rFonts w:ascii="Arial" w:hAnsi="Arial" w:cs="Arial"/>
                <w:sz w:val="24"/>
                <w:szCs w:val="24"/>
                <w:lang w:val="uk-UA"/>
              </w:rPr>
              <w:t xml:space="preserve"> низькою для сезону температурою</w:t>
            </w:r>
            <w:r/>
          </w:p>
        </w:tc>
      </w:tr>
      <w:tr>
        <w:trPr>
          <w:trHeight w:val="465"/>
        </w:trPr>
        <w:tc>
          <w:tcPr>
            <w:shd w:val="clear" w:color="auto" w:fill="FFFFFF" w:themeFill="background1"/>
            <w:tcBorders>
              <w:left w:val="single" w:color="6C6864" w:sz="4" w:space="0"/>
              <w:top w:val="none" w:color="000000" w:sz="4" w:space="0"/>
              <w:right w:val="single" w:color="6C6864" w:sz="4" w:space="0"/>
              <w:bottom w:val="single" w:color="6C6864" w:sz="4" w:space="0"/>
            </w:tcBorders>
            <w:tcW w:w="1930"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Екстремальні опади</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555"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Високий</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bottom w:val="single" w:color="6C6864" w:sz="4" w:space="0"/>
            </w:tcBorders>
            <w:tcW w:w="5732"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 Кількість діб (днів/ночей) з екстремальною кількістю опадів</w:t>
            </w:r>
            <w:r/>
          </w:p>
        </w:tc>
      </w:tr>
      <w:tr>
        <w:trPr>
          <w:trHeight w:val="465"/>
        </w:trPr>
        <w:tc>
          <w:tcPr>
            <w:shd w:val="clear" w:color="auto" w:fill="FFFFFF" w:themeFill="background1"/>
            <w:tcBorders>
              <w:left w:val="single" w:color="6C6864" w:sz="4" w:space="0"/>
              <w:top w:val="none" w:color="000000" w:sz="4" w:space="0"/>
              <w:right w:val="single" w:color="6C6864" w:sz="4" w:space="0"/>
              <w:bottom w:val="single" w:sz="4" w:space="0" w:color="auto"/>
            </w:tcBorders>
            <w:tcW w:w="1930"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Підтоплення,</w:t>
            </w:r>
            <w:r/>
          </w:p>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повені</w:t>
            </w:r>
            <w:r/>
          </w:p>
        </w:tc>
        <w:tc>
          <w:tcPr>
            <w:shd w:val="clear" w:color="auto" w:fill="FFFFFF" w:themeFill="background1"/>
            <w:tcBorders>
              <w:left w:val="single" w:color="6C6864" w:sz="4" w:space="0"/>
              <w:top w:val="none" w:color="000000" w:sz="4" w:space="0"/>
              <w:right w:val="single" w:color="6C6864" w:sz="4" w:space="0"/>
              <w:bottom w:val="single" w:sz="4" w:space="0" w:color="auto"/>
            </w:tcBorders>
            <w:tcW w:w="1555"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Високий</w:t>
            </w:r>
            <w:r/>
          </w:p>
        </w:tc>
        <w:tc>
          <w:tcPr>
            <w:shd w:val="clear" w:color="auto" w:fill="FFFFFF" w:themeFill="background1"/>
            <w:tcBorders>
              <w:left w:val="single" w:color="6C6864" w:sz="4" w:space="0"/>
              <w:top w:val="none" w:color="000000" w:sz="4" w:space="0"/>
              <w:right w:val="single" w:color="6C6864" w:sz="4" w:space="0"/>
              <w:bottom w:val="single" w:sz="4" w:space="0" w:color="auto"/>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sz="4" w:space="0" w:color="auto"/>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sz="4" w:space="0" w:color="auto"/>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bottom w:val="single" w:sz="4" w:space="0" w:color="auto"/>
            </w:tcBorders>
            <w:tcW w:w="57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rPr>
              <w:t xml:space="preserve">* </w:t>
            </w:r>
            <w:r>
              <w:rPr>
                <w:rFonts w:ascii="Arial" w:hAnsi="Arial" w:cs="Arial"/>
                <w:sz w:val="24"/>
                <w:szCs w:val="24"/>
                <w:lang w:val="uk-UA"/>
              </w:rPr>
              <w:t xml:space="preserve">Кількість діб (днів/ночей) з екстремальною кількістю опадів</w:t>
            </w:r>
            <w:r/>
          </w:p>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*Сума опадів за період екстремальних опадів </w:t>
            </w:r>
            <w:r/>
          </w:p>
        </w:tc>
      </w:tr>
      <w:tr>
        <w:trPr>
          <w:trHeight w:val="465"/>
        </w:trPr>
        <w:tc>
          <w:tcPr>
            <w:shd w:val="clear" w:color="auto" w:fill="FFFFFF" w:themeFill="background1"/>
            <w:tcBorders>
              <w:left w:val="single" w:color="6C6864" w:sz="4" w:space="0"/>
              <w:top w:val="single" w:sz="4" w:space="0" w:color="auto"/>
              <w:right w:val="single" w:color="6C6864" w:sz="4" w:space="0"/>
              <w:bottom w:val="single" w:color="6C6864" w:sz="4" w:space="0"/>
            </w:tcBorders>
            <w:tcW w:w="1930"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Грози і буревії</w:t>
            </w:r>
            <w:r/>
          </w:p>
        </w:tc>
        <w:tc>
          <w:tcPr>
            <w:shd w:val="clear" w:color="auto" w:fill="FFFFFF" w:themeFill="background1"/>
            <w:tcBorders>
              <w:left w:val="single" w:color="6C6864" w:sz="4" w:space="0"/>
              <w:top w:val="single" w:sz="4" w:space="0" w:color="auto"/>
              <w:right w:val="single" w:color="6C6864" w:sz="4" w:space="0"/>
              <w:bottom w:val="single" w:color="6C6864" w:sz="4" w:space="0"/>
            </w:tcBorders>
            <w:tcW w:w="1555"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Помірний</w:t>
            </w:r>
            <w:r/>
          </w:p>
        </w:tc>
        <w:tc>
          <w:tcPr>
            <w:shd w:val="clear" w:color="auto" w:fill="FFFFFF" w:themeFill="background1"/>
            <w:tcBorders>
              <w:left w:val="single" w:color="6C6864" w:sz="4" w:space="0"/>
              <w:top w:val="single" w:sz="4" w:space="0" w:color="auto"/>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single" w:sz="4" w:space="0" w:color="auto"/>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single" w:sz="4" w:space="0" w:color="auto"/>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single" w:sz="4" w:space="0" w:color="auto"/>
              <w:right w:val="single" w:color="808080" w:sz="4" w:space="0"/>
              <w:bottom w:val="single" w:color="6C6864" w:sz="4" w:space="0"/>
            </w:tcBorders>
            <w:tcW w:w="57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днів з грозою</w:t>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днів з градом</w:t>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днів з буревіями</w:t>
            </w:r>
            <w:r/>
          </w:p>
        </w:tc>
      </w:tr>
      <w:tr>
        <w:trPr>
          <w:trHeight w:val="465"/>
        </w:trPr>
        <w:tc>
          <w:tcPr>
            <w:shd w:val="clear" w:color="auto" w:fill="FFFFFF" w:themeFill="background1"/>
            <w:tcBorders>
              <w:left w:val="single" w:color="6C6864" w:sz="4" w:space="0"/>
              <w:top w:val="none" w:color="000000" w:sz="4" w:space="0"/>
              <w:right w:val="single" w:color="6C6864" w:sz="4" w:space="0"/>
              <w:bottom w:val="single" w:color="6C6864" w:sz="4" w:space="0"/>
            </w:tcBorders>
            <w:tcW w:w="1930"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Посухи</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555"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Помірний</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bottom w:val="single" w:color="6C6864" w:sz="4" w:space="0"/>
            </w:tcBorders>
            <w:tcW w:w="57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діб підряд без дощу</w:t>
            </w:r>
            <w:r/>
          </w:p>
        </w:tc>
      </w:tr>
      <w:tr>
        <w:trPr>
          <w:trHeight w:val="465"/>
        </w:trPr>
        <w:tc>
          <w:tcPr>
            <w:shd w:val="clear" w:color="auto" w:fill="FFFFFF" w:themeFill="background1"/>
            <w:tcBorders>
              <w:left w:val="single" w:color="6C6864" w:sz="4" w:space="0"/>
              <w:top w:val="none" w:color="000000" w:sz="4" w:space="0"/>
              <w:right w:val="single" w:color="6C6864" w:sz="4" w:space="0"/>
              <w:bottom w:val="single" w:color="6C6864" w:sz="4" w:space="0"/>
            </w:tcBorders>
            <w:tcW w:w="1930"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Суховії, пилові бурі</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555"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Низький</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bottom w:val="single" w:color="6C6864" w:sz="4" w:space="0"/>
            </w:tcBorders>
            <w:tcW w:w="57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діб підряд без дощу</w:t>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діб з суховіями та/або пиловими бурями</w:t>
            </w:r>
            <w:r/>
          </w:p>
        </w:tc>
      </w:tr>
      <w:tr>
        <w:trPr>
          <w:trHeight w:val="465"/>
        </w:trPr>
        <w:tc>
          <w:tcPr>
            <w:shd w:val="clear" w:color="auto" w:fill="FFFFFF" w:themeFill="background1"/>
            <w:tcBorders>
              <w:left w:val="single" w:color="6C6864" w:sz="4" w:space="0"/>
              <w:top w:val="none" w:color="000000" w:sz="4" w:space="0"/>
              <w:right w:val="single" w:color="6C6864" w:sz="4" w:space="0"/>
              <w:bottom w:val="single" w:color="6C6864" w:sz="4" w:space="0"/>
            </w:tcBorders>
            <w:tcW w:w="1930"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Пожежі</w:t>
            </w:r>
            <w:r>
              <w:rPr>
                <w:rFonts w:ascii="Arial" w:hAnsi="Arial" w:cs="Arial"/>
                <w:b/>
                <w:sz w:val="24"/>
                <w:szCs w:val="24"/>
              </w:rPr>
              <w:t xml:space="preserve"> (</w:t>
            </w:r>
            <w:r>
              <w:rPr>
                <w:rFonts w:ascii="Arial" w:hAnsi="Arial" w:cs="Arial"/>
                <w:b/>
                <w:sz w:val="24"/>
                <w:szCs w:val="24"/>
                <w:lang w:val="uk-UA"/>
              </w:rPr>
              <w:t xml:space="preserve">ліси, луки, торфовища)</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555"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Високий</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bottom w:val="single" w:color="6C6864" w:sz="4" w:space="0"/>
            </w:tcBorders>
            <w:tcW w:w="57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діб підряд без дощу</w:t>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пожеж</w:t>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Площа території пожеж</w:t>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*Обсяги збитків від пожеж (оцінка)</w:t>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*Кількість загиблих / постраждалих</w:t>
            </w:r>
            <w:r/>
          </w:p>
        </w:tc>
      </w:tr>
    </w:tbl>
    <w:p>
      <w:pPr>
        <w:pStyle w:val="536"/>
        <w:jc w:val="both"/>
        <w:spacing w:after="0" w:afterAutospacing="0" w:before="0" w:beforeAutospacing="0"/>
        <w:shd w:val="clear" w:color="auto" w:fill="FFFFFF" w:themeFill="background1"/>
        <w:rPr>
          <w:rFonts w:ascii="Arial" w:hAnsi="Arial" w:cs="Arial"/>
          <w:lang w:eastAsia="en-US"/>
        </w:rPr>
      </w:pPr>
      <w:r>
        <w:rPr>
          <w:rFonts w:ascii="Arial" w:hAnsi="Arial" w:cs="Arial"/>
          <w:lang w:eastAsia="en-US"/>
        </w:rPr>
      </w:r>
      <w:r/>
    </w:p>
    <w:p>
      <w:pPr>
        <w:pStyle w:val="536"/>
        <w:ind w:firstLine="709"/>
        <w:jc w:val="both"/>
        <w:spacing w:after="0" w:afterAutospacing="0" w:before="0" w:beforeAutospacing="0"/>
        <w:shd w:val="clear" w:color="auto" w:fill="FFFFFF" w:themeFill="background1"/>
        <w:rPr>
          <w:rFonts w:ascii="Arial" w:hAnsi="Arial" w:cs="Arial"/>
          <w:b/>
          <w:lang w:val="uk-UA"/>
        </w:rPr>
      </w:pPr>
      <w:r>
        <w:rPr>
          <w:rFonts w:ascii="Arial" w:hAnsi="Arial" w:cs="Arial"/>
          <w:lang w:val="uk-UA"/>
        </w:rPr>
        <w:t xml:space="preserve">Разом з тим, кліматичні зміни спричинюють виникнення умов, сприятливих для певних видів діяльності. Такі умови представлені в табл. 6.</w:t>
      </w:r>
      <w:r/>
    </w:p>
    <w:p>
      <w:pPr>
        <w:jc w:val="both"/>
        <w:shd w:val="clear" w:color="auto" w:fill="FFFFFF" w:themeFill="background1"/>
        <w:rPr>
          <w:rFonts w:ascii="Arial" w:hAnsi="Arial" w:cs="Arial"/>
          <w:b/>
          <w:sz w:val="24"/>
          <w:szCs w:val="24"/>
          <w:lang w:val="uk-UA"/>
        </w:rPr>
      </w:pPr>
      <w:r>
        <w:rPr>
          <w:rFonts w:ascii="Arial" w:hAnsi="Arial" w:cs="Arial"/>
          <w:b/>
          <w:sz w:val="24"/>
          <w:szCs w:val="24"/>
          <w:lang w:val="uk-UA"/>
        </w:rPr>
      </w:r>
      <w:r/>
    </w:p>
    <w:p>
      <w:pPr>
        <w:jc w:val="center"/>
        <w:shd w:val="clear" w:color="auto" w:fill="FFFFFF" w:themeFill="background1"/>
        <w:rPr>
          <w:rFonts w:ascii="Arial" w:hAnsi="Arial" w:cs="Arial"/>
          <w:b/>
          <w:sz w:val="24"/>
          <w:szCs w:val="24"/>
          <w:lang w:val="uk-UA"/>
        </w:rPr>
      </w:pPr>
      <w:r>
        <w:rPr>
          <w:rFonts w:ascii="Arial" w:hAnsi="Arial" w:cs="Arial"/>
          <w:b/>
          <w:sz w:val="24"/>
          <w:szCs w:val="24"/>
          <w:lang w:val="uk-UA"/>
        </w:rPr>
        <w:t xml:space="preserve">Таблиця 6. Можливості, що з’явилися внаслідок змін клімату в регіоні Менської міської </w:t>
      </w:r>
      <w:r>
        <w:rPr>
          <w:rFonts w:ascii="Arial" w:hAnsi="Arial" w:cs="Arial"/>
          <w:b/>
          <w:sz w:val="24"/>
          <w:szCs w:val="24"/>
          <w:lang w:val="uk-UA"/>
        </w:rPr>
        <w:t xml:space="preserve">територіальної громади</w:t>
      </w:r>
      <w:r/>
    </w:p>
    <w:tbl>
      <w:tblPr>
        <w:tblW w:w="14312" w:type="dxa"/>
        <w:shd w:val="clear" w:color="auto" w:fill="FFFFFF" w:themeFill="background1"/>
        <w:tblLook w:val="04A0" w:firstRow="1" w:lastRow="0" w:firstColumn="1" w:lastColumn="0" w:noHBand="0" w:noVBand="1"/>
      </w:tblPr>
      <w:tblGrid>
        <w:gridCol w:w="1947"/>
        <w:gridCol w:w="1623"/>
        <w:gridCol w:w="1862"/>
        <w:gridCol w:w="1832"/>
        <w:gridCol w:w="1401"/>
        <w:gridCol w:w="5647"/>
      </w:tblGrid>
      <w:tr>
        <w:trPr>
          <w:trHeight w:val="465"/>
        </w:trPr>
        <w:tc>
          <w:tcPr>
            <w:shd w:val="clear" w:color="auto" w:fill="FFFFFF" w:themeFill="background1"/>
            <w:tcBorders>
              <w:left w:val="single" w:color="6C6864" w:sz="4" w:space="0"/>
              <w:top w:val="single" w:color="6C6864" w:sz="4" w:space="0"/>
              <w:right w:val="single" w:color="6C6864" w:sz="4" w:space="0"/>
              <w:bottom w:val="single" w:color="6C6864" w:sz="4" w:space="0"/>
            </w:tcBorders>
            <w:tcW w:w="1947" w:type="dxa"/>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Тип можливості</w:t>
            </w:r>
            <w:r/>
          </w:p>
        </w:tc>
        <w:tc>
          <w:tcPr>
            <w:shd w:val="clear" w:color="auto" w:fill="FFFFFF" w:themeFill="background1"/>
            <w:tcBorders>
              <w:left w:val="single" w:color="6C6864" w:sz="4" w:space="0"/>
              <w:top w:val="single" w:color="6C6864" w:sz="4" w:space="0"/>
              <w:right w:val="single" w:color="6C6864" w:sz="4" w:space="0"/>
              <w:bottom w:val="single" w:color="6C6864" w:sz="4" w:space="0"/>
            </w:tcBorders>
            <w:tcW w:w="1623" w:type="dxa"/>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Причина можливості</w:t>
            </w:r>
            <w:r/>
          </w:p>
        </w:tc>
        <w:tc>
          <w:tcPr>
            <w:shd w:val="clear" w:color="auto" w:fill="FFFFFF" w:themeFill="background1"/>
            <w:tcBorders>
              <w:left w:val="single" w:color="6C6864" w:sz="4" w:space="0"/>
              <w:top w:val="single" w:color="6C6864" w:sz="4" w:space="0"/>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Прогнозовані зміни інтенсивності</w:t>
            </w:r>
            <w:r/>
          </w:p>
        </w:tc>
        <w:tc>
          <w:tcPr>
            <w:shd w:val="clear" w:color="auto" w:fill="FFFFFF" w:themeFill="background1"/>
            <w:tcBorders>
              <w:left w:val="none" w:color="000000" w:sz="4" w:space="0"/>
              <w:top w:val="single" w:color="6C6864" w:sz="4" w:space="0"/>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Прогнозовані зміни частоти</w:t>
            </w:r>
            <w:r/>
          </w:p>
        </w:tc>
        <w:tc>
          <w:tcPr>
            <w:shd w:val="clear" w:color="auto" w:fill="FFFFFF" w:themeFill="background1"/>
            <w:tcBorders>
              <w:left w:val="none" w:color="000000" w:sz="4" w:space="0"/>
              <w:top w:val="single" w:color="6C6864" w:sz="4" w:space="0"/>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Терміни</w:t>
            </w:r>
            <w:r/>
          </w:p>
        </w:tc>
        <w:tc>
          <w:tcPr>
            <w:shd w:val="clear" w:color="auto" w:fill="FFFFFF" w:themeFill="background1"/>
            <w:tcBorders>
              <w:left w:val="none" w:color="000000" w:sz="4" w:space="0"/>
              <w:top w:val="single" w:color="6C6864" w:sz="4" w:space="0"/>
              <w:right w:val="single" w:color="808080" w:sz="4" w:space="0"/>
              <w:bottom w:val="single" w:color="6C6864" w:sz="4" w:space="0"/>
            </w:tcBorders>
            <w:tcW w:w="5647" w:type="dxa"/>
            <w:vAlign w:val="center"/>
            <w:textDirection w:val="lrTb"/>
            <w:noWrap w:val="false"/>
          </w:tcPr>
          <w:p>
            <w:pPr>
              <w:jc w:val="both"/>
              <w:spacing w:lineRule="auto" w:line="240" w:after="0"/>
              <w:shd w:val="clear" w:color="auto" w:fill="FFFFFF" w:themeFill="background1"/>
              <w:rPr>
                <w:rFonts w:ascii="Arial" w:hAnsi="Arial" w:cs="Arial"/>
                <w:b/>
                <w:sz w:val="24"/>
                <w:szCs w:val="24"/>
                <w:lang w:val="uk-UA"/>
              </w:rPr>
            </w:pPr>
            <w:r>
              <w:rPr>
                <w:rFonts w:ascii="Arial" w:hAnsi="Arial" w:cs="Arial"/>
                <w:b/>
                <w:sz w:val="24"/>
                <w:szCs w:val="24"/>
                <w:lang w:val="uk-UA"/>
              </w:rPr>
              <w:t xml:space="preserve">Індикатори, пов’язані з можливостями</w:t>
            </w:r>
            <w:r/>
          </w:p>
        </w:tc>
      </w:tr>
      <w:tr>
        <w:trPr>
          <w:trHeight w:val="465"/>
        </w:trPr>
        <w:tc>
          <w:tcPr>
            <w:shd w:val="clear" w:color="auto" w:fill="FFFFFF" w:themeFill="background1"/>
            <w:tcBorders>
              <w:left w:val="single" w:color="6C6864" w:sz="4" w:space="0"/>
              <w:top w:val="none" w:color="000000" w:sz="4" w:space="0"/>
              <w:right w:val="single" w:color="6C6864" w:sz="4" w:space="0"/>
            </w:tcBorders>
            <w:tcW w:w="1947" w:type="dxa"/>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Землеробство (культивування більш теплолюбних рослин)</w:t>
            </w:r>
            <w:r/>
          </w:p>
        </w:tc>
        <w:tc>
          <w:tcPr>
            <w:shd w:val="clear" w:color="auto" w:fill="FFFFFF" w:themeFill="background1"/>
            <w:tcBorders>
              <w:left w:val="single" w:color="6C6864" w:sz="4" w:space="0"/>
              <w:top w:val="none" w:color="000000" w:sz="4" w:space="0"/>
              <w:right w:val="single" w:color="6C6864" w:sz="4" w:space="0"/>
            </w:tcBorders>
            <w:tcW w:w="1623"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Потепління</w:t>
            </w:r>
            <w:r/>
          </w:p>
        </w:tc>
        <w:tc>
          <w:tcPr>
            <w:shd w:val="clear" w:color="auto" w:fill="FFFFFF" w:themeFill="background1"/>
            <w:tcBorders>
              <w:left w:val="single" w:color="6C6864" w:sz="4" w:space="0"/>
              <w:top w:val="none" w:color="000000" w:sz="4" w:space="0"/>
              <w:right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Постійно </w:t>
            </w:r>
            <w:r/>
          </w:p>
        </w:tc>
        <w:tc>
          <w:tcPr>
            <w:shd w:val="clear" w:color="auto" w:fill="FFFFFF" w:themeFill="background1"/>
            <w:tcBorders>
              <w:left w:val="none" w:color="000000" w:sz="4" w:space="0"/>
              <w:top w:val="none" w:color="000000" w:sz="4" w:space="0"/>
              <w:right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tcBorders>
            <w:tcW w:w="5647"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Середньорічна температура</w:t>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Середньорічна кількість опадів</w:t>
            </w:r>
            <w:r/>
          </w:p>
        </w:tc>
      </w:tr>
      <w:tr>
        <w:trPr>
          <w:trHeight w:val="465"/>
        </w:trPr>
        <w:tc>
          <w:tcPr>
            <w:shd w:val="clear" w:color="auto" w:fill="FFFFFF" w:themeFill="background1"/>
            <w:tcBorders>
              <w:left w:val="single" w:color="6C6864" w:sz="4" w:space="0"/>
              <w:top w:val="none" w:color="000000" w:sz="4" w:space="0"/>
              <w:right w:val="single" w:color="6C6864" w:sz="4" w:space="0"/>
              <w:bottom w:val="single" w:sz="4" w:space="0" w:color="auto"/>
            </w:tcBorders>
            <w:tcW w:w="1947" w:type="dxa"/>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Скорочення опалювального сезону</w:t>
            </w:r>
            <w:r/>
          </w:p>
        </w:tc>
        <w:tc>
          <w:tcPr>
            <w:shd w:val="clear" w:color="auto" w:fill="FFFFFF" w:themeFill="background1"/>
            <w:tcBorders>
              <w:left w:val="single" w:color="6C6864" w:sz="4" w:space="0"/>
              <w:top w:val="none" w:color="000000" w:sz="4" w:space="0"/>
              <w:right w:val="single" w:color="6C6864" w:sz="4" w:space="0"/>
              <w:bottom w:val="single" w:sz="4" w:space="0" w:color="auto"/>
            </w:tcBorders>
            <w:tcW w:w="1623"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Потепління</w:t>
            </w:r>
            <w:r/>
          </w:p>
        </w:tc>
        <w:tc>
          <w:tcPr>
            <w:shd w:val="clear" w:color="auto" w:fill="FFFFFF" w:themeFill="background1"/>
            <w:tcBorders>
              <w:left w:val="single" w:color="6C6864" w:sz="4" w:space="0"/>
              <w:top w:val="none" w:color="000000" w:sz="4" w:space="0"/>
              <w:right w:val="single" w:color="6C6864" w:sz="4" w:space="0"/>
              <w:bottom w:val="single" w:sz="4" w:space="0" w:color="auto"/>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sz="4" w:space="0" w:color="auto"/>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Постійно </w:t>
            </w:r>
            <w:r/>
          </w:p>
        </w:tc>
        <w:tc>
          <w:tcPr>
            <w:shd w:val="clear" w:color="auto" w:fill="FFFFFF" w:themeFill="background1"/>
            <w:tcBorders>
              <w:left w:val="none" w:color="000000" w:sz="4" w:space="0"/>
              <w:top w:val="none" w:color="000000" w:sz="4" w:space="0"/>
              <w:right w:val="single" w:color="6C6864" w:sz="4" w:space="0"/>
              <w:bottom w:val="single" w:sz="4" w:space="0" w:color="auto"/>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bottom w:val="single" w:sz="4" w:space="0" w:color="auto"/>
            </w:tcBorders>
            <w:tcW w:w="5647"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днів з активними температурами вище +10</w:t>
            </w:r>
            <w:r>
              <w:rPr>
                <w:rFonts w:ascii="Arial" w:hAnsi="Arial" w:cs="Arial"/>
                <w:sz w:val="24"/>
                <w:szCs w:val="24"/>
                <w:vertAlign w:val="superscript"/>
                <w:lang w:val="uk-UA"/>
              </w:rPr>
              <w:t xml:space="preserve">о</w:t>
            </w:r>
            <w:r>
              <w:rPr>
                <w:rFonts w:ascii="Arial" w:hAnsi="Arial" w:cs="Arial"/>
                <w:sz w:val="24"/>
                <w:szCs w:val="24"/>
                <w:lang w:val="uk-UA"/>
              </w:rPr>
              <w:t xml:space="preserve">С</w:t>
            </w:r>
            <w:r/>
          </w:p>
        </w:tc>
      </w:tr>
      <w:tr>
        <w:trPr>
          <w:trHeight w:val="465"/>
        </w:trPr>
        <w:tc>
          <w:tcPr>
            <w:shd w:val="clear" w:color="auto" w:fill="FFFFFF" w:themeFill="background1"/>
            <w:tcBorders>
              <w:left w:val="single" w:color="6C6864" w:sz="4" w:space="0"/>
              <w:top w:val="single" w:sz="4" w:space="0" w:color="auto"/>
              <w:right w:val="single" w:color="6C6864" w:sz="4" w:space="0"/>
              <w:bottom w:val="none" w:color="000000" w:sz="4" w:space="0"/>
            </w:tcBorders>
            <w:tcW w:w="1947" w:type="dxa"/>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Розвиток сонячної енергетики</w:t>
            </w:r>
            <w:r/>
          </w:p>
        </w:tc>
        <w:tc>
          <w:tcPr>
            <w:shd w:val="clear" w:color="auto" w:fill="FFFFFF" w:themeFill="background1"/>
            <w:tcBorders>
              <w:left w:val="single" w:color="6C6864" w:sz="4" w:space="0"/>
              <w:top w:val="single" w:sz="4" w:space="0" w:color="auto"/>
              <w:right w:val="single" w:color="6C6864" w:sz="4" w:space="0"/>
              <w:bottom w:val="none" w:color="000000" w:sz="4" w:space="0"/>
            </w:tcBorders>
            <w:tcW w:w="1623" w:type="dxa"/>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Зростання кількості сонячних днів</w:t>
            </w:r>
            <w:r/>
          </w:p>
        </w:tc>
        <w:tc>
          <w:tcPr>
            <w:shd w:val="clear" w:color="auto" w:fill="FFFFFF" w:themeFill="background1"/>
            <w:tcBorders>
              <w:left w:val="single" w:color="6C6864" w:sz="4" w:space="0"/>
              <w:top w:val="single" w:sz="4" w:space="0" w:color="auto"/>
              <w:right w:val="single" w:color="6C6864" w:sz="4" w:space="0"/>
              <w:bottom w:val="none" w:color="000000"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single" w:sz="4" w:space="0" w:color="auto"/>
              <w:right w:val="single" w:color="6C6864" w:sz="4" w:space="0"/>
              <w:bottom w:val="none" w:color="000000"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Постійно </w:t>
            </w:r>
            <w:r/>
          </w:p>
        </w:tc>
        <w:tc>
          <w:tcPr>
            <w:shd w:val="clear" w:color="auto" w:fill="FFFFFF" w:themeFill="background1"/>
            <w:tcBorders>
              <w:left w:val="none" w:color="000000" w:sz="4" w:space="0"/>
              <w:top w:val="single" w:sz="4" w:space="0" w:color="auto"/>
              <w:right w:val="single" w:color="6C6864" w:sz="4" w:space="0"/>
              <w:bottom w:val="none" w:color="000000"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single" w:sz="4" w:space="0" w:color="auto"/>
              <w:right w:val="single" w:color="808080" w:sz="4" w:space="0"/>
              <w:bottom w:val="none" w:color="000000" w:sz="4" w:space="0"/>
            </w:tcBorders>
            <w:tcW w:w="5647"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Кількість сонячних днів</w:t>
            </w:r>
            <w:r/>
          </w:p>
        </w:tc>
      </w:tr>
      <w:tr>
        <w:trPr>
          <w:trHeight w:val="465"/>
        </w:trPr>
        <w:tc>
          <w:tcPr>
            <w:shd w:val="clear" w:color="auto" w:fill="FFFFFF" w:themeFill="background1"/>
            <w:tcBorders>
              <w:left w:val="single" w:color="6C6864" w:sz="4" w:space="0"/>
              <w:top w:val="none" w:color="000000" w:sz="4" w:space="0"/>
              <w:right w:val="single" w:color="6C6864" w:sz="4" w:space="0"/>
              <w:bottom w:val="single" w:color="6C6864" w:sz="4" w:space="0"/>
            </w:tcBorders>
            <w:tcW w:w="1947" w:type="dxa"/>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Розвиток рекреаційного та зеленого туризму</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623" w:type="dxa"/>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r>
            <w:r/>
          </w:p>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Потепління</w:t>
            </w:r>
            <w:r/>
          </w:p>
        </w:tc>
        <w:tc>
          <w:tcPr>
            <w:shd w:val="clear" w:color="auto" w:fill="FFFFFF" w:themeFill="background1"/>
            <w:tcBorders>
              <w:left w:val="single" w:color="6C6864" w:sz="4" w:space="0"/>
              <w:top w:val="none" w:color="000000" w:sz="4" w:space="0"/>
              <w:right w:val="single" w:color="6C6864" w:sz="4" w:space="0"/>
              <w:bottom w:val="single" w:color="6C6864" w:sz="4" w:space="0"/>
            </w:tcBorders>
            <w:tcW w:w="186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Зростає</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832"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Постійно </w:t>
            </w:r>
            <w:r/>
          </w:p>
        </w:tc>
        <w:tc>
          <w:tcPr>
            <w:shd w:val="clear" w:color="auto" w:fill="FFFFFF" w:themeFill="background1"/>
            <w:tcBorders>
              <w:left w:val="none" w:color="000000" w:sz="4" w:space="0"/>
              <w:top w:val="none" w:color="000000" w:sz="4" w:space="0"/>
              <w:right w:val="single" w:color="6C6864" w:sz="4" w:space="0"/>
              <w:bottom w:val="single" w:color="6C6864" w:sz="4" w:space="0"/>
            </w:tcBorders>
            <w:tcW w:w="1401"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Середньо- та довго- строкові</w:t>
            </w:r>
            <w:r/>
          </w:p>
        </w:tc>
        <w:tc>
          <w:tcPr>
            <w:shd w:val="clear" w:color="auto" w:fill="FFFFFF" w:themeFill="background1"/>
            <w:tcBorders>
              <w:left w:val="none" w:color="000000" w:sz="4" w:space="0"/>
              <w:top w:val="none" w:color="000000" w:sz="4" w:space="0"/>
              <w:right w:val="single" w:color="808080" w:sz="4" w:space="0"/>
              <w:bottom w:val="single" w:color="6C6864" w:sz="4" w:space="0"/>
            </w:tcBorders>
            <w:tcW w:w="5647" w:type="dxa"/>
            <w:vAlign w:val="center"/>
            <w:textDirection w:val="lrTb"/>
            <w:noWrap w:val="false"/>
          </w:tcPr>
          <w:p>
            <w:pPr>
              <w:jc w:val="both"/>
              <w:spacing w:lineRule="auto" w:line="240" w:after="0"/>
              <w:shd w:val="clear" w:color="auto" w:fill="FFFFFF" w:themeFill="background1"/>
              <w:rPr>
                <w:rFonts w:ascii="Arial" w:hAnsi="Arial" w:cs="Arial"/>
                <w:sz w:val="24"/>
                <w:szCs w:val="24"/>
                <w:lang w:val="uk-UA"/>
              </w:rPr>
            </w:pPr>
            <w:r>
              <w:rPr>
                <w:rFonts w:ascii="Arial" w:hAnsi="Arial" w:cs="Arial"/>
                <w:sz w:val="24"/>
                <w:szCs w:val="24"/>
                <w:lang w:val="uk-UA"/>
              </w:rPr>
              <w:t xml:space="preserve">Кількість сонячних днів</w:t>
            </w:r>
            <w:r/>
          </w:p>
        </w:tc>
      </w:tr>
    </w:tbl>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p>
      <w:pPr>
        <w:ind w:firstLine="720"/>
        <w:jc w:val="both"/>
        <w:shd w:val="clear" w:color="auto" w:fill="FFFFFF" w:themeFill="background1"/>
        <w:rPr>
          <w:rFonts w:ascii="Arial" w:hAnsi="Arial" w:cs="Arial"/>
          <w:b/>
          <w:sz w:val="24"/>
          <w:szCs w:val="24"/>
          <w:lang w:val="uk-UA"/>
        </w:rPr>
      </w:pPr>
      <w:r>
        <w:rPr>
          <w:rFonts w:ascii="Arial" w:hAnsi="Arial" w:cs="Arial"/>
          <w:sz w:val="24"/>
          <w:szCs w:val="24"/>
          <w:lang w:val="uk-UA"/>
        </w:rPr>
        <w:t xml:space="preserve">На підставі цих узагальнень визначені основні типи вразливостей території, інфраструктури і населення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які вимагають особливого реагування (табл. 7).</w:t>
      </w:r>
      <w:r/>
    </w:p>
    <w:p>
      <w:pPr>
        <w:jc w:val="center"/>
        <w:shd w:val="clear" w:color="auto" w:fill="FFFFFF" w:themeFill="background1"/>
        <w:rPr>
          <w:rFonts w:ascii="Arial" w:hAnsi="Arial" w:cs="Arial"/>
          <w:b/>
          <w:sz w:val="24"/>
          <w:szCs w:val="24"/>
          <w:lang w:val="uk-UA"/>
        </w:rPr>
      </w:pPr>
      <w:r>
        <w:rPr>
          <w:rFonts w:ascii="Arial" w:hAnsi="Arial" w:cs="Arial"/>
          <w:b/>
          <w:sz w:val="24"/>
          <w:szCs w:val="24"/>
          <w:lang w:val="uk-UA"/>
        </w:rPr>
        <w:t xml:space="preserve">Таблиця 7. Вразливості території, інфраструктури і населення Менської міської </w:t>
      </w:r>
      <w:r>
        <w:rPr>
          <w:rFonts w:ascii="Arial" w:hAnsi="Arial" w:cs="Arial"/>
          <w:b/>
          <w:sz w:val="24"/>
          <w:szCs w:val="24"/>
          <w:lang w:val="uk-UA"/>
        </w:rPr>
        <w:t xml:space="preserve">територіальної громади</w:t>
      </w:r>
      <w:r/>
    </w:p>
    <w:tbl>
      <w:tblPr>
        <w:tblStyle w:val="521"/>
        <w:tblW w:w="14312" w:type="dxa"/>
        <w:shd w:val="clear" w:color="auto" w:fill="FFFFFF" w:themeFill="background1"/>
        <w:tblLook w:val="04A0" w:firstRow="1" w:lastRow="0" w:firstColumn="1" w:lastColumn="0" w:noHBand="0" w:noVBand="1"/>
      </w:tblPr>
      <w:tblGrid>
        <w:gridCol w:w="1885"/>
        <w:gridCol w:w="3240"/>
        <w:gridCol w:w="9187"/>
      </w:tblGrid>
      <w:tr>
        <w:trPr/>
        <w:tc>
          <w:tcPr>
            <w:shd w:val="clear" w:color="auto" w:fill="FFFFFF" w:themeFill="background1"/>
            <w:tcW w:w="1885" w:type="dxa"/>
            <w:textDirection w:val="lrTb"/>
            <w:noWrap w:val="false"/>
          </w:tcPr>
          <w:p>
            <w:pPr>
              <w:jc w:val="both"/>
              <w:shd w:val="clear" w:color="auto" w:fill="FFFFFF" w:themeFill="background1"/>
              <w:rPr>
                <w:rFonts w:ascii="Arial" w:hAnsi="Arial" w:cs="Arial"/>
                <w:b/>
                <w:sz w:val="24"/>
                <w:szCs w:val="24"/>
                <w:lang w:val="uk-UA"/>
              </w:rPr>
            </w:pPr>
            <w:r>
              <w:rPr>
                <w:rFonts w:ascii="Arial" w:hAnsi="Arial" w:cs="Arial"/>
                <w:b/>
                <w:sz w:val="24"/>
                <w:szCs w:val="24"/>
                <w:lang w:val="uk-UA"/>
              </w:rPr>
              <w:t xml:space="preserve">Тип вразливості</w:t>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b/>
                <w:sz w:val="24"/>
                <w:szCs w:val="24"/>
                <w:lang w:val="uk-UA"/>
              </w:rPr>
            </w:pPr>
            <w:r>
              <w:rPr>
                <w:rFonts w:ascii="Arial" w:hAnsi="Arial" w:cs="Arial"/>
                <w:b/>
                <w:sz w:val="24"/>
                <w:szCs w:val="24"/>
                <w:lang w:val="uk-UA"/>
              </w:rPr>
              <w:t xml:space="preserve">Опис вразливості</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b/>
                <w:sz w:val="24"/>
                <w:szCs w:val="24"/>
                <w:lang w:val="uk-UA"/>
              </w:rPr>
            </w:pPr>
            <w:r>
              <w:rPr>
                <w:rFonts w:ascii="Arial" w:hAnsi="Arial" w:cs="Arial"/>
                <w:b/>
                <w:sz w:val="24"/>
                <w:szCs w:val="24"/>
                <w:lang w:val="uk-UA"/>
              </w:rPr>
              <w:t xml:space="preserve">Показники, пов’язані з вразливістю</w:t>
            </w:r>
            <w:r/>
          </w:p>
        </w:tc>
      </w:tr>
      <w:tr>
        <w:trPr/>
        <w:tc>
          <w:tcPr>
            <w:shd w:val="clear" w:color="auto" w:fill="FFFFFF" w:themeFill="background1"/>
            <w:tcW w:w="1885" w:type="dxa"/>
            <w:vMerge w:val="restart"/>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Соціально-економічні</w:t>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населення до теплових стресів</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населення</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Щільність населення</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Відсоток населення вразливих груп (похилого 65+ та молоді -25)</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Відсоток пенсіонерів-одинаків</w:t>
            </w:r>
            <w:r/>
          </w:p>
        </w:tc>
      </w:tr>
      <w:tr>
        <w:trPr/>
        <w:tc>
          <w:tcPr>
            <w:shd w:val="clear" w:color="auto" w:fill="FFFFFF" w:themeFill="background1"/>
            <w:tcW w:w="1885" w:type="dxa"/>
            <w:vMerge w:val="continue"/>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населення до інфекційних захворювань</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Відсоток населення вразливих груп (похилого 65+ та молоді -25)</w:t>
            </w:r>
            <w:r/>
          </w:p>
        </w:tc>
      </w:tr>
      <w:tr>
        <w:trPr/>
        <w:tc>
          <w:tcPr>
            <w:shd w:val="clear" w:color="auto" w:fill="FFFFFF" w:themeFill="background1"/>
            <w:tcW w:w="1885" w:type="dxa"/>
            <w:vMerge w:val="continue"/>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населення до алергічних проявів</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Відсоток населення вразливих груп (похилого 65+ та молоді -25)</w:t>
            </w:r>
            <w:r/>
          </w:p>
        </w:tc>
      </w:tr>
      <w:tr>
        <w:trPr/>
        <w:tc>
          <w:tcPr>
            <w:shd w:val="clear" w:color="auto" w:fill="FFFFFF" w:themeFill="background1"/>
            <w:tcW w:w="1885" w:type="dxa"/>
            <w:vMerge w:val="restart"/>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Фізичні та екологічні</w:t>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будинків і споруд до надзвичайних погодних явищ</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будинків і споруд, порушених/зруйновних під час надзвичайних погодних явищ</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*Обсяги збитків (оцінка)</w:t>
            </w:r>
            <w:r/>
          </w:p>
        </w:tc>
      </w:tr>
      <w:tr>
        <w:trPr/>
        <w:tc>
          <w:tcPr>
            <w:shd w:val="clear" w:color="auto" w:fill="FFFFFF" w:themeFill="background1"/>
            <w:tcW w:w="1885" w:type="dxa"/>
            <w:vMerge w:val="continue"/>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об’єктів транспортної інфраструктури  до надзвичайних погодних явищ</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об’єктів транспортної інфраструктури, порушених/зруйновних під час надзвичайних погодних явищ</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доріг, порушених/зруйновних під час надзвичайних погодних явищ</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*Обсяги збитків (оцінка)</w:t>
            </w:r>
            <w:r/>
          </w:p>
        </w:tc>
      </w:tr>
      <w:tr>
        <w:trPr/>
        <w:tc>
          <w:tcPr>
            <w:shd w:val="clear" w:color="auto" w:fill="FFFFFF" w:themeFill="background1"/>
            <w:tcW w:w="1885" w:type="dxa"/>
            <w:vMerge w:val="continue"/>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об’єктів системи енергозабезпечення  до надзвичайних погодних явищ</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об’єктів енергозабезпечення, порушених/ зруйновних під час надзвичайних погодних явищ</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*Довжина і % ліній електропередачі, порушених/ зруйновних під час надзвичайних погодних явищ</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*Обсяги збитків (оцінка)</w:t>
            </w:r>
            <w:r/>
          </w:p>
        </w:tc>
      </w:tr>
      <w:tr>
        <w:trPr/>
        <w:tc>
          <w:tcPr>
            <w:shd w:val="clear" w:color="auto" w:fill="FFFFFF" w:themeFill="background1"/>
            <w:tcW w:w="1885" w:type="dxa"/>
            <w:vMerge w:val="continue"/>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об’єктів системи водозабезпечення  до надзвичайних погодних явищ</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об’єктів водопостачання та % об’єктів водовідведення, порушених/ зруйновних під час надзвичайних погодних явищ</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*Обсяги збитків (оцінка)</w:t>
            </w:r>
            <w:r/>
          </w:p>
        </w:tc>
      </w:tr>
      <w:tr>
        <w:trPr>
          <w:trHeight w:val="1034"/>
        </w:trPr>
        <w:tc>
          <w:tcPr>
            <w:shd w:val="clear" w:color="auto" w:fill="FFFFFF" w:themeFill="background1"/>
            <w:tcW w:w="1885" w:type="dxa"/>
            <w:vMerge w:val="continue"/>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лісового поясу населених пунктів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до </w:t>
            </w:r>
            <w:r>
              <w:rPr>
                <w:rFonts w:ascii="Arial" w:hAnsi="Arial" w:cs="Arial"/>
                <w:sz w:val="24"/>
                <w:szCs w:val="24"/>
                <w:lang w:val="uk-UA"/>
              </w:rPr>
              <w:t xml:space="preserve">посух</w:t>
            </w:r>
            <w:r>
              <w:rPr>
                <w:rFonts w:ascii="Arial" w:hAnsi="Arial" w:cs="Arial"/>
                <w:sz w:val="24"/>
                <w:szCs w:val="24"/>
                <w:lang w:val="uk-UA"/>
              </w:rPr>
              <w:t xml:space="preserve"> і пожеж  </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пожеж</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Площа та % території лісів, постраждалих від пожеж</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*Обсяги збитків (оцінка)</w:t>
            </w:r>
            <w:r/>
          </w:p>
        </w:tc>
      </w:tr>
      <w:tr>
        <w:trPr/>
        <w:tc>
          <w:tcPr>
            <w:shd w:val="clear" w:color="auto" w:fill="FFFFFF" w:themeFill="background1"/>
            <w:tcW w:w="1885" w:type="dxa"/>
            <w:vMerge w:val="continue"/>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лісового поясу / зелених насаджень населених пунктів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до поширення шкідників</w:t>
            </w:r>
            <w:r/>
          </w:p>
        </w:tc>
        <w:tc>
          <w:tcPr>
            <w:shd w:val="clear" w:color="auto" w:fill="FFFFFF" w:themeFill="background1"/>
            <w:tcW w:w="9187" w:type="dxa"/>
            <w:textDirection w:val="lrTb"/>
            <w:noWrap w:val="false"/>
          </w:tcPr>
          <w:p>
            <w:pPr>
              <w:jc w:val="both"/>
              <w:shd w:val="clear" w:color="auto" w:fill="FFFFFF" w:themeFill="background1"/>
              <w:tabs>
                <w:tab w:val="center" w:pos="2322" w:leader="none"/>
              </w:tabs>
              <w:rPr>
                <w:rFonts w:ascii="Arial" w:hAnsi="Arial" w:cs="Arial"/>
                <w:sz w:val="24"/>
                <w:szCs w:val="24"/>
                <w:lang w:val="uk-UA"/>
              </w:rPr>
            </w:pPr>
            <w:r>
              <w:rPr>
                <w:rFonts w:ascii="Arial" w:hAnsi="Arial" w:cs="Arial"/>
                <w:sz w:val="24"/>
                <w:szCs w:val="24"/>
                <w:lang w:val="uk-UA"/>
              </w:rPr>
              <w:t xml:space="preserve">* Види шкідників та % нових видів шкідників лісових екосистем / зелених насаджень</w:t>
            </w:r>
            <w:r>
              <w:rPr>
                <w:rFonts w:ascii="Arial" w:hAnsi="Arial" w:cs="Arial"/>
                <w:sz w:val="24"/>
                <w:szCs w:val="24"/>
                <w:lang w:val="uk-UA"/>
              </w:rPr>
              <w:tab/>
            </w:r>
            <w:r/>
          </w:p>
          <w:p>
            <w:pPr>
              <w:jc w:val="both"/>
              <w:shd w:val="clear" w:color="auto" w:fill="FFFFFF" w:themeFill="background1"/>
              <w:tabs>
                <w:tab w:val="center" w:pos="2322" w:leader="none"/>
              </w:tabs>
              <w:rPr>
                <w:rFonts w:ascii="Arial" w:hAnsi="Arial" w:cs="Arial"/>
                <w:sz w:val="24"/>
                <w:szCs w:val="24"/>
                <w:lang w:val="uk-UA"/>
              </w:rPr>
            </w:pPr>
            <w:r>
              <w:rPr>
                <w:rFonts w:ascii="Arial" w:hAnsi="Arial" w:cs="Arial"/>
                <w:sz w:val="24"/>
                <w:szCs w:val="24"/>
                <w:lang w:val="uk-UA"/>
              </w:rPr>
              <w:t xml:space="preserve">* Площа та % території лісів / зелених насаджень, уражених шкідниками</w:t>
            </w:r>
            <w:r/>
          </w:p>
        </w:tc>
      </w:tr>
      <w:tr>
        <w:trPr/>
        <w:tc>
          <w:tcPr>
            <w:shd w:val="clear" w:color="auto" w:fill="FFFFFF" w:themeFill="background1"/>
            <w:tcW w:w="1885" w:type="dxa"/>
            <w:vMerge w:val="continue"/>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зелених зон населених пунктів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до теплових аномалій</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Площа зелених насаджень та % від території міста </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посухостійких видів та % площі зелених зон, зайнятих ними</w:t>
            </w:r>
            <w:r/>
          </w:p>
        </w:tc>
      </w:tr>
      <w:tr>
        <w:trPr/>
        <w:tc>
          <w:tcPr>
            <w:shd w:val="clear" w:color="auto" w:fill="FFFFFF" w:themeFill="background1"/>
            <w:tcW w:w="1885" w:type="dxa"/>
            <w:vMerge w:val="continue"/>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r>
            <w:r/>
          </w:p>
        </w:tc>
        <w:tc>
          <w:tcPr>
            <w:shd w:val="clear" w:color="auto" w:fill="FFFFFF" w:themeFill="background1"/>
            <w:tcW w:w="3240"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Вразливість населених пунктів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до підтоплення і паводків</w:t>
            </w:r>
            <w:r/>
          </w:p>
        </w:tc>
        <w:tc>
          <w:tcPr>
            <w:shd w:val="clear" w:color="auto" w:fill="FFFFFF" w:themeFill="background1"/>
            <w:tcW w:w="9187" w:type="dxa"/>
            <w:textDirection w:val="lrTb"/>
            <w:noWrap w:val="false"/>
          </w:tcPr>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випадків підтоплення</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випадків паводків</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Площа території, порушеної підтопленням та/або паводками</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Площа с/г угідь, порушеної підтопленням та/або паводками</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Кількість об’єктів міської інфраструктури, порушених підтопленням та/або паводками</w:t>
            </w:r>
            <w:r/>
          </w:p>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*Обсяги збитків (оцінка)</w:t>
            </w:r>
            <w:r/>
          </w:p>
        </w:tc>
      </w:tr>
    </w:tbl>
    <w:p>
      <w:pPr>
        <w:jc w:val="both"/>
        <w:shd w:val="clear" w:color="auto" w:fill="FFFFFF" w:themeFill="background1"/>
        <w:rPr>
          <w:rFonts w:ascii="Arial" w:hAnsi="Arial" w:cs="Arial"/>
          <w:sz w:val="24"/>
          <w:szCs w:val="24"/>
          <w:lang w:val="uk-UA"/>
        </w:rPr>
      </w:pPr>
      <w:r>
        <w:rPr>
          <w:rFonts w:ascii="Arial" w:hAnsi="Arial" w:cs="Arial"/>
          <w:sz w:val="24"/>
          <w:szCs w:val="24"/>
          <w:lang w:val="uk-UA"/>
        </w:rPr>
        <w:t xml:space="preserve"> </w:t>
      </w:r>
      <w:r/>
    </w:p>
    <w:p>
      <w:pPr>
        <w:pStyle w:val="558"/>
        <w:ind w:firstLine="720"/>
        <w:jc w:val="both"/>
        <w:rPr>
          <w:rFonts w:ascii="Arial" w:hAnsi="Arial" w:cs="Arial"/>
          <w:b/>
          <w:sz w:val="24"/>
          <w:szCs w:val="24"/>
          <w:lang w:val="uk-UA"/>
        </w:rPr>
        <w:sectPr>
          <w:footnotePr/>
          <w:type w:val="continuous"/>
          <w:pgSz w:w="16839" w:h="11907" w:orient="landscape"/>
          <w:pgMar w:top="1440" w:right="1104" w:bottom="1170" w:left="1440" w:header="720" w:footer="720"/>
          <w:cols w:num="1" w:sep="0" w:space="720" w:equalWidth="1"/>
          <w:docGrid w:linePitch="360"/>
        </w:sectPr>
      </w:pPr>
      <w:r>
        <w:rPr>
          <w:rFonts w:ascii="Arial" w:hAnsi="Arial" w:cs="Arial"/>
          <w:b/>
          <w:sz w:val="24"/>
          <w:szCs w:val="24"/>
          <w:lang w:val="uk-UA"/>
        </w:rPr>
      </w:r>
      <w:r/>
    </w:p>
    <w:p>
      <w:pPr>
        <w:pStyle w:val="558"/>
        <w:ind w:firstLine="720"/>
        <w:jc w:val="both"/>
        <w:rPr>
          <w:rFonts w:ascii="Arial" w:hAnsi="Arial" w:cs="Arial"/>
          <w:b/>
          <w:sz w:val="24"/>
          <w:szCs w:val="24"/>
          <w:lang w:val="uk-UA"/>
        </w:rPr>
      </w:pPr>
      <w:r>
        <w:rPr>
          <w:rFonts w:ascii="Arial" w:hAnsi="Arial" w:cs="Arial"/>
          <w:b/>
          <w:sz w:val="24"/>
          <w:szCs w:val="24"/>
          <w:lang w:val="uk-UA"/>
        </w:rPr>
        <w:t xml:space="preserve">Вразливість населення  до теплових аномалій та надзвичайних погодних явищ</w:t>
      </w:r>
      <w:r/>
    </w:p>
    <w:p>
      <w:pPr>
        <w:pStyle w:val="558"/>
        <w:ind w:firstLine="720"/>
        <w:jc w:val="both"/>
        <w:rPr>
          <w:rFonts w:ascii="Arial" w:hAnsi="Arial" w:cs="Arial"/>
          <w:b/>
          <w:sz w:val="24"/>
          <w:szCs w:val="24"/>
          <w:lang w:val="uk-UA"/>
        </w:rPr>
      </w:pPr>
      <w:r>
        <w:rPr>
          <w:rFonts w:ascii="Arial" w:hAnsi="Arial" w:cs="Arial"/>
          <w:b/>
          <w:sz w:val="24"/>
          <w:szCs w:val="24"/>
          <w:lang w:val="uk-UA"/>
        </w:rPr>
      </w:r>
      <w:r/>
    </w:p>
    <w:p>
      <w:pPr>
        <w:pStyle w:val="558"/>
        <w:ind w:firstLine="720"/>
        <w:jc w:val="both"/>
        <w:rPr>
          <w:rFonts w:ascii="Arial" w:hAnsi="Arial" w:cs="Arial"/>
          <w:sz w:val="24"/>
          <w:szCs w:val="24"/>
          <w:lang w:val="uk-UA"/>
        </w:rPr>
      </w:pPr>
      <w:r>
        <w:rPr>
          <w:rFonts w:ascii="Arial" w:hAnsi="Arial" w:cs="Arial"/>
          <w:sz w:val="24"/>
          <w:szCs w:val="24"/>
          <w:lang w:val="ru-RU"/>
        </w:rPr>
        <w:t xml:space="preserve">Населення</w:t>
      </w:r>
      <w:r>
        <w:rPr>
          <w:rFonts w:ascii="Arial" w:hAnsi="Arial" w:cs="Arial"/>
          <w:sz w:val="24"/>
          <w:szCs w:val="24"/>
          <w:lang w:val="ru-RU"/>
        </w:rPr>
        <w:t xml:space="preserve"> </w:t>
      </w:r>
      <w:r>
        <w:rPr>
          <w:rFonts w:ascii="Arial" w:hAnsi="Arial" w:cs="Arial"/>
          <w:sz w:val="24"/>
          <w:szCs w:val="24"/>
          <w:lang w:val="uk-UA"/>
        </w:rPr>
        <w:t xml:space="preserve">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ru-RU"/>
        </w:rPr>
        <w:t xml:space="preserve"> </w:t>
      </w:r>
      <w:r>
        <w:rPr>
          <w:rFonts w:ascii="Arial" w:hAnsi="Arial" w:cs="Arial"/>
          <w:sz w:val="24"/>
          <w:szCs w:val="24"/>
          <w:lang w:val="ru-RU"/>
        </w:rPr>
        <w:t xml:space="preserve">складає</w:t>
      </w:r>
      <w:r>
        <w:rPr>
          <w:rFonts w:ascii="Arial" w:hAnsi="Arial" w:cs="Arial"/>
          <w:sz w:val="24"/>
          <w:szCs w:val="24"/>
          <w:lang w:val="ru-RU"/>
        </w:rPr>
        <w:t xml:space="preserve"> </w:t>
      </w:r>
      <w:r>
        <w:rPr>
          <w:rFonts w:ascii="Arial" w:hAnsi="Arial" w:cs="Arial"/>
          <w:sz w:val="24"/>
          <w:szCs w:val="24"/>
          <w:lang w:val="ru-RU"/>
        </w:rPr>
        <w:t xml:space="preserve">приблизно</w:t>
      </w:r>
      <w:r>
        <w:rPr>
          <w:rFonts w:ascii="Arial" w:hAnsi="Arial" w:cs="Arial"/>
          <w:sz w:val="24"/>
          <w:szCs w:val="24"/>
          <w:lang w:val="ru-RU"/>
        </w:rPr>
        <w:t xml:space="preserve"> 24500 </w:t>
      </w:r>
      <w:r>
        <w:rPr>
          <w:rFonts w:ascii="Arial" w:hAnsi="Arial" w:cs="Arial"/>
          <w:sz w:val="24"/>
          <w:szCs w:val="24"/>
          <w:lang w:val="ru-RU"/>
        </w:rPr>
        <w:t xml:space="preserve">осіб</w:t>
      </w:r>
      <w:r>
        <w:rPr>
          <w:rStyle w:val="525"/>
          <w:rFonts w:ascii="Arial" w:hAnsi="Arial" w:cs="Arial"/>
          <w:sz w:val="24"/>
          <w:szCs w:val="24"/>
          <w:lang w:val="ru-RU"/>
        </w:rPr>
        <w:footnoteReference w:id="4"/>
      </w:r>
      <w:r>
        <w:rPr>
          <w:rFonts w:ascii="Arial" w:hAnsi="Arial" w:cs="Arial"/>
          <w:sz w:val="24"/>
          <w:szCs w:val="24"/>
          <w:lang w:val="ru-RU"/>
        </w:rPr>
        <w:t xml:space="preserve"> і </w:t>
      </w:r>
      <w:r>
        <w:rPr>
          <w:rFonts w:ascii="Arial" w:hAnsi="Arial" w:cs="Arial"/>
          <w:sz w:val="24"/>
          <w:szCs w:val="24"/>
          <w:lang w:val="ru-RU"/>
        </w:rPr>
        <w:t xml:space="preserve">має</w:t>
      </w:r>
      <w:r>
        <w:rPr>
          <w:rFonts w:ascii="Arial" w:hAnsi="Arial" w:cs="Arial"/>
          <w:sz w:val="24"/>
          <w:szCs w:val="24"/>
          <w:lang w:val="ru-RU"/>
        </w:rPr>
        <w:t xml:space="preserve"> </w:t>
      </w:r>
      <w:r>
        <w:rPr>
          <w:rFonts w:ascii="Arial" w:hAnsi="Arial" w:cs="Arial"/>
          <w:sz w:val="24"/>
          <w:szCs w:val="24"/>
          <w:lang w:val="ru-RU"/>
        </w:rPr>
        <w:t xml:space="preserve">тенденцію</w:t>
      </w:r>
      <w:r>
        <w:rPr>
          <w:rFonts w:ascii="Arial" w:hAnsi="Arial" w:cs="Arial"/>
          <w:sz w:val="24"/>
          <w:szCs w:val="24"/>
          <w:lang w:val="ru-RU"/>
        </w:rPr>
        <w:t xml:space="preserve"> до </w:t>
      </w:r>
      <w:r>
        <w:rPr>
          <w:rFonts w:ascii="Arial" w:hAnsi="Arial" w:cs="Arial"/>
          <w:sz w:val="24"/>
          <w:szCs w:val="24"/>
          <w:lang w:val="ru-RU"/>
        </w:rPr>
        <w:t xml:space="preserve">скорочення</w:t>
      </w:r>
      <w:r>
        <w:rPr>
          <w:rFonts w:ascii="Arial" w:hAnsi="Arial" w:cs="Arial"/>
          <w:sz w:val="24"/>
          <w:szCs w:val="24"/>
          <w:lang w:val="ru-RU"/>
        </w:rPr>
        <w:t xml:space="preserve">.</w:t>
      </w:r>
      <w:r>
        <w:rPr>
          <w:rFonts w:ascii="Arial" w:hAnsi="Arial" w:cs="Arial"/>
          <w:sz w:val="24"/>
          <w:szCs w:val="24"/>
          <w:lang w:val="uk-UA"/>
        </w:rPr>
        <w:t xml:space="preserve"> Зокрема, наприкінці 2017 р. населення громади перевищувало 26200 осіб</w:t>
      </w:r>
      <w:r>
        <w:rPr>
          <w:rStyle w:val="525"/>
          <w:rFonts w:ascii="Arial" w:hAnsi="Arial" w:cs="Arial"/>
          <w:sz w:val="24"/>
          <w:szCs w:val="24"/>
          <w:lang w:val="uk-UA"/>
        </w:rPr>
        <w:footnoteReference w:id="5"/>
      </w:r>
      <w:r>
        <w:rPr>
          <w:rFonts w:ascii="Arial" w:hAnsi="Arial" w:cs="Arial"/>
          <w:sz w:val="24"/>
          <w:szCs w:val="24"/>
          <w:lang w:val="uk-UA"/>
        </w:rPr>
        <w:t xml:space="preserve">. Чисельність дітей та підлітків до 17 років у структурі населення – 14%,  мешканців пенсійного </w:t>
      </w:r>
      <w:r>
        <w:rPr>
          <w:rFonts w:ascii="Arial" w:hAnsi="Arial" w:cs="Arial"/>
          <w:sz w:val="24"/>
          <w:szCs w:val="24"/>
          <w:lang w:val="uk-UA"/>
        </w:rPr>
        <w:t xml:space="preserve">віку (старше 60 р</w:t>
      </w:r>
      <w:r>
        <w:rPr>
          <w:rFonts w:ascii="Arial" w:hAnsi="Arial" w:cs="Arial"/>
          <w:sz w:val="24"/>
          <w:szCs w:val="24"/>
          <w:lang w:val="uk-UA"/>
        </w:rPr>
        <w:t xml:space="preserve">оків) - 28%, трохи менше 60% – це мешканці громади працездатного віку, що створює хороші передумови для розвитку громади. Разом з тим, діти, підлітки й люди пенсійного віку (42%) належать до вразливих груп, а ця частка є значною в загальній масі населення.</w:t>
      </w:r>
      <w:r/>
    </w:p>
    <w:p>
      <w:pPr>
        <w:pStyle w:val="536"/>
        <w:ind w:firstLine="720"/>
        <w:jc w:val="both"/>
        <w:spacing w:after="0" w:afterAutospacing="0" w:before="0" w:beforeAutospacing="0"/>
        <w:shd w:val="clear" w:color="auto" w:fill="FFFFFF"/>
        <w:rPr>
          <w:rFonts w:ascii="Arial" w:hAnsi="Arial" w:cs="Arial"/>
          <w:lang w:val="uk-UA"/>
        </w:rPr>
      </w:pPr>
      <w:r>
        <w:rPr>
          <w:rFonts w:ascii="Arial" w:hAnsi="Arial" w:cs="Arial"/>
          <w:lang w:val="uk-UA"/>
        </w:rPr>
        <w:t xml:space="preserve">Медична допомога надається в Менській лікарні та фельдшерсько-акушерських пунктах. Діє також Менська підстанція швидкої медичної допомоги.</w:t>
      </w:r>
      <w:r/>
    </w:p>
    <w:p>
      <w:pPr>
        <w:pStyle w:val="548"/>
        <w:ind w:firstLine="720"/>
        <w:jc w:val="both"/>
        <w:rPr>
          <w:color w:val="auto"/>
          <w:lang w:val="uk-UA"/>
        </w:rPr>
      </w:pPr>
      <w:r>
        <w:rPr>
          <w:color w:val="auto"/>
          <w:lang w:val="uk-UA"/>
        </w:rPr>
        <w:t xml:space="preserve">Зважаючи на </w:t>
      </w:r>
      <w:r/>
    </w:p>
    <w:p>
      <w:pPr>
        <w:pStyle w:val="548"/>
        <w:ind w:firstLine="720"/>
        <w:jc w:val="both"/>
        <w:rPr>
          <w:color w:val="auto"/>
          <w:lang w:val="uk-UA"/>
        </w:rPr>
      </w:pPr>
      <w:r>
        <w:rPr>
          <w:color w:val="auto"/>
          <w:lang w:val="uk-UA"/>
        </w:rPr>
        <w:t xml:space="preserve">* прогнозоване зростання температури повітря для регіону розташування,</w:t>
      </w:r>
      <w:r/>
    </w:p>
    <w:p>
      <w:pPr>
        <w:pStyle w:val="548"/>
        <w:ind w:firstLine="720"/>
        <w:jc w:val="both"/>
        <w:rPr>
          <w:color w:val="auto"/>
          <w:lang w:val="uk-UA"/>
        </w:rPr>
      </w:pPr>
      <w:r>
        <w:rPr>
          <w:color w:val="auto"/>
          <w:lang w:val="uk-UA"/>
        </w:rPr>
        <w:t xml:space="preserve">* порівняно високі показники температури в літні місяці,</w:t>
      </w:r>
      <w:r/>
    </w:p>
    <w:p>
      <w:pPr>
        <w:pStyle w:val="548"/>
        <w:ind w:firstLine="720"/>
        <w:jc w:val="both"/>
        <w:rPr>
          <w:color w:val="auto"/>
          <w:lang w:val="uk-UA"/>
        </w:rPr>
      </w:pPr>
      <w:r>
        <w:rPr>
          <w:color w:val="auto"/>
          <w:lang w:val="uk-UA"/>
        </w:rPr>
        <w:t xml:space="preserve">* зростанням кількості днів з максимальними значеннями температури повітря понад +30 </w:t>
      </w:r>
      <w:r>
        <w:rPr>
          <w:color w:val="auto"/>
          <w:vertAlign w:val="superscript"/>
          <w:lang w:val="uk-UA"/>
        </w:rPr>
        <w:t xml:space="preserve">о</w:t>
      </w:r>
      <w:r>
        <w:rPr>
          <w:color w:val="auto"/>
          <w:lang w:val="uk-UA"/>
        </w:rPr>
        <w:t xml:space="preserve">С</w:t>
      </w:r>
      <w:r>
        <w:rPr>
          <w:color w:val="auto"/>
          <w:lang w:val="uk-UA"/>
        </w:rPr>
        <w:t xml:space="preserve"> </w:t>
      </w:r>
      <w:r/>
    </w:p>
    <w:p>
      <w:pPr>
        <w:pStyle w:val="548"/>
        <w:ind w:firstLine="720"/>
        <w:jc w:val="both"/>
        <w:rPr>
          <w:color w:val="auto"/>
          <w:lang w:val="uk-UA"/>
        </w:rPr>
      </w:pPr>
      <w:r>
        <w:rPr>
          <w:color w:val="auto"/>
          <w:lang w:val="uk-UA"/>
        </w:rPr>
        <w:t xml:space="preserve">* значний відсоток населення, що є вразливим до надмірної спеки,</w:t>
      </w:r>
      <w:r/>
    </w:p>
    <w:p>
      <w:pPr>
        <w:pStyle w:val="548"/>
        <w:ind w:firstLine="720"/>
        <w:jc w:val="both"/>
        <w:rPr>
          <w:color w:val="auto"/>
          <w:lang w:val="uk-UA"/>
        </w:rPr>
      </w:pPr>
      <w:r>
        <w:rPr>
          <w:color w:val="auto"/>
          <w:lang w:val="uk-UA"/>
        </w:rPr>
        <w:t xml:space="preserve">вразливість жителів </w:t>
      </w:r>
      <w:r>
        <w:rPr>
          <w:lang w:val="uk-UA"/>
        </w:rPr>
        <w:t xml:space="preserve">Менської міської </w:t>
      </w:r>
      <w:r>
        <w:rPr>
          <w:lang w:val="uk-UA"/>
        </w:rPr>
        <w:t xml:space="preserve">територіальної громади</w:t>
      </w:r>
      <w:r>
        <w:rPr>
          <w:color w:val="auto"/>
          <w:lang w:val="uk-UA"/>
        </w:rPr>
        <w:t xml:space="preserve"> до теплового стресу влітку (коли температура призе</w:t>
      </w:r>
      <w:r>
        <w:rPr>
          <w:color w:val="auto"/>
          <w:lang w:val="uk-UA"/>
        </w:rPr>
        <w:t xml:space="preserve">много повітря сягає максимуму) слід розглядати як підвищену. Причому з часом цей фактор  матиме більш суттєве значення, оскільки прогнозується подальше зростання температури повітря.  В аномально спекотні дні, коли температура повітря сягає й перевищує 30 </w:t>
      </w:r>
      <w:r>
        <w:rPr>
          <w:color w:val="auto"/>
          <w:vertAlign w:val="superscript"/>
          <w:lang w:val="uk-UA"/>
        </w:rPr>
        <w:t xml:space="preserve">о</w:t>
      </w:r>
      <w:r>
        <w:rPr>
          <w:color w:val="auto"/>
          <w:lang w:val="uk-UA"/>
        </w:rPr>
        <w:t xml:space="preserve">С</w:t>
      </w:r>
      <w:r>
        <w:rPr>
          <w:color w:val="auto"/>
          <w:lang w:val="uk-UA"/>
        </w:rPr>
        <w:t xml:space="preserve">, ризик теплового стресу є особливо небезпечним для найбільш вразливих категорій населення (зокрема, людей похилого віку, дітей, людей з хронічними захворюваннями). </w:t>
      </w:r>
      <w:r/>
    </w:p>
    <w:p>
      <w:pPr>
        <w:pStyle w:val="558"/>
        <w:ind w:firstLine="720"/>
        <w:jc w:val="both"/>
        <w:rPr>
          <w:rFonts w:ascii="Arial" w:hAnsi="Arial" w:cs="Arial"/>
          <w:sz w:val="24"/>
          <w:szCs w:val="24"/>
          <w:lang w:val="uk-UA"/>
        </w:rPr>
      </w:pPr>
      <w:r>
        <w:rPr>
          <w:rFonts w:ascii="Arial" w:hAnsi="Arial" w:cs="Arial"/>
          <w:sz w:val="24"/>
          <w:szCs w:val="24"/>
          <w:lang w:val="uk-UA"/>
        </w:rPr>
        <w:t xml:space="preserve">Зважаючи на зростання частоти прояву стихійних гідрометеорологічних явищ (зливи, аномальна спека, тощо), ризик поширення інфекційних захворювань, алергічних проявів та негативного впливу метеорологічних чинників на здоров’я не можна ігнорувати.</w:t>
      </w:r>
      <w:r/>
    </w:p>
    <w:p>
      <w:pPr>
        <w:pStyle w:val="558"/>
        <w:ind w:firstLine="720"/>
        <w:jc w:val="both"/>
        <w:rPr>
          <w:rFonts w:ascii="Arial" w:hAnsi="Arial" w:cs="Arial"/>
          <w:sz w:val="24"/>
          <w:szCs w:val="24"/>
          <w:lang w:val="uk-UA"/>
        </w:rPr>
      </w:pPr>
      <w:r>
        <w:rPr>
          <w:rFonts w:ascii="Arial" w:hAnsi="Arial" w:cs="Arial"/>
          <w:sz w:val="24"/>
          <w:szCs w:val="24"/>
          <w:lang w:val="uk-UA"/>
        </w:rPr>
        <w:t xml:space="preserve">Територіальна громада</w:t>
      </w:r>
      <w:r>
        <w:rPr>
          <w:rFonts w:ascii="Arial" w:hAnsi="Arial" w:cs="Arial"/>
          <w:sz w:val="24"/>
          <w:szCs w:val="24"/>
          <w:lang w:val="uk-UA"/>
        </w:rPr>
        <w:t xml:space="preserve"> розташована в зоні, де немає природних осередків інфекційних захворювань та паразитарних захворювань. Разом з тим, суттєва частка населення є вразливою до інфекційних захворювань та</w:t>
      </w:r>
      <w:r>
        <w:rPr>
          <w:rFonts w:ascii="Arial" w:hAnsi="Arial" w:cs="Arial"/>
          <w:sz w:val="24"/>
          <w:szCs w:val="24"/>
          <w:lang w:val="uk-UA"/>
        </w:rPr>
        <w:t xml:space="preserve"> алергічних впливів, а частота прояву стихійних гідрометеорологічних явищ, що можуть сприяти поширенню інфекційних захворювань, зростає, як і зростає середня температура повітря та тривалість теплових хвиль. Ці чинники можуть сприяти поширенню інфекційних </w:t>
      </w:r>
      <w:r>
        <w:rPr>
          <w:rFonts w:ascii="Arial" w:hAnsi="Arial" w:cs="Arial"/>
          <w:sz w:val="24"/>
          <w:szCs w:val="24"/>
          <w:lang w:val="uk-UA"/>
        </w:rPr>
        <w:t xml:space="preserve">захворювань, а на фоні безпосереднього впливу на здоров’я людей, зокрема, теплових аномалій, - підвищувати вразливість до інфекцій та провокаторів алергії. </w:t>
      </w:r>
      <w:r/>
    </w:p>
    <w:p>
      <w:pPr>
        <w:pStyle w:val="536"/>
        <w:ind w:firstLine="709"/>
        <w:jc w:val="both"/>
        <w:spacing w:after="0" w:afterAutospacing="0" w:before="0" w:beforeAutospacing="0"/>
        <w:shd w:val="clear" w:color="auto" w:fill="FFFFFF"/>
        <w:rPr>
          <w:rFonts w:ascii="Arial" w:hAnsi="Arial" w:cs="Arial"/>
          <w:b/>
          <w:lang w:val="uk-UA"/>
        </w:rPr>
      </w:pPr>
      <w:r>
        <w:rPr>
          <w:rFonts w:ascii="Arial" w:hAnsi="Arial" w:cs="Arial"/>
          <w:b/>
          <w:lang w:val="uk-UA"/>
        </w:rPr>
      </w:r>
      <w:r/>
    </w:p>
    <w:p>
      <w:pPr>
        <w:pStyle w:val="536"/>
        <w:ind w:firstLine="709"/>
        <w:jc w:val="both"/>
        <w:spacing w:after="0" w:afterAutospacing="0" w:before="0" w:beforeAutospacing="0"/>
        <w:shd w:val="clear" w:color="auto" w:fill="FFFFFF"/>
        <w:rPr>
          <w:rFonts w:ascii="Arial" w:hAnsi="Arial" w:cs="Arial"/>
          <w:b/>
          <w:lang w:val="uk-UA"/>
        </w:rPr>
      </w:pPr>
      <w:r>
        <w:rPr>
          <w:rFonts w:ascii="Arial" w:hAnsi="Arial" w:cs="Arial"/>
          <w:b/>
          <w:lang w:val="uk-UA"/>
        </w:rPr>
        <w:t xml:space="preserve">Вразливість будинків, споруд, транспорту та транспортної інфраструктури до змін клімату </w:t>
      </w:r>
      <w:r/>
    </w:p>
    <w:p>
      <w:pPr>
        <w:pStyle w:val="536"/>
        <w:ind w:firstLine="709"/>
        <w:jc w:val="both"/>
        <w:spacing w:after="0" w:afterAutospacing="0" w:before="0" w:beforeAutospacing="0"/>
        <w:shd w:val="clear" w:color="auto" w:fill="FFFFFF"/>
        <w:rPr>
          <w:rFonts w:ascii="Arial" w:hAnsi="Arial" w:cs="Arial"/>
          <w:b/>
          <w:lang w:val="uk-UA"/>
        </w:rPr>
      </w:pPr>
      <w:r>
        <w:rPr>
          <w:rFonts w:ascii="Arial" w:hAnsi="Arial" w:cs="Arial"/>
          <w:b/>
          <w:lang w:val="uk-UA"/>
        </w:rPr>
      </w:r>
      <w:r/>
    </w:p>
    <w:p>
      <w:pPr>
        <w:pStyle w:val="558"/>
        <w:ind w:firstLine="567"/>
        <w:jc w:val="both"/>
        <w:rPr>
          <w:rFonts w:ascii="Arial" w:hAnsi="Arial" w:cs="Arial"/>
          <w:sz w:val="24"/>
          <w:szCs w:val="24"/>
          <w:lang w:val="ru-RU"/>
        </w:rPr>
      </w:pPr>
      <w:r>
        <w:rPr>
          <w:rFonts w:ascii="Arial" w:hAnsi="Arial" w:cs="Arial"/>
          <w:sz w:val="24"/>
          <w:szCs w:val="24"/>
          <w:lang w:val="uk-UA"/>
        </w:rPr>
        <w:t xml:space="preserve">Територія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знаходиться в басейні річки Десна, притоки Дніпра. </w:t>
      </w:r>
      <w:r>
        <w:rPr>
          <w:rFonts w:ascii="Arial" w:hAnsi="Arial" w:cs="Arial"/>
          <w:sz w:val="24"/>
          <w:szCs w:val="24"/>
          <w:lang w:val="ru-RU"/>
        </w:rPr>
        <w:t xml:space="preserve">Поверхневі</w:t>
      </w:r>
      <w:r>
        <w:rPr>
          <w:rFonts w:ascii="Arial" w:hAnsi="Arial" w:cs="Arial"/>
          <w:sz w:val="24"/>
          <w:szCs w:val="24"/>
          <w:lang w:val="ru-RU"/>
        </w:rPr>
        <w:t xml:space="preserve"> води </w:t>
      </w:r>
      <w:r>
        <w:rPr>
          <w:rFonts w:ascii="Arial" w:hAnsi="Arial" w:cs="Arial"/>
          <w:sz w:val="24"/>
          <w:szCs w:val="24"/>
          <w:lang w:val="ru-RU"/>
        </w:rPr>
        <w:t xml:space="preserve">громади</w:t>
      </w:r>
      <w:r>
        <w:rPr>
          <w:rFonts w:ascii="Arial" w:hAnsi="Arial" w:cs="Arial"/>
          <w:sz w:val="24"/>
          <w:szCs w:val="24"/>
          <w:lang w:val="ru-RU"/>
        </w:rPr>
        <w:t xml:space="preserve"> </w:t>
      </w:r>
      <w:r>
        <w:rPr>
          <w:rFonts w:ascii="Arial" w:hAnsi="Arial" w:cs="Arial"/>
          <w:sz w:val="24"/>
          <w:szCs w:val="24"/>
          <w:lang w:val="ru-RU"/>
        </w:rPr>
        <w:t xml:space="preserve">представлені</w:t>
      </w:r>
      <w:r>
        <w:rPr>
          <w:rFonts w:ascii="Arial" w:hAnsi="Arial" w:cs="Arial"/>
          <w:sz w:val="24"/>
          <w:szCs w:val="24"/>
          <w:lang w:val="ru-RU"/>
        </w:rPr>
        <w:t xml:space="preserve"> </w:t>
      </w:r>
      <w:r>
        <w:rPr>
          <w:rFonts w:ascii="Arial" w:hAnsi="Arial" w:cs="Arial"/>
          <w:sz w:val="24"/>
          <w:szCs w:val="24"/>
          <w:lang w:val="ru-RU"/>
        </w:rPr>
        <w:t xml:space="preserve">річками</w:t>
      </w:r>
      <w:r>
        <w:rPr>
          <w:rFonts w:ascii="Arial" w:hAnsi="Arial" w:cs="Arial"/>
          <w:sz w:val="24"/>
          <w:szCs w:val="24"/>
          <w:lang w:val="ru-RU"/>
        </w:rPr>
        <w:t xml:space="preserve"> Десна, Мена, низкою </w:t>
      </w:r>
      <w:r>
        <w:rPr>
          <w:rFonts w:ascii="Arial" w:hAnsi="Arial" w:cs="Arial"/>
          <w:sz w:val="24"/>
          <w:szCs w:val="24"/>
          <w:lang w:val="ru-RU"/>
        </w:rPr>
        <w:t xml:space="preserve">ставків</w:t>
      </w:r>
      <w:r>
        <w:rPr>
          <w:rFonts w:ascii="Arial" w:hAnsi="Arial" w:cs="Arial"/>
          <w:sz w:val="24"/>
          <w:szCs w:val="24"/>
          <w:lang w:val="ru-RU"/>
        </w:rPr>
        <w:t xml:space="preserve"> і </w:t>
      </w:r>
      <w:r>
        <w:rPr>
          <w:rFonts w:ascii="Arial" w:hAnsi="Arial" w:cs="Arial"/>
          <w:sz w:val="24"/>
          <w:szCs w:val="24"/>
          <w:lang w:val="ru-RU"/>
        </w:rPr>
        <w:t xml:space="preserve">каналів</w:t>
      </w:r>
      <w:r>
        <w:rPr>
          <w:rFonts w:ascii="Arial" w:hAnsi="Arial" w:cs="Arial"/>
          <w:sz w:val="24"/>
          <w:szCs w:val="24"/>
          <w:lang w:val="ru-RU"/>
        </w:rPr>
        <w:t xml:space="preserve">. </w:t>
      </w:r>
      <w:r/>
    </w:p>
    <w:p>
      <w:pPr>
        <w:pStyle w:val="558"/>
        <w:ind w:firstLine="567"/>
        <w:jc w:val="both"/>
        <w:rPr>
          <w:rFonts w:ascii="Arial" w:hAnsi="Arial" w:cs="Arial"/>
          <w:sz w:val="24"/>
          <w:szCs w:val="24"/>
          <w:lang w:val="ru-RU"/>
        </w:rPr>
      </w:pPr>
      <w:r>
        <w:rPr>
          <w:rFonts w:ascii="Arial" w:hAnsi="Arial" w:cs="Arial"/>
          <w:sz w:val="24"/>
          <w:szCs w:val="24"/>
          <w:lang w:val="ru-RU"/>
        </w:rPr>
        <w:t xml:space="preserve">Забудована</w:t>
      </w:r>
      <w:r>
        <w:rPr>
          <w:rFonts w:ascii="Arial" w:hAnsi="Arial" w:cs="Arial"/>
          <w:sz w:val="24"/>
          <w:szCs w:val="24"/>
          <w:lang w:val="ru-RU"/>
        </w:rPr>
        <w:t xml:space="preserve"> </w:t>
      </w:r>
      <w:r>
        <w:rPr>
          <w:rFonts w:ascii="Arial" w:hAnsi="Arial" w:cs="Arial"/>
          <w:sz w:val="24"/>
          <w:szCs w:val="24"/>
          <w:lang w:val="ru-RU"/>
        </w:rPr>
        <w:t xml:space="preserve">територія</w:t>
      </w:r>
      <w:r>
        <w:rPr>
          <w:rFonts w:ascii="Arial" w:hAnsi="Arial" w:cs="Arial"/>
          <w:sz w:val="24"/>
          <w:szCs w:val="24"/>
          <w:lang w:val="ru-RU"/>
        </w:rPr>
        <w:t xml:space="preserve"> м. Мена та </w:t>
      </w:r>
      <w:r>
        <w:rPr>
          <w:rFonts w:ascii="Arial" w:hAnsi="Arial" w:cs="Arial"/>
          <w:sz w:val="24"/>
          <w:szCs w:val="24"/>
          <w:lang w:val="ru-RU"/>
        </w:rPr>
        <w:t xml:space="preserve">кількох</w:t>
      </w:r>
      <w:r>
        <w:rPr>
          <w:rFonts w:ascii="Arial" w:hAnsi="Arial" w:cs="Arial"/>
          <w:sz w:val="24"/>
          <w:szCs w:val="24"/>
          <w:lang w:val="ru-RU"/>
        </w:rPr>
        <w:t xml:space="preserve"> </w:t>
      </w:r>
      <w:r>
        <w:rPr>
          <w:rFonts w:ascii="Arial" w:hAnsi="Arial" w:cs="Arial"/>
          <w:sz w:val="24"/>
          <w:szCs w:val="24"/>
          <w:lang w:val="ru-RU"/>
        </w:rPr>
        <w:t xml:space="preserve">інших</w:t>
      </w:r>
      <w:r>
        <w:rPr>
          <w:rFonts w:ascii="Arial" w:hAnsi="Arial" w:cs="Arial"/>
          <w:sz w:val="24"/>
          <w:szCs w:val="24"/>
          <w:lang w:val="ru-RU"/>
        </w:rPr>
        <w:t xml:space="preserve"> </w:t>
      </w:r>
      <w:r>
        <w:rPr>
          <w:rFonts w:ascii="Arial" w:hAnsi="Arial" w:cs="Arial"/>
          <w:sz w:val="24"/>
          <w:szCs w:val="24"/>
          <w:lang w:val="ru-RU"/>
        </w:rPr>
        <w:t xml:space="preserve">населених</w:t>
      </w:r>
      <w:r>
        <w:rPr>
          <w:rFonts w:ascii="Arial" w:hAnsi="Arial" w:cs="Arial"/>
          <w:sz w:val="24"/>
          <w:szCs w:val="24"/>
          <w:lang w:val="ru-RU"/>
        </w:rPr>
        <w:t xml:space="preserve"> </w:t>
      </w:r>
      <w:r>
        <w:rPr>
          <w:rFonts w:ascii="Arial" w:hAnsi="Arial" w:cs="Arial"/>
          <w:sz w:val="24"/>
          <w:szCs w:val="24"/>
          <w:lang w:val="ru-RU"/>
        </w:rPr>
        <w:t xml:space="preserve">пунктів</w:t>
      </w:r>
      <w:r>
        <w:rPr>
          <w:rFonts w:ascii="Arial" w:hAnsi="Arial" w:cs="Arial"/>
          <w:sz w:val="24"/>
          <w:szCs w:val="24"/>
          <w:lang w:val="ru-RU"/>
        </w:rPr>
        <w:t xml:space="preserve"> </w:t>
      </w:r>
      <w:r>
        <w:rPr>
          <w:rFonts w:ascii="Arial" w:hAnsi="Arial" w:cs="Arial"/>
          <w:sz w:val="24"/>
          <w:szCs w:val="24"/>
          <w:lang w:val="uk-UA"/>
        </w:rPr>
        <w:t xml:space="preserve">територіальної громади</w:t>
      </w:r>
      <w:r>
        <w:rPr>
          <w:rFonts w:ascii="Arial" w:hAnsi="Arial" w:cs="Arial"/>
          <w:sz w:val="24"/>
          <w:szCs w:val="24"/>
          <w:lang w:val="ru-RU"/>
        </w:rPr>
        <w:t xml:space="preserve"> </w:t>
      </w:r>
      <w:r>
        <w:rPr>
          <w:rFonts w:ascii="Arial" w:hAnsi="Arial" w:cs="Arial"/>
          <w:sz w:val="24"/>
          <w:szCs w:val="24"/>
          <w:lang w:val="ru-RU"/>
        </w:rPr>
        <w:t xml:space="preserve">розташована</w:t>
      </w:r>
      <w:r>
        <w:rPr>
          <w:rFonts w:ascii="Arial" w:hAnsi="Arial" w:cs="Arial"/>
          <w:sz w:val="24"/>
          <w:szCs w:val="24"/>
          <w:lang w:val="ru-RU"/>
        </w:rPr>
        <w:t xml:space="preserve"> на </w:t>
      </w:r>
      <w:r>
        <w:rPr>
          <w:rFonts w:ascii="Arial" w:hAnsi="Arial" w:cs="Arial"/>
          <w:sz w:val="24"/>
          <w:szCs w:val="24"/>
          <w:lang w:val="ru-RU"/>
        </w:rPr>
        <w:t xml:space="preserve">березі</w:t>
      </w:r>
      <w:r>
        <w:rPr>
          <w:rFonts w:ascii="Arial" w:hAnsi="Arial" w:cs="Arial"/>
          <w:sz w:val="24"/>
          <w:szCs w:val="24"/>
          <w:lang w:val="ru-RU"/>
        </w:rPr>
        <w:t xml:space="preserve"> </w:t>
      </w:r>
      <w:r>
        <w:rPr>
          <w:rFonts w:ascii="Arial" w:hAnsi="Arial" w:cs="Arial"/>
          <w:sz w:val="24"/>
          <w:szCs w:val="24"/>
          <w:lang w:val="ru-RU"/>
        </w:rPr>
        <w:t xml:space="preserve">річки</w:t>
      </w:r>
      <w:r>
        <w:rPr>
          <w:rFonts w:ascii="Arial" w:hAnsi="Arial" w:cs="Arial"/>
          <w:sz w:val="24"/>
          <w:szCs w:val="24"/>
          <w:lang w:val="ru-RU"/>
        </w:rPr>
        <w:t xml:space="preserve"> Мена, </w:t>
      </w:r>
      <w:r>
        <w:rPr>
          <w:rFonts w:ascii="Arial" w:hAnsi="Arial" w:cs="Arial"/>
          <w:sz w:val="24"/>
          <w:szCs w:val="24"/>
          <w:lang w:val="ru-RU"/>
        </w:rPr>
        <w:t xml:space="preserve">деякі</w:t>
      </w:r>
      <w:r>
        <w:rPr>
          <w:rFonts w:ascii="Arial" w:hAnsi="Arial" w:cs="Arial"/>
          <w:sz w:val="24"/>
          <w:szCs w:val="24"/>
          <w:lang w:val="ru-RU"/>
        </w:rPr>
        <w:t xml:space="preserve"> </w:t>
      </w:r>
      <w:r>
        <w:rPr>
          <w:rFonts w:ascii="Arial" w:hAnsi="Arial" w:cs="Arial"/>
          <w:sz w:val="24"/>
          <w:szCs w:val="24"/>
          <w:lang w:val="ru-RU"/>
        </w:rPr>
        <w:t xml:space="preserve">населені</w:t>
      </w:r>
      <w:r>
        <w:rPr>
          <w:rFonts w:ascii="Arial" w:hAnsi="Arial" w:cs="Arial"/>
          <w:sz w:val="24"/>
          <w:szCs w:val="24"/>
          <w:lang w:val="ru-RU"/>
        </w:rPr>
        <w:t xml:space="preserve"> </w:t>
      </w:r>
      <w:r>
        <w:rPr>
          <w:rFonts w:ascii="Arial" w:hAnsi="Arial" w:cs="Arial"/>
          <w:sz w:val="24"/>
          <w:szCs w:val="24"/>
          <w:lang w:val="ru-RU"/>
        </w:rPr>
        <w:t xml:space="preserve">пункти</w:t>
      </w:r>
      <w:r>
        <w:rPr>
          <w:rFonts w:ascii="Arial" w:hAnsi="Arial" w:cs="Arial"/>
          <w:sz w:val="24"/>
          <w:szCs w:val="24"/>
          <w:lang w:val="ru-RU"/>
        </w:rPr>
        <w:t xml:space="preserve"> </w:t>
      </w:r>
      <w:r>
        <w:rPr>
          <w:rFonts w:ascii="Arial" w:hAnsi="Arial" w:cs="Arial"/>
          <w:sz w:val="24"/>
          <w:szCs w:val="24"/>
          <w:lang w:val="ru-RU"/>
        </w:rPr>
        <w:t xml:space="preserve">розташовані</w:t>
      </w:r>
      <w:r>
        <w:rPr>
          <w:rFonts w:ascii="Arial" w:hAnsi="Arial" w:cs="Arial"/>
          <w:sz w:val="24"/>
          <w:szCs w:val="24"/>
          <w:lang w:val="ru-RU"/>
        </w:rPr>
        <w:t xml:space="preserve"> у </w:t>
      </w:r>
      <w:r>
        <w:rPr>
          <w:rFonts w:ascii="Arial" w:hAnsi="Arial" w:cs="Arial"/>
          <w:sz w:val="24"/>
          <w:szCs w:val="24"/>
          <w:lang w:val="ru-RU"/>
        </w:rPr>
        <w:t xml:space="preserve">зоні</w:t>
      </w:r>
      <w:r>
        <w:rPr>
          <w:rFonts w:ascii="Arial" w:hAnsi="Arial" w:cs="Arial"/>
          <w:sz w:val="24"/>
          <w:szCs w:val="24"/>
          <w:lang w:val="ru-RU"/>
        </w:rPr>
        <w:t xml:space="preserve"> </w:t>
      </w:r>
      <w:r>
        <w:rPr>
          <w:rFonts w:ascii="Arial" w:hAnsi="Arial" w:cs="Arial"/>
          <w:sz w:val="24"/>
          <w:szCs w:val="24"/>
          <w:lang w:val="ru-RU"/>
        </w:rPr>
        <w:t xml:space="preserve">впливу</w:t>
      </w:r>
      <w:r>
        <w:rPr>
          <w:rFonts w:ascii="Arial" w:hAnsi="Arial" w:cs="Arial"/>
          <w:sz w:val="24"/>
          <w:szCs w:val="24"/>
          <w:lang w:val="ru-RU"/>
        </w:rPr>
        <w:t xml:space="preserve"> </w:t>
      </w:r>
      <w:r>
        <w:rPr>
          <w:rFonts w:ascii="Arial" w:hAnsi="Arial" w:cs="Arial"/>
          <w:sz w:val="24"/>
          <w:szCs w:val="24"/>
          <w:lang w:val="ru-RU"/>
        </w:rPr>
        <w:t xml:space="preserve">розливів</w:t>
      </w:r>
      <w:r>
        <w:rPr>
          <w:rFonts w:ascii="Arial" w:hAnsi="Arial" w:cs="Arial"/>
          <w:sz w:val="24"/>
          <w:szCs w:val="24"/>
          <w:lang w:val="ru-RU"/>
        </w:rPr>
        <w:t xml:space="preserve"> </w:t>
      </w:r>
      <w:r>
        <w:rPr>
          <w:rFonts w:ascii="Arial" w:hAnsi="Arial" w:cs="Arial"/>
          <w:sz w:val="24"/>
          <w:szCs w:val="24"/>
          <w:lang w:val="ru-RU"/>
        </w:rPr>
        <w:t xml:space="preserve">річки</w:t>
      </w:r>
      <w:r>
        <w:rPr>
          <w:rFonts w:ascii="Arial" w:hAnsi="Arial" w:cs="Arial"/>
          <w:sz w:val="24"/>
          <w:szCs w:val="24"/>
          <w:lang w:val="ru-RU"/>
        </w:rPr>
        <w:t xml:space="preserve"> Десна.</w:t>
      </w:r>
      <w:r/>
    </w:p>
    <w:p>
      <w:pPr>
        <w:pStyle w:val="558"/>
        <w:ind w:firstLine="567"/>
        <w:jc w:val="both"/>
        <w:rPr>
          <w:rFonts w:ascii="Arial" w:hAnsi="Arial" w:cs="Arial"/>
          <w:sz w:val="24"/>
          <w:szCs w:val="24"/>
          <w:lang w:val="uk-UA"/>
        </w:rPr>
      </w:pPr>
      <w:r>
        <w:rPr>
          <w:rFonts w:ascii="Arial" w:hAnsi="Arial" w:cs="Arial"/>
          <w:sz w:val="24"/>
          <w:szCs w:val="24"/>
          <w:lang w:val="uk-UA"/>
        </w:rPr>
        <w:t xml:space="preserve">Територіальна громада</w:t>
      </w:r>
      <w:r>
        <w:rPr>
          <w:rFonts w:ascii="Arial" w:hAnsi="Arial" w:cs="Arial"/>
          <w:sz w:val="24"/>
          <w:szCs w:val="24"/>
          <w:lang w:val="ru-RU"/>
        </w:rPr>
        <w:t xml:space="preserve"> </w:t>
      </w:r>
      <w:r>
        <w:rPr>
          <w:rFonts w:ascii="Arial" w:hAnsi="Arial" w:cs="Arial"/>
          <w:sz w:val="24"/>
          <w:szCs w:val="24"/>
          <w:lang w:val="ru-RU"/>
        </w:rPr>
        <w:t xml:space="preserve">характеризується</w:t>
      </w:r>
      <w:r>
        <w:rPr>
          <w:rFonts w:ascii="Arial" w:hAnsi="Arial" w:cs="Arial"/>
          <w:sz w:val="24"/>
          <w:szCs w:val="24"/>
          <w:lang w:val="ru-RU"/>
        </w:rPr>
        <w:t xml:space="preserve"> </w:t>
      </w:r>
      <w:r>
        <w:rPr>
          <w:rFonts w:ascii="Arial" w:hAnsi="Arial" w:cs="Arial"/>
          <w:sz w:val="24"/>
          <w:szCs w:val="24"/>
          <w:lang w:val="ru-RU"/>
        </w:rPr>
        <w:t xml:space="preserve">розвиненою</w:t>
      </w:r>
      <w:r>
        <w:rPr>
          <w:rFonts w:ascii="Arial" w:hAnsi="Arial" w:cs="Arial"/>
          <w:sz w:val="24"/>
          <w:szCs w:val="24"/>
          <w:lang w:val="ru-RU"/>
        </w:rPr>
        <w:t xml:space="preserve"> транспортною </w:t>
      </w:r>
      <w:r>
        <w:rPr>
          <w:rFonts w:ascii="Arial" w:hAnsi="Arial" w:cs="Arial"/>
          <w:sz w:val="24"/>
          <w:szCs w:val="24"/>
          <w:lang w:val="ru-RU"/>
        </w:rPr>
        <w:t xml:space="preserve">інфраструктурою</w:t>
      </w:r>
      <w:r>
        <w:rPr>
          <w:rFonts w:ascii="Arial" w:hAnsi="Arial" w:cs="Arial"/>
          <w:sz w:val="24"/>
          <w:szCs w:val="24"/>
          <w:lang w:val="ru-RU"/>
        </w:rPr>
        <w:t xml:space="preserve">, але </w:t>
      </w:r>
      <w:r>
        <w:rPr>
          <w:rFonts w:ascii="Arial" w:hAnsi="Arial" w:cs="Arial"/>
          <w:sz w:val="24"/>
          <w:szCs w:val="24"/>
          <w:lang w:val="ru-RU"/>
        </w:rPr>
        <w:t xml:space="preserve">якість</w:t>
      </w:r>
      <w:r>
        <w:rPr>
          <w:rFonts w:ascii="Arial" w:hAnsi="Arial" w:cs="Arial"/>
          <w:sz w:val="24"/>
          <w:szCs w:val="24"/>
          <w:lang w:val="ru-RU"/>
        </w:rPr>
        <w:t xml:space="preserve"> </w:t>
      </w:r>
      <w:r>
        <w:rPr>
          <w:rFonts w:ascii="Arial" w:hAnsi="Arial" w:cs="Arial"/>
          <w:sz w:val="24"/>
          <w:szCs w:val="24"/>
          <w:lang w:val="ru-RU"/>
        </w:rPr>
        <w:t xml:space="preserve">доріг</w:t>
      </w:r>
      <w:r>
        <w:rPr>
          <w:rFonts w:ascii="Arial" w:hAnsi="Arial" w:cs="Arial"/>
          <w:sz w:val="24"/>
          <w:szCs w:val="24"/>
          <w:lang w:val="ru-RU"/>
        </w:rPr>
        <w:t xml:space="preserve">, </w:t>
      </w:r>
      <w:r>
        <w:rPr>
          <w:rFonts w:ascii="Arial" w:hAnsi="Arial" w:cs="Arial"/>
          <w:sz w:val="24"/>
          <w:szCs w:val="24"/>
          <w:lang w:val="ru-RU"/>
        </w:rPr>
        <w:t xml:space="preserve">зокрема</w:t>
      </w:r>
      <w:r>
        <w:rPr>
          <w:rFonts w:ascii="Arial" w:hAnsi="Arial" w:cs="Arial"/>
          <w:sz w:val="24"/>
          <w:szCs w:val="24"/>
          <w:lang w:val="ru-RU"/>
        </w:rPr>
        <w:t xml:space="preserve">, </w:t>
      </w:r>
      <w:r>
        <w:rPr>
          <w:rFonts w:ascii="Arial" w:hAnsi="Arial" w:cs="Arial"/>
          <w:sz w:val="24"/>
          <w:szCs w:val="24"/>
          <w:lang w:val="ru-RU"/>
        </w:rPr>
        <w:t xml:space="preserve">місцевого</w:t>
      </w:r>
      <w:r>
        <w:rPr>
          <w:rFonts w:ascii="Arial" w:hAnsi="Arial" w:cs="Arial"/>
          <w:sz w:val="24"/>
          <w:szCs w:val="24"/>
          <w:lang w:val="ru-RU"/>
        </w:rPr>
        <w:t xml:space="preserve"> </w:t>
      </w:r>
      <w:r>
        <w:rPr>
          <w:rFonts w:ascii="Arial" w:hAnsi="Arial" w:cs="Arial"/>
          <w:sz w:val="24"/>
          <w:szCs w:val="24"/>
          <w:lang w:val="ru-RU"/>
        </w:rPr>
        <w:t xml:space="preserve">значення</w:t>
      </w:r>
      <w:r>
        <w:rPr>
          <w:rFonts w:ascii="Arial" w:hAnsi="Arial" w:cs="Arial"/>
          <w:sz w:val="24"/>
          <w:szCs w:val="24"/>
          <w:lang w:val="ru-RU"/>
        </w:rPr>
        <w:t xml:space="preserve">, </w:t>
      </w:r>
      <w:r>
        <w:rPr>
          <w:rFonts w:ascii="Arial" w:hAnsi="Arial" w:cs="Arial"/>
          <w:sz w:val="24"/>
          <w:szCs w:val="24"/>
          <w:lang w:val="ru-RU"/>
        </w:rPr>
        <w:t xml:space="preserve">низька</w:t>
      </w:r>
      <w:r>
        <w:rPr>
          <w:rFonts w:ascii="Arial" w:hAnsi="Arial" w:cs="Arial"/>
          <w:sz w:val="24"/>
          <w:szCs w:val="24"/>
          <w:lang w:val="ru-RU"/>
        </w:rPr>
        <w:t xml:space="preserve"> й </w:t>
      </w:r>
      <w:r>
        <w:rPr>
          <w:rFonts w:ascii="Arial" w:hAnsi="Arial" w:cs="Arial"/>
          <w:sz w:val="24"/>
          <w:szCs w:val="24"/>
          <w:lang w:val="ru-RU"/>
        </w:rPr>
        <w:t xml:space="preserve">потребує</w:t>
      </w:r>
      <w:r>
        <w:rPr>
          <w:rFonts w:ascii="Arial" w:hAnsi="Arial" w:cs="Arial"/>
          <w:sz w:val="24"/>
          <w:szCs w:val="24"/>
          <w:lang w:val="ru-RU"/>
        </w:rPr>
        <w:t xml:space="preserve"> </w:t>
      </w:r>
      <w:r>
        <w:rPr>
          <w:rFonts w:ascii="Arial" w:hAnsi="Arial" w:cs="Arial"/>
          <w:sz w:val="24"/>
          <w:szCs w:val="24"/>
          <w:lang w:val="ru-RU"/>
        </w:rPr>
        <w:t xml:space="preserve">модернізації</w:t>
      </w:r>
      <w:r>
        <w:rPr>
          <w:rFonts w:ascii="Arial" w:hAnsi="Arial" w:cs="Arial"/>
          <w:sz w:val="24"/>
          <w:szCs w:val="24"/>
          <w:lang w:val="ru-RU"/>
        </w:rPr>
        <w:t xml:space="preserve"> </w:t>
      </w:r>
      <w:r>
        <w:rPr>
          <w:rFonts w:ascii="Arial" w:hAnsi="Arial" w:cs="Arial"/>
          <w:sz w:val="24"/>
          <w:szCs w:val="24"/>
          <w:lang w:val="ru-RU"/>
        </w:rPr>
        <w:t xml:space="preserve">дорожнього</w:t>
      </w:r>
      <w:r>
        <w:rPr>
          <w:rFonts w:ascii="Arial" w:hAnsi="Arial" w:cs="Arial"/>
          <w:sz w:val="24"/>
          <w:szCs w:val="24"/>
          <w:lang w:val="ru-RU"/>
        </w:rPr>
        <w:t xml:space="preserve"> </w:t>
      </w:r>
      <w:r>
        <w:rPr>
          <w:rFonts w:ascii="Arial" w:hAnsi="Arial" w:cs="Arial"/>
          <w:sz w:val="24"/>
          <w:szCs w:val="24"/>
          <w:lang w:val="ru-RU"/>
        </w:rPr>
        <w:t xml:space="preserve">покриття</w:t>
      </w:r>
      <w:r>
        <w:rPr>
          <w:rFonts w:ascii="Arial" w:hAnsi="Arial" w:cs="Arial"/>
          <w:sz w:val="24"/>
          <w:szCs w:val="24"/>
          <w:lang w:val="ru-RU"/>
        </w:rPr>
        <w:t xml:space="preserve">. </w:t>
      </w:r>
      <w:r>
        <w:rPr>
          <w:rFonts w:ascii="Arial" w:hAnsi="Arial" w:cs="Arial"/>
          <w:sz w:val="24"/>
          <w:szCs w:val="24"/>
          <w:lang w:val="ru-RU"/>
        </w:rPr>
        <w:t xml:space="preserve">Значна</w:t>
      </w:r>
      <w:r>
        <w:rPr>
          <w:rFonts w:ascii="Arial" w:hAnsi="Arial" w:cs="Arial"/>
          <w:sz w:val="24"/>
          <w:szCs w:val="24"/>
          <w:lang w:val="uk-UA"/>
        </w:rPr>
        <w:t xml:space="preserve"> частина вулиць та доріг вимагають капітального або поточного ремонту проїжджої частини. Третина мостів та шляхопроводів не відповідають нормам за вантажопідйомністю або габаритами, потребує капітального ремонту. </w:t>
      </w:r>
      <w:r/>
    </w:p>
    <w:p>
      <w:pPr>
        <w:pStyle w:val="558"/>
        <w:ind w:firstLine="567"/>
        <w:jc w:val="both"/>
        <w:rPr>
          <w:rFonts w:ascii="Arial" w:hAnsi="Arial" w:cs="Arial"/>
          <w:sz w:val="24"/>
          <w:szCs w:val="24"/>
          <w:lang w:val="ru-RU"/>
        </w:rPr>
      </w:pPr>
      <w:r>
        <w:rPr>
          <w:rFonts w:ascii="Arial" w:hAnsi="Arial" w:cs="Arial"/>
          <w:sz w:val="24"/>
          <w:szCs w:val="24"/>
          <w:lang w:val="uk-UA"/>
        </w:rPr>
        <w:t xml:space="preserve">Під час стихійних погодних явищ можливі порушення цілісності та функціонування матеріальних об’єктів міської інфраструктури (житлових будівель та нежитлових споруд виробничого та соціального призначення, транспортних мереж і об’</w:t>
      </w:r>
      <w:r>
        <w:rPr>
          <w:rFonts w:ascii="Arial" w:hAnsi="Arial" w:cs="Arial"/>
          <w:sz w:val="24"/>
          <w:szCs w:val="24"/>
          <w:lang w:val="uk-UA"/>
        </w:rPr>
        <w:t xml:space="preserve">єктів). Будинки, споруди і транспортна інфраструктура (зокрема, дороги) є вразливими до підтоплення та надзвичайних погодних явищ (грози, буревії), які мають руйнівну силу й супроводжуються значними опадами. Буревії руйнують будинки (перш за все, дахи) та </w:t>
      </w:r>
      <w:r>
        <w:rPr>
          <w:rFonts w:ascii="Arial" w:hAnsi="Arial" w:cs="Arial"/>
          <w:sz w:val="24"/>
          <w:szCs w:val="24"/>
          <w:lang w:val="uk-UA"/>
        </w:rPr>
        <w:t xml:space="preserve">створюють затори через повалені дерева, стовпи ліній електропередачі  та ін. </w:t>
      </w:r>
      <w:r/>
    </w:p>
    <w:p>
      <w:pPr>
        <w:pStyle w:val="558"/>
        <w:ind w:firstLine="567"/>
        <w:jc w:val="both"/>
        <w:rPr>
          <w:rFonts w:ascii="Arial" w:hAnsi="Arial" w:cs="Arial"/>
          <w:sz w:val="24"/>
          <w:szCs w:val="24"/>
          <w:lang w:val="uk-UA"/>
        </w:rPr>
      </w:pPr>
      <w:r>
        <w:rPr>
          <w:rFonts w:ascii="Arial" w:hAnsi="Arial" w:cs="Arial"/>
          <w:sz w:val="24"/>
          <w:szCs w:val="24"/>
          <w:lang w:val="uk-UA"/>
        </w:rPr>
        <w:t xml:space="preserve">Згідно з даними метеорологічного моніторингу та прогнозами, зростання кількості днів із аномальною</w:t>
      </w:r>
      <w:r>
        <w:rPr>
          <w:rFonts w:ascii="Arial" w:hAnsi="Arial" w:cs="Arial"/>
          <w:sz w:val="24"/>
          <w:szCs w:val="24"/>
          <w:lang w:val="uk-UA"/>
        </w:rPr>
        <w:t xml:space="preserve"> кількістю опадів по сезонах та аномальні погодні явища, пов’язані з короткочасним, але інтенсивним випаданням осадків, будуть частішими. Оскільки житлові масиви та стратегічні об’єкти розташовані в зоні можливого підтоплення, то загроза підтоплення терито</w:t>
      </w:r>
      <w:r>
        <w:rPr>
          <w:rFonts w:ascii="Arial" w:hAnsi="Arial" w:cs="Arial"/>
          <w:sz w:val="24"/>
          <w:szCs w:val="24"/>
          <w:lang w:val="uk-UA"/>
        </w:rPr>
        <w:t xml:space="preserve">рії та інфраструктури залишається реальною і серйозною.  Порівняно значна кількість дощових і грозових днів (як індикатори ризику підтоплень) свідчить про певну вірогідність виникнення надзвичайних ситуацій внаслідок збільшення кількості опадів в регіоні. </w:t>
      </w:r>
      <w:r/>
    </w:p>
    <w:p>
      <w:pPr>
        <w:pStyle w:val="536"/>
        <w:ind w:firstLine="709"/>
        <w:jc w:val="both"/>
        <w:spacing w:after="0" w:afterAutospacing="0" w:before="0" w:beforeAutospacing="0"/>
        <w:shd w:val="clear" w:color="auto" w:fill="FFFFFF"/>
        <w:rPr>
          <w:rFonts w:ascii="Arial" w:hAnsi="Arial" w:cs="Arial"/>
          <w:b/>
          <w:lang w:val="uk-UA"/>
        </w:rPr>
      </w:pPr>
      <w:r>
        <w:rPr>
          <w:rFonts w:ascii="Arial" w:hAnsi="Arial" w:cs="Arial"/>
          <w:b/>
          <w:lang w:val="uk-UA"/>
        </w:rPr>
      </w:r>
      <w:r/>
    </w:p>
    <w:p>
      <w:pPr>
        <w:pStyle w:val="536"/>
        <w:ind w:firstLine="567"/>
        <w:jc w:val="both"/>
        <w:spacing w:after="0" w:afterAutospacing="0" w:before="0" w:beforeAutospacing="0"/>
        <w:shd w:val="clear" w:color="auto" w:fill="FFFFFF"/>
        <w:rPr>
          <w:rFonts w:ascii="Arial" w:hAnsi="Arial" w:cs="Arial"/>
          <w:b/>
          <w:lang w:val="uk-UA"/>
        </w:rPr>
      </w:pPr>
      <w:r>
        <w:rPr>
          <w:rFonts w:ascii="Arial" w:hAnsi="Arial" w:cs="Arial"/>
          <w:b/>
          <w:lang w:val="uk-UA"/>
        </w:rPr>
        <w:t xml:space="preserve">Вразливість систем енергопостачання та водозабезпечення до змін клімату</w:t>
      </w:r>
      <w:r/>
    </w:p>
    <w:p>
      <w:pPr>
        <w:pStyle w:val="536"/>
        <w:ind w:firstLine="567"/>
        <w:jc w:val="both"/>
        <w:spacing w:after="0" w:afterAutospacing="0" w:before="0" w:beforeAutospacing="0"/>
        <w:shd w:val="clear" w:color="auto" w:fill="FFFFFF"/>
        <w:rPr>
          <w:rFonts w:ascii="Arial" w:hAnsi="Arial" w:cs="Arial"/>
          <w:b/>
          <w:lang w:val="uk-UA"/>
        </w:rPr>
      </w:pPr>
      <w:r>
        <w:rPr>
          <w:rFonts w:ascii="Arial" w:hAnsi="Arial" w:cs="Arial"/>
          <w:b/>
          <w:lang w:val="uk-UA"/>
        </w:rPr>
      </w:r>
      <w:r/>
    </w:p>
    <w:p>
      <w:pPr>
        <w:pStyle w:val="558"/>
        <w:ind w:firstLine="567"/>
        <w:jc w:val="both"/>
        <w:rPr>
          <w:rFonts w:ascii="Arial" w:hAnsi="Arial" w:cs="Arial"/>
          <w:sz w:val="24"/>
          <w:szCs w:val="24"/>
          <w:lang w:val="uk-UA"/>
        </w:rPr>
      </w:pPr>
      <w:r>
        <w:rPr>
          <w:rFonts w:ascii="Arial" w:hAnsi="Arial" w:cs="Arial"/>
          <w:sz w:val="24"/>
          <w:szCs w:val="24"/>
          <w:lang w:val="uk-UA"/>
        </w:rPr>
        <w:t xml:space="preserve">Інженерна інфраструктура міста Мена та сіл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w:t>
      </w:r>
      <w:r>
        <w:rPr>
          <w:rFonts w:ascii="Arial" w:hAnsi="Arial" w:cs="Arial"/>
          <w:sz w:val="24"/>
          <w:szCs w:val="24"/>
          <w:lang w:val="uk-UA"/>
        </w:rPr>
        <w:t xml:space="preserve">включає в себе системи теплозабезпечення, електрозабезпечення, освітлення, водопостачання та водовідведення (каналізацією охоплено тільки м. Мена та селище Макошине, і то частково). </w:t>
      </w:r>
      <w:r>
        <w:rPr>
          <w:rFonts w:ascii="Arial" w:hAnsi="Arial" w:cs="Arial"/>
          <w:sz w:val="24"/>
          <w:szCs w:val="24"/>
          <w:lang w:val="uk-UA"/>
        </w:rPr>
        <w:t xml:space="preserve">Територіальна громада</w:t>
      </w:r>
      <w:r>
        <w:rPr>
          <w:rFonts w:ascii="Arial" w:hAnsi="Arial" w:cs="Arial"/>
          <w:sz w:val="24"/>
          <w:szCs w:val="24"/>
          <w:lang w:val="uk-UA"/>
        </w:rPr>
        <w:t xml:space="preserve"> має задовільну систему джерел енергії для населення на випадок аварійних ситуацій, технічний стан обладнання електроенергетичної системи також є задовільним.</w:t>
      </w:r>
      <w:r/>
    </w:p>
    <w:p>
      <w:pPr>
        <w:pStyle w:val="558"/>
        <w:ind w:firstLine="567"/>
        <w:jc w:val="both"/>
        <w:rPr>
          <w:rFonts w:ascii="Arial" w:hAnsi="Arial" w:cs="Arial"/>
          <w:sz w:val="24"/>
          <w:szCs w:val="24"/>
          <w:lang w:val="uk-UA"/>
        </w:rPr>
      </w:pPr>
      <w:r>
        <w:rPr>
          <w:rFonts w:ascii="Arial" w:hAnsi="Arial" w:cs="Arial"/>
          <w:sz w:val="24"/>
          <w:szCs w:val="24"/>
          <w:lang w:val="uk-UA"/>
        </w:rPr>
        <w:t xml:space="preserve">Вода, яка постачається населенню, має гарну якість. Водопостачання споживачам міста Мена, селища Макошине та інших сіл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здійснюється відповідними комунальними підприємствами та місцевими радами. Разом з тим, інфраструктура мереж водопостачання та водовідведення (в Мені і в </w:t>
      </w:r>
      <w:r>
        <w:rPr>
          <w:rFonts w:ascii="Arial" w:hAnsi="Arial" w:cs="Arial"/>
          <w:sz w:val="24"/>
          <w:szCs w:val="24"/>
          <w:lang w:val="uk-UA"/>
        </w:rPr>
        <w:t xml:space="preserve">Макошині</w:t>
      </w:r>
      <w:r>
        <w:rPr>
          <w:rFonts w:ascii="Arial" w:hAnsi="Arial" w:cs="Arial"/>
          <w:sz w:val="24"/>
          <w:szCs w:val="24"/>
          <w:lang w:val="uk-UA"/>
        </w:rPr>
        <w:t xml:space="preserve">) перебуває у застарілому та аварійному стані й потребує модернізації. </w:t>
      </w:r>
      <w:r>
        <w:rPr>
          <w:rFonts w:ascii="Arial" w:hAnsi="Arial" w:cs="Arial" w:eastAsia="Arial"/>
          <w:sz w:val="24"/>
          <w:szCs w:val="24"/>
          <w:lang w:val="ru-RU"/>
        </w:rPr>
        <w:t xml:space="preserve">Водойми</w:t>
      </w:r>
      <w:r>
        <w:rPr>
          <w:rFonts w:ascii="Arial" w:hAnsi="Arial" w:cs="Arial" w:eastAsia="Arial"/>
          <w:sz w:val="24"/>
          <w:szCs w:val="24"/>
          <w:lang w:val="ru-RU"/>
        </w:rPr>
        <w:t xml:space="preserve"> </w:t>
      </w:r>
      <w:r>
        <w:rPr>
          <w:rFonts w:ascii="Arial" w:hAnsi="Arial" w:cs="Arial"/>
          <w:sz w:val="24"/>
          <w:szCs w:val="24"/>
          <w:lang w:val="uk-UA"/>
        </w:rPr>
        <w:t xml:space="preserve">територіальної громади</w:t>
      </w:r>
      <w:r>
        <w:rPr>
          <w:rFonts w:ascii="Arial" w:hAnsi="Arial" w:cs="Arial" w:eastAsia="Arial"/>
          <w:sz w:val="24"/>
          <w:szCs w:val="24"/>
          <w:lang w:val="ru-RU"/>
        </w:rPr>
        <w:t xml:space="preserve"> </w:t>
      </w:r>
      <w:r>
        <w:rPr>
          <w:rFonts w:ascii="Arial" w:hAnsi="Arial" w:cs="Arial" w:eastAsia="Arial"/>
          <w:sz w:val="24"/>
          <w:szCs w:val="24"/>
          <w:lang w:val="ru-RU"/>
        </w:rPr>
        <w:t xml:space="preserve">також</w:t>
      </w:r>
      <w:r>
        <w:rPr>
          <w:rFonts w:ascii="Arial" w:hAnsi="Arial" w:cs="Arial" w:eastAsia="Arial"/>
          <w:sz w:val="24"/>
          <w:szCs w:val="24"/>
          <w:lang w:val="ru-RU"/>
        </w:rPr>
        <w:t xml:space="preserve"> </w:t>
      </w:r>
      <w:r>
        <w:rPr>
          <w:rFonts w:ascii="Arial" w:hAnsi="Arial" w:cs="Arial" w:eastAsia="Arial"/>
          <w:sz w:val="24"/>
          <w:szCs w:val="24"/>
          <w:lang w:val="ru-RU"/>
        </w:rPr>
        <w:t xml:space="preserve">потребують</w:t>
      </w:r>
      <w:r>
        <w:rPr>
          <w:rFonts w:ascii="Arial" w:hAnsi="Arial" w:cs="Arial" w:eastAsia="Arial"/>
          <w:sz w:val="24"/>
          <w:szCs w:val="24"/>
          <w:lang w:val="ru-RU"/>
        </w:rPr>
        <w:t xml:space="preserve"> </w:t>
      </w:r>
      <w:r>
        <w:rPr>
          <w:rFonts w:ascii="Arial" w:hAnsi="Arial" w:cs="Arial" w:eastAsia="Arial"/>
          <w:sz w:val="24"/>
          <w:szCs w:val="24"/>
          <w:lang w:val="ru-RU"/>
        </w:rPr>
        <w:t xml:space="preserve">оздоровлення</w:t>
      </w:r>
      <w:r>
        <w:rPr>
          <w:rFonts w:ascii="Arial" w:hAnsi="Arial" w:cs="Arial" w:eastAsia="Arial"/>
          <w:sz w:val="24"/>
          <w:szCs w:val="24"/>
          <w:lang w:val="ru-RU"/>
        </w:rPr>
        <w:t xml:space="preserve">. </w:t>
      </w:r>
      <w:r>
        <w:rPr>
          <w:rFonts w:ascii="Arial" w:hAnsi="Arial" w:cs="Arial" w:eastAsia="Arial"/>
          <w:sz w:val="24"/>
          <w:szCs w:val="24"/>
          <w:lang w:val="ru-RU"/>
        </w:rPr>
        <w:t xml:space="preserve">Межі</w:t>
      </w:r>
      <w:r>
        <w:rPr>
          <w:rFonts w:ascii="Arial" w:hAnsi="Arial" w:cs="Arial" w:eastAsia="Arial"/>
          <w:sz w:val="24"/>
          <w:szCs w:val="24"/>
          <w:lang w:val="ru-RU"/>
        </w:rPr>
        <w:t xml:space="preserve"> </w:t>
      </w:r>
      <w:r>
        <w:rPr>
          <w:rFonts w:ascii="Arial" w:hAnsi="Arial" w:cs="Arial" w:eastAsia="Arial"/>
          <w:sz w:val="24"/>
          <w:szCs w:val="24"/>
          <w:lang w:val="ru-RU"/>
        </w:rPr>
        <w:t xml:space="preserve">прибережних</w:t>
      </w:r>
      <w:r>
        <w:rPr>
          <w:rFonts w:ascii="Arial" w:hAnsi="Arial" w:cs="Arial" w:eastAsia="Arial"/>
          <w:sz w:val="24"/>
          <w:szCs w:val="24"/>
          <w:lang w:val="ru-RU"/>
        </w:rPr>
        <w:t xml:space="preserve"> </w:t>
      </w:r>
      <w:r>
        <w:rPr>
          <w:rFonts w:ascii="Arial" w:hAnsi="Arial" w:cs="Arial" w:eastAsia="Arial"/>
          <w:sz w:val="24"/>
          <w:szCs w:val="24"/>
          <w:lang w:val="ru-RU"/>
        </w:rPr>
        <w:t xml:space="preserve">захисних</w:t>
      </w:r>
      <w:r>
        <w:rPr>
          <w:rFonts w:ascii="Arial" w:hAnsi="Arial" w:cs="Arial" w:eastAsia="Arial"/>
          <w:sz w:val="24"/>
          <w:szCs w:val="24"/>
          <w:lang w:val="ru-RU"/>
        </w:rPr>
        <w:t xml:space="preserve"> </w:t>
      </w:r>
      <w:r>
        <w:rPr>
          <w:rFonts w:ascii="Arial" w:hAnsi="Arial" w:cs="Arial" w:eastAsia="Arial"/>
          <w:sz w:val="24"/>
          <w:szCs w:val="24"/>
          <w:lang w:val="ru-RU"/>
        </w:rPr>
        <w:t xml:space="preserve">смуг</w:t>
      </w:r>
      <w:r>
        <w:rPr>
          <w:rFonts w:ascii="Arial" w:hAnsi="Arial" w:cs="Arial" w:eastAsia="Arial"/>
          <w:sz w:val="24"/>
          <w:szCs w:val="24"/>
          <w:lang w:val="ru-RU"/>
        </w:rPr>
        <w:t xml:space="preserve"> та </w:t>
      </w:r>
      <w:r>
        <w:rPr>
          <w:rFonts w:ascii="Arial" w:hAnsi="Arial" w:cs="Arial" w:eastAsia="Arial"/>
          <w:sz w:val="24"/>
          <w:szCs w:val="24"/>
          <w:lang w:val="ru-RU"/>
        </w:rPr>
        <w:t xml:space="preserve">водоохоронних</w:t>
      </w:r>
      <w:r>
        <w:rPr>
          <w:rFonts w:ascii="Arial" w:hAnsi="Arial" w:cs="Arial" w:eastAsia="Arial"/>
          <w:sz w:val="24"/>
          <w:szCs w:val="24"/>
          <w:lang w:val="ru-RU"/>
        </w:rPr>
        <w:t xml:space="preserve"> зон не </w:t>
      </w:r>
      <w:r>
        <w:rPr>
          <w:rFonts w:ascii="Arial" w:hAnsi="Arial" w:cs="Arial" w:eastAsia="Arial"/>
          <w:sz w:val="24"/>
          <w:szCs w:val="24"/>
          <w:lang w:val="ru-RU"/>
        </w:rPr>
        <w:t xml:space="preserve">винесенні</w:t>
      </w:r>
      <w:r>
        <w:rPr>
          <w:rFonts w:ascii="Arial" w:hAnsi="Arial" w:cs="Arial" w:eastAsia="Arial"/>
          <w:sz w:val="24"/>
          <w:szCs w:val="24"/>
          <w:lang w:val="ru-RU"/>
        </w:rPr>
        <w:t xml:space="preserve"> в натуру. </w:t>
      </w:r>
      <w:r/>
    </w:p>
    <w:p>
      <w:pPr>
        <w:pStyle w:val="558"/>
        <w:ind w:firstLine="567"/>
        <w:jc w:val="both"/>
        <w:rPr>
          <w:rFonts w:ascii="Arial" w:hAnsi="Arial" w:cs="Arial"/>
          <w:sz w:val="24"/>
          <w:szCs w:val="24"/>
          <w:lang w:val="uk-UA"/>
        </w:rPr>
      </w:pPr>
      <w:r>
        <w:rPr>
          <w:rFonts w:ascii="Arial" w:hAnsi="Arial" w:cs="Arial"/>
          <w:sz w:val="24"/>
          <w:szCs w:val="24"/>
          <w:lang w:val="uk-UA"/>
        </w:rPr>
        <w:t xml:space="preserve">Об’єкти, зруйновані через стихійні гідрометеорологічні явища протягом останніх років, відсутні. </w:t>
      </w:r>
      <w:r/>
    </w:p>
    <w:p>
      <w:pPr>
        <w:pStyle w:val="558"/>
        <w:ind w:firstLine="567"/>
        <w:jc w:val="both"/>
        <w:rPr>
          <w:rFonts w:ascii="Arial" w:hAnsi="Arial" w:cs="Arial"/>
          <w:sz w:val="24"/>
          <w:szCs w:val="24"/>
          <w:lang w:val="uk-UA"/>
        </w:rPr>
      </w:pPr>
      <w:r>
        <w:rPr>
          <w:rFonts w:ascii="Arial" w:hAnsi="Arial" w:cs="Arial"/>
          <w:sz w:val="24"/>
          <w:szCs w:val="24"/>
          <w:lang w:val="uk-UA"/>
        </w:rPr>
        <w:t xml:space="preserve">Під час стихійних надзвичайних погодних явищ можливі порушення систем енергозабезпечення та водозабезпечення. Надзвичайні погодні явища (сильний вітер та повторюва</w:t>
      </w:r>
      <w:r>
        <w:rPr>
          <w:rFonts w:ascii="Arial" w:hAnsi="Arial" w:cs="Arial"/>
          <w:sz w:val="24"/>
          <w:szCs w:val="24"/>
          <w:lang w:val="uk-UA"/>
        </w:rPr>
        <w:t xml:space="preserve">ність стихійних метеорологічних явищ) підвищують ризик виникнення надзвичайних ситуацій, при яких можливі аварії на лініях електропередач та ін. Не дивлячись на те, що згідно з метеорологічними даними, наведеними в таблиці 4, на території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спостерігається помірна кількість днів з грозою та іншими несприятливими погодними явищами, що може спричинювати пошкодження систем енергопостачання,  інтенсивність таких явищ зростає.</w:t>
      </w:r>
      <w:r/>
    </w:p>
    <w:p>
      <w:pPr>
        <w:pStyle w:val="558"/>
        <w:ind w:firstLine="567"/>
        <w:jc w:val="both"/>
        <w:rPr>
          <w:rFonts w:ascii="Arial" w:hAnsi="Arial" w:cs="Arial"/>
          <w:sz w:val="24"/>
          <w:szCs w:val="24"/>
          <w:lang w:val="uk-UA"/>
        </w:rPr>
      </w:pPr>
      <w:r>
        <w:rPr>
          <w:rFonts w:ascii="Arial" w:hAnsi="Arial" w:cs="Arial"/>
          <w:sz w:val="24"/>
          <w:szCs w:val="24"/>
          <w:lang w:val="uk-UA"/>
        </w:rPr>
        <w:t xml:space="preserve">Загалом, </w:t>
      </w:r>
      <w:r>
        <w:rPr>
          <w:rFonts w:ascii="Arial" w:hAnsi="Arial" w:cs="Arial"/>
          <w:bCs/>
          <w:sz w:val="24"/>
          <w:szCs w:val="24"/>
          <w:lang w:val="uk-UA"/>
        </w:rPr>
        <w:t xml:space="preserve">вразливість енергетичних систем </w:t>
      </w:r>
      <w:r>
        <w:rPr>
          <w:rFonts w:ascii="Arial" w:hAnsi="Arial" w:cs="Arial"/>
          <w:sz w:val="24"/>
          <w:szCs w:val="24"/>
          <w:lang w:val="uk-UA"/>
        </w:rPr>
        <w:t xml:space="preserve">міста </w:t>
      </w:r>
      <w:r>
        <w:rPr>
          <w:rFonts w:ascii="Arial" w:hAnsi="Arial" w:cs="Arial"/>
          <w:bCs/>
          <w:sz w:val="24"/>
          <w:szCs w:val="24"/>
          <w:lang w:val="uk-UA"/>
        </w:rPr>
        <w:t xml:space="preserve">до надзвичайних погодних явищ можна оцінити як помірну. Разом з тим,</w:t>
      </w:r>
      <w:r>
        <w:rPr>
          <w:rFonts w:ascii="Arial" w:hAnsi="Arial" w:cs="Arial"/>
          <w:sz w:val="24"/>
          <w:szCs w:val="24"/>
          <w:lang w:val="uk-UA"/>
        </w:rPr>
        <w:t xml:space="preserve"> міські системи моніторингу та реагування на надзвичайні ситуації повинні бути в постійній готовності. </w:t>
      </w:r>
      <w:r/>
    </w:p>
    <w:p>
      <w:pPr>
        <w:pStyle w:val="558"/>
        <w:ind w:firstLine="567"/>
        <w:jc w:val="both"/>
        <w:rPr>
          <w:rFonts w:ascii="Arial" w:hAnsi="Arial" w:cs="Arial"/>
          <w:sz w:val="24"/>
          <w:szCs w:val="24"/>
          <w:lang w:val="uk-UA"/>
        </w:rPr>
      </w:pPr>
      <w:r>
        <w:rPr>
          <w:rFonts w:ascii="Arial" w:hAnsi="Arial" w:cs="Arial"/>
          <w:sz w:val="24"/>
          <w:szCs w:val="24"/>
          <w:lang w:val="uk-UA"/>
        </w:rPr>
        <w:t xml:space="preserve">Тривалі бездощові періоди негативно впливатимуть на водні об’єкти і висна</w:t>
      </w:r>
      <w:r>
        <w:rPr>
          <w:rFonts w:ascii="Arial" w:hAnsi="Arial" w:cs="Arial"/>
          <w:sz w:val="24"/>
          <w:szCs w:val="24"/>
          <w:lang w:val="uk-UA"/>
        </w:rPr>
        <w:t xml:space="preserve">жуватимуть водоносні горизонти, що потребує спеціального моніторингу та вжиття запобіжних заходів. Вода потрібна не лише для пиття та використання для потреб домогосподарств, а й для підтримки зелених насаджень, боротьби з запиленням на вулицях міст та ін.</w:t>
      </w:r>
      <w:r/>
    </w:p>
    <w:p>
      <w:pPr>
        <w:pStyle w:val="548"/>
        <w:ind w:firstLine="567"/>
        <w:jc w:val="both"/>
        <w:rPr>
          <w:b/>
          <w:lang w:val="uk-UA"/>
        </w:rPr>
      </w:pPr>
      <w:r>
        <w:rPr>
          <w:color w:val="auto"/>
          <w:lang w:val="uk-UA"/>
        </w:rPr>
        <w:t xml:space="preserve">В цілому, вразливість інфраструктури </w:t>
      </w:r>
      <w:r>
        <w:rPr>
          <w:lang w:val="uk-UA"/>
        </w:rPr>
        <w:t xml:space="preserve">Менської міської </w:t>
      </w:r>
      <w:r>
        <w:rPr>
          <w:lang w:val="uk-UA"/>
        </w:rPr>
        <w:t xml:space="preserve">територіальної громади</w:t>
      </w:r>
      <w:r>
        <w:rPr>
          <w:lang w:val="uk-UA"/>
        </w:rPr>
        <w:t xml:space="preserve"> </w:t>
      </w:r>
      <w:r>
        <w:rPr>
          <w:color w:val="auto"/>
          <w:lang w:val="uk-UA"/>
        </w:rPr>
        <w:t xml:space="preserve">до стихійних гідрометеорологічних явищ та інших наслідків зміни клімату оцінюється як помірна. </w:t>
      </w:r>
      <w:r/>
    </w:p>
    <w:p>
      <w:pPr>
        <w:pStyle w:val="536"/>
        <w:ind w:firstLine="709"/>
        <w:jc w:val="both"/>
        <w:spacing w:after="0" w:afterAutospacing="0" w:before="0" w:beforeAutospacing="0"/>
        <w:shd w:val="clear" w:color="auto" w:fill="FFFFFF"/>
        <w:rPr>
          <w:rFonts w:ascii="Arial" w:hAnsi="Arial" w:cs="Arial"/>
          <w:b/>
          <w:lang w:val="uk-UA"/>
        </w:rPr>
      </w:pPr>
      <w:r>
        <w:rPr>
          <w:rFonts w:ascii="Arial" w:hAnsi="Arial" w:cs="Arial"/>
          <w:b/>
          <w:lang w:val="uk-UA"/>
        </w:rPr>
      </w:r>
      <w:r/>
    </w:p>
    <w:p>
      <w:pPr>
        <w:pStyle w:val="536"/>
        <w:ind w:firstLine="709"/>
        <w:jc w:val="both"/>
        <w:spacing w:after="0" w:afterAutospacing="0" w:before="0" w:beforeAutospacing="0"/>
        <w:shd w:val="clear" w:color="auto" w:fill="FFFFFF"/>
        <w:rPr>
          <w:rFonts w:ascii="Arial" w:hAnsi="Arial" w:cs="Arial"/>
          <w:b/>
          <w:lang w:val="uk-UA"/>
        </w:rPr>
      </w:pPr>
      <w:r>
        <w:rPr>
          <w:rFonts w:ascii="Arial" w:hAnsi="Arial" w:cs="Arial"/>
          <w:b/>
          <w:lang w:val="uk-UA"/>
        </w:rPr>
        <w:t xml:space="preserve">Вразливість сільського та лісового господарства до змін клімату</w:t>
      </w:r>
      <w:r/>
    </w:p>
    <w:p>
      <w:pPr>
        <w:pStyle w:val="536"/>
        <w:ind w:firstLine="709"/>
        <w:jc w:val="both"/>
        <w:spacing w:after="0" w:afterAutospacing="0" w:before="0" w:beforeAutospacing="0"/>
        <w:shd w:val="clear" w:color="auto" w:fill="FFFFFF"/>
        <w:rPr>
          <w:rFonts w:ascii="Arial" w:hAnsi="Arial" w:cs="Arial"/>
          <w:b/>
          <w:lang w:val="uk-UA"/>
        </w:rPr>
      </w:pPr>
      <w:r>
        <w:rPr>
          <w:rFonts w:ascii="Arial" w:hAnsi="Arial" w:cs="Arial"/>
          <w:b/>
          <w:lang w:val="uk-UA"/>
        </w:rPr>
      </w:r>
      <w:r/>
    </w:p>
    <w:p>
      <w:pPr>
        <w:pStyle w:val="536"/>
        <w:ind w:firstLine="709"/>
        <w:jc w:val="both"/>
        <w:spacing w:after="0" w:afterAutospacing="0" w:before="0" w:beforeAutospacing="0"/>
        <w:shd w:val="clear" w:color="auto" w:fill="FFFFFF"/>
        <w:rPr>
          <w:rFonts w:ascii="Arial" w:hAnsi="Arial" w:cs="Arial"/>
          <w:lang w:val="uk-UA"/>
        </w:rPr>
      </w:pPr>
      <w:r>
        <w:rPr>
          <w:rFonts w:ascii="Arial" w:hAnsi="Arial" w:cs="Arial"/>
          <w:lang w:val="uk-UA"/>
        </w:rPr>
        <w:t xml:space="preserve">Сільськогосподарська практика притаманна Менської міської </w:t>
      </w:r>
      <w:r>
        <w:rPr>
          <w:rFonts w:ascii="Arial" w:hAnsi="Arial" w:cs="Arial"/>
          <w:lang w:val="uk-UA"/>
        </w:rPr>
        <w:t xml:space="preserve">територіальної громади</w:t>
      </w:r>
      <w:r>
        <w:rPr>
          <w:rFonts w:ascii="Arial" w:hAnsi="Arial" w:cs="Arial"/>
          <w:lang w:val="uk-UA"/>
        </w:rPr>
        <w:t xml:space="preserve">, площа орних земель громади становить 67984 га (81,28% території), преважна більшість землі – чорноземи. Землі придатні для </w:t>
      </w:r>
      <w:r>
        <w:rPr>
          <w:rFonts w:ascii="Arial" w:hAnsi="Arial" w:cs="Arial"/>
          <w:lang w:val="uk-UA"/>
        </w:rPr>
        <w:t xml:space="preserve">великотоварного</w:t>
      </w:r>
      <w:r>
        <w:rPr>
          <w:rFonts w:ascii="Arial" w:hAnsi="Arial" w:cs="Arial"/>
          <w:lang w:val="uk-UA"/>
        </w:rPr>
        <w:t xml:space="preserve"> сільськогосподарського виробництва. Б</w:t>
      </w:r>
      <w:r>
        <w:rPr>
          <w:rFonts w:ascii="Arial" w:hAnsi="Arial" w:cs="Arial"/>
          <w:lang w:val="uk-UA"/>
        </w:rPr>
        <w:t xml:space="preserve">ільше того, в Менській громаді достатньо вологий клімат і значна кількість водних ресурсів (переважно – малі річки та озера). В сільськогосподарських підприємствах вирощують зернові, бобові та технічні культури. В приватних домогосподарствах фермах жителі </w:t>
      </w:r>
      <w:r>
        <w:rPr>
          <w:rFonts w:ascii="Arial" w:hAnsi="Arial" w:cs="Arial"/>
          <w:lang w:val="uk-UA"/>
        </w:rPr>
        <w:t xml:space="preserve">територіальної громади</w:t>
      </w:r>
      <w:r>
        <w:rPr>
          <w:rFonts w:ascii="Arial" w:hAnsi="Arial" w:cs="Arial"/>
          <w:lang w:val="uk-UA"/>
        </w:rPr>
        <w:t xml:space="preserve"> вирощують городину та розводять домашню птицю і худобу. </w:t>
      </w:r>
      <w:r/>
    </w:p>
    <w:p>
      <w:pPr>
        <w:pStyle w:val="536"/>
        <w:ind w:firstLine="709"/>
        <w:jc w:val="both"/>
        <w:spacing w:after="0" w:afterAutospacing="0" w:before="0" w:beforeAutospacing="0"/>
        <w:shd w:val="clear" w:color="auto" w:fill="FFFFFF"/>
        <w:rPr>
          <w:rFonts w:ascii="Arial" w:hAnsi="Arial" w:cs="Arial"/>
          <w:color w:val="000000"/>
          <w:shd w:val="clear" w:color="auto" w:fill="FFFFFF"/>
          <w:lang w:val="uk-UA"/>
        </w:rPr>
      </w:pPr>
      <w:r>
        <w:rPr>
          <w:rFonts w:ascii="Arial" w:hAnsi="Arial" w:cs="Arial"/>
          <w:lang w:val="uk-UA"/>
        </w:rPr>
        <w:t xml:space="preserve">Лісогосподарські площі займають порівняно незначну площі, тому лісове господарство не займає відчутних позицій в економіці </w:t>
      </w:r>
      <w:r>
        <w:rPr>
          <w:rFonts w:ascii="Arial" w:hAnsi="Arial" w:cs="Arial"/>
          <w:lang w:val="uk-UA"/>
        </w:rPr>
        <w:t xml:space="preserve">територіальної громади</w:t>
      </w:r>
      <w:r>
        <w:rPr>
          <w:rFonts w:ascii="Arial" w:hAnsi="Arial" w:cs="Arial"/>
          <w:lang w:val="uk-UA"/>
        </w:rPr>
        <w:t xml:space="preserve">.</w:t>
      </w:r>
      <w:r>
        <w:rPr>
          <w:rFonts w:ascii="Arial" w:hAnsi="Arial" w:cs="Arial"/>
          <w:color w:val="000000"/>
          <w:shd w:val="clear" w:color="auto" w:fill="FFFFFF"/>
          <w:lang w:val="uk-UA"/>
        </w:rPr>
        <w:t xml:space="preserve"> </w:t>
      </w:r>
      <w:r/>
    </w:p>
    <w:p>
      <w:pPr>
        <w:pStyle w:val="536"/>
        <w:ind w:firstLine="709"/>
        <w:jc w:val="both"/>
        <w:spacing w:after="0" w:afterAutospacing="0" w:before="0" w:beforeAutospacing="0"/>
        <w:shd w:val="clear" w:color="auto" w:fill="FFFFFF"/>
        <w:rPr>
          <w:rFonts w:ascii="Arial" w:hAnsi="Arial" w:cs="Arial"/>
          <w:color w:val="000000"/>
          <w:shd w:val="clear" w:color="auto" w:fill="FFFFFF"/>
          <w:lang w:val="uk-UA"/>
        </w:rPr>
      </w:pPr>
      <w:r>
        <w:rPr>
          <w:rFonts w:ascii="Arial" w:hAnsi="Arial" w:cs="Arial"/>
          <w:color w:val="000000"/>
          <w:shd w:val="clear" w:color="auto" w:fill="FFFFFF"/>
          <w:lang w:val="uk-UA"/>
        </w:rPr>
        <w:t xml:space="preserve">Лісове господарство та сільське господарство міста є відчутно вразливими перш за все до теплових аномалій. Але значними є й опосередковані загрози. Періоди високих температур суттєво підвищують водоспоживання та посилюють</w:t>
      </w:r>
      <w:r>
        <w:rPr>
          <w:rFonts w:ascii="Arial" w:hAnsi="Arial" w:cs="Arial"/>
          <w:color w:val="000000"/>
          <w:shd w:val="clear" w:color="auto" w:fill="FFFFFF"/>
          <w:lang w:val="uk-UA"/>
        </w:rPr>
        <w:t xml:space="preserve"> пожежну безпеку в лісових та лісопаркових зонах. Загальне потепління сприяє поширенню шкідників та неаборигенних видів, що вносять збурення в місцеві екосистеми. Тому вразливість цих секторів до кліматичних процесів є помірною з тенденцією до підвищеної. </w:t>
      </w:r>
      <w:r/>
    </w:p>
    <w:p>
      <w:pPr>
        <w:ind w:left="318"/>
        <w:jc w:val="both"/>
        <w:spacing w:lineRule="auto" w:line="240" w:after="0"/>
        <w:tabs>
          <w:tab w:val="left" w:pos="318" w:leader="none"/>
        </w:tabs>
        <w:rPr>
          <w:rFonts w:ascii="Arial" w:hAnsi="Arial" w:cs="Arial"/>
          <w:b/>
          <w:sz w:val="24"/>
          <w:szCs w:val="24"/>
          <w:lang w:val="uk-UA"/>
        </w:rPr>
      </w:pPr>
      <w:r>
        <w:rPr>
          <w:rFonts w:ascii="Arial" w:hAnsi="Arial" w:cs="Arial"/>
          <w:b/>
          <w:sz w:val="24"/>
          <w:szCs w:val="24"/>
          <w:lang w:val="uk-UA"/>
        </w:rPr>
      </w:r>
      <w:r/>
    </w:p>
    <w:p>
      <w:pPr>
        <w:ind w:left="318"/>
        <w:jc w:val="both"/>
        <w:spacing w:lineRule="auto" w:line="240" w:after="0"/>
        <w:tabs>
          <w:tab w:val="left" w:pos="318" w:leader="none"/>
        </w:tabs>
        <w:rPr>
          <w:rFonts w:ascii="Arial" w:hAnsi="Arial" w:cs="Arial"/>
          <w:b/>
          <w:sz w:val="24"/>
          <w:szCs w:val="24"/>
          <w:lang w:val="uk-UA"/>
        </w:rPr>
      </w:pPr>
      <w:r>
        <w:rPr>
          <w:rFonts w:ascii="Arial" w:hAnsi="Arial" w:cs="Arial"/>
          <w:b/>
          <w:sz w:val="24"/>
          <w:szCs w:val="24"/>
          <w:lang w:val="uk-UA"/>
        </w:rPr>
        <w:t xml:space="preserve">Вразливість природного довкілля та біологічного різноманіття до змін клімату</w:t>
      </w:r>
      <w:r/>
    </w:p>
    <w:p>
      <w:pPr>
        <w:ind w:left="318"/>
        <w:jc w:val="both"/>
        <w:spacing w:lineRule="auto" w:line="240" w:after="0"/>
        <w:tabs>
          <w:tab w:val="left" w:pos="318" w:leader="none"/>
        </w:tabs>
        <w:rPr>
          <w:rFonts w:ascii="Arial" w:hAnsi="Arial" w:cs="Arial"/>
          <w:b/>
          <w:sz w:val="24"/>
          <w:szCs w:val="24"/>
          <w:lang w:val="uk-UA"/>
        </w:rPr>
      </w:pPr>
      <w:r>
        <w:rPr>
          <w:rFonts w:ascii="Arial" w:hAnsi="Arial" w:cs="Arial"/>
          <w:b/>
          <w:sz w:val="24"/>
          <w:szCs w:val="24"/>
          <w:lang w:val="uk-UA"/>
        </w:rPr>
      </w:r>
      <w:r/>
    </w:p>
    <w:p>
      <w:pPr>
        <w:pStyle w:val="558"/>
        <w:ind w:firstLine="720"/>
        <w:jc w:val="both"/>
        <w:rPr>
          <w:rFonts w:ascii="Arial" w:hAnsi="Arial" w:cs="Arial"/>
          <w:sz w:val="24"/>
          <w:szCs w:val="24"/>
          <w:lang w:val="uk-UA"/>
        </w:rPr>
      </w:pPr>
      <w:r>
        <w:rPr>
          <w:rFonts w:ascii="Arial" w:hAnsi="Arial" w:cs="Arial"/>
          <w:sz w:val="24"/>
          <w:szCs w:val="24"/>
          <w:lang w:val="uk-UA"/>
        </w:rPr>
        <w:t xml:space="preserve">Як вже говорилося вище,  Менська міська </w:t>
      </w:r>
      <w:r>
        <w:rPr>
          <w:rFonts w:ascii="Arial" w:hAnsi="Arial" w:cs="Arial"/>
          <w:sz w:val="24"/>
          <w:szCs w:val="24"/>
          <w:lang w:val="uk-UA"/>
        </w:rPr>
        <w:t xml:space="preserve">територіальна громада</w:t>
      </w:r>
      <w:r>
        <w:rPr>
          <w:rFonts w:ascii="Arial" w:hAnsi="Arial" w:cs="Arial"/>
          <w:sz w:val="24"/>
          <w:szCs w:val="24"/>
          <w:lang w:val="uk-UA"/>
        </w:rPr>
        <w:t xml:space="preserve"> розташована в регіоні з розвиненою річковою мережею, але незначною часткою лісо вкритих площ.</w:t>
      </w:r>
      <w:r/>
    </w:p>
    <w:p>
      <w:pPr>
        <w:ind w:firstLine="720"/>
        <w:jc w:val="both"/>
        <w:spacing w:lineRule="auto" w:line="240" w:after="0"/>
        <w:rPr>
          <w:rFonts w:ascii="Arial" w:hAnsi="Arial" w:cs="Arial"/>
          <w:color w:val="000000"/>
          <w:sz w:val="24"/>
          <w:szCs w:val="24"/>
        </w:rPr>
      </w:pPr>
      <w:r>
        <w:rPr>
          <w:rFonts w:ascii="Arial" w:hAnsi="Arial" w:cs="Arial"/>
          <w:color w:val="000000"/>
          <w:sz w:val="24"/>
          <w:szCs w:val="24"/>
        </w:rPr>
        <w:t xml:space="preserve">В </w:t>
      </w:r>
      <w:r>
        <w:rPr>
          <w:rFonts w:ascii="Arial" w:hAnsi="Arial" w:cs="Arial"/>
          <w:color w:val="000000"/>
          <w:sz w:val="24"/>
          <w:szCs w:val="24"/>
        </w:rPr>
        <w:t xml:space="preserve">місті</w:t>
      </w:r>
      <w:r>
        <w:rPr>
          <w:rFonts w:ascii="Arial" w:hAnsi="Arial" w:cs="Arial"/>
          <w:color w:val="000000"/>
          <w:sz w:val="24"/>
          <w:szCs w:val="24"/>
        </w:rPr>
        <w:t xml:space="preserve"> Мена </w:t>
      </w:r>
      <w:r>
        <w:rPr>
          <w:rFonts w:ascii="Arial" w:hAnsi="Arial" w:cs="Arial"/>
          <w:color w:val="000000"/>
          <w:sz w:val="24"/>
          <w:szCs w:val="24"/>
        </w:rPr>
        <w:t xml:space="preserve">діє</w:t>
      </w:r>
      <w:r>
        <w:rPr>
          <w:rFonts w:ascii="Arial" w:hAnsi="Arial" w:cs="Arial"/>
          <w:color w:val="000000"/>
          <w:sz w:val="24"/>
          <w:szCs w:val="24"/>
        </w:rPr>
        <w:t xml:space="preserve"> </w:t>
      </w:r>
      <w:r>
        <w:rPr>
          <w:rFonts w:ascii="Arial" w:hAnsi="Arial" w:cs="Arial"/>
          <w:color w:val="000000"/>
          <w:sz w:val="24"/>
          <w:szCs w:val="24"/>
        </w:rPr>
        <w:t xml:space="preserve">зоологічний</w:t>
      </w:r>
      <w:r>
        <w:rPr>
          <w:rFonts w:ascii="Arial" w:hAnsi="Arial" w:cs="Arial"/>
          <w:color w:val="000000"/>
          <w:sz w:val="24"/>
          <w:szCs w:val="24"/>
        </w:rPr>
        <w:t xml:space="preserve"> парк </w:t>
      </w:r>
      <w:r>
        <w:rPr>
          <w:rFonts w:ascii="Arial" w:hAnsi="Arial" w:cs="Arial"/>
          <w:color w:val="000000"/>
          <w:sz w:val="24"/>
          <w:szCs w:val="24"/>
        </w:rPr>
        <w:t xml:space="preserve">загальнодержавного</w:t>
      </w:r>
      <w:r>
        <w:rPr>
          <w:rFonts w:ascii="Arial" w:hAnsi="Arial" w:cs="Arial"/>
          <w:color w:val="000000"/>
          <w:sz w:val="24"/>
          <w:szCs w:val="24"/>
        </w:rPr>
        <w:t xml:space="preserve"> </w:t>
      </w:r>
      <w:r>
        <w:rPr>
          <w:rFonts w:ascii="Arial" w:hAnsi="Arial" w:cs="Arial"/>
          <w:color w:val="000000"/>
          <w:sz w:val="24"/>
          <w:szCs w:val="24"/>
        </w:rPr>
        <w:t xml:space="preserve">значення</w:t>
      </w:r>
      <w:r>
        <w:rPr>
          <w:rFonts w:ascii="Arial" w:hAnsi="Arial" w:cs="Arial"/>
          <w:color w:val="000000"/>
          <w:sz w:val="24"/>
          <w:szCs w:val="24"/>
        </w:rPr>
        <w:t xml:space="preserve"> – </w:t>
      </w:r>
      <w:r>
        <w:rPr>
          <w:rFonts w:ascii="Arial" w:hAnsi="Arial" w:cs="Arial"/>
          <w:color w:val="000000"/>
          <w:sz w:val="24"/>
          <w:szCs w:val="24"/>
        </w:rPr>
        <w:t xml:space="preserve">єдиний</w:t>
      </w:r>
      <w:r>
        <w:rPr>
          <w:rFonts w:ascii="Arial" w:hAnsi="Arial" w:cs="Arial"/>
          <w:color w:val="000000"/>
          <w:sz w:val="24"/>
          <w:szCs w:val="24"/>
        </w:rPr>
        <w:t xml:space="preserve"> в </w:t>
      </w:r>
      <w:r>
        <w:rPr>
          <w:rFonts w:ascii="Arial" w:hAnsi="Arial" w:cs="Arial"/>
          <w:color w:val="000000"/>
          <w:sz w:val="24"/>
          <w:szCs w:val="24"/>
        </w:rPr>
        <w:t xml:space="preserve">Україні</w:t>
      </w:r>
      <w:r>
        <w:rPr>
          <w:rFonts w:ascii="Arial" w:hAnsi="Arial" w:cs="Arial"/>
          <w:color w:val="000000"/>
          <w:sz w:val="24"/>
          <w:szCs w:val="24"/>
        </w:rPr>
        <w:t xml:space="preserve">, </w:t>
      </w:r>
      <w:r>
        <w:rPr>
          <w:rFonts w:ascii="Arial" w:hAnsi="Arial" w:cs="Arial"/>
          <w:color w:val="000000"/>
          <w:sz w:val="24"/>
          <w:szCs w:val="24"/>
        </w:rPr>
        <w:t xml:space="preserve">розташований</w:t>
      </w:r>
      <w:r>
        <w:rPr>
          <w:rFonts w:ascii="Arial" w:hAnsi="Arial" w:cs="Arial"/>
          <w:color w:val="000000"/>
          <w:sz w:val="24"/>
          <w:szCs w:val="24"/>
        </w:rPr>
        <w:t xml:space="preserve"> у </w:t>
      </w:r>
      <w:r>
        <w:rPr>
          <w:rFonts w:ascii="Arial" w:hAnsi="Arial" w:cs="Arial"/>
          <w:color w:val="000000"/>
          <w:sz w:val="24"/>
          <w:szCs w:val="24"/>
        </w:rPr>
        <w:t xml:space="preserve">місті</w:t>
      </w:r>
      <w:r>
        <w:rPr>
          <w:rFonts w:ascii="Arial" w:hAnsi="Arial" w:cs="Arial"/>
          <w:color w:val="000000"/>
          <w:sz w:val="24"/>
          <w:szCs w:val="24"/>
        </w:rPr>
        <w:t xml:space="preserve"> районного масштабу. До </w:t>
      </w:r>
      <w:r>
        <w:rPr>
          <w:rFonts w:ascii="Arial" w:hAnsi="Arial" w:cs="Arial"/>
          <w:color w:val="000000"/>
          <w:sz w:val="24"/>
          <w:szCs w:val="24"/>
        </w:rPr>
        <w:t xml:space="preserve">околиць</w:t>
      </w:r>
      <w:r>
        <w:rPr>
          <w:rFonts w:ascii="Arial" w:hAnsi="Arial" w:cs="Arial"/>
          <w:color w:val="000000"/>
          <w:sz w:val="24"/>
          <w:szCs w:val="24"/>
        </w:rPr>
        <w:t xml:space="preserve"> м. Мена </w:t>
      </w:r>
      <w:r>
        <w:rPr>
          <w:rFonts w:ascii="Arial" w:hAnsi="Arial" w:cs="Arial"/>
          <w:color w:val="000000"/>
          <w:sz w:val="24"/>
          <w:szCs w:val="24"/>
        </w:rPr>
        <w:t xml:space="preserve">примикають</w:t>
      </w:r>
      <w:r>
        <w:rPr>
          <w:rFonts w:ascii="Arial" w:hAnsi="Arial" w:cs="Arial"/>
          <w:color w:val="000000"/>
          <w:sz w:val="24"/>
          <w:szCs w:val="24"/>
        </w:rPr>
        <w:t xml:space="preserve"> </w:t>
      </w:r>
      <w:r>
        <w:rPr>
          <w:rFonts w:ascii="Arial" w:hAnsi="Arial" w:cs="Arial"/>
          <w:color w:val="000000"/>
          <w:sz w:val="24"/>
          <w:szCs w:val="24"/>
        </w:rPr>
        <w:t xml:space="preserve">незначні</w:t>
      </w:r>
      <w:r>
        <w:rPr>
          <w:rFonts w:ascii="Arial" w:hAnsi="Arial" w:cs="Arial"/>
          <w:color w:val="000000"/>
          <w:sz w:val="24"/>
          <w:szCs w:val="24"/>
        </w:rPr>
        <w:t xml:space="preserve"> за </w:t>
      </w:r>
      <w:r>
        <w:rPr>
          <w:rFonts w:ascii="Arial" w:hAnsi="Arial" w:cs="Arial"/>
          <w:color w:val="000000"/>
          <w:sz w:val="24"/>
          <w:szCs w:val="24"/>
        </w:rPr>
        <w:t xml:space="preserve">площею</w:t>
      </w:r>
      <w:r>
        <w:rPr>
          <w:rFonts w:ascii="Arial" w:hAnsi="Arial" w:cs="Arial"/>
          <w:color w:val="000000"/>
          <w:sz w:val="24"/>
          <w:szCs w:val="24"/>
        </w:rPr>
        <w:t xml:space="preserve"> </w:t>
      </w:r>
      <w:r>
        <w:rPr>
          <w:rFonts w:ascii="Arial" w:hAnsi="Arial" w:cs="Arial"/>
          <w:color w:val="000000"/>
          <w:sz w:val="24"/>
          <w:szCs w:val="24"/>
        </w:rPr>
        <w:t xml:space="preserve">ліси</w:t>
      </w:r>
      <w:r>
        <w:rPr>
          <w:rFonts w:ascii="Arial" w:hAnsi="Arial" w:cs="Arial"/>
          <w:color w:val="000000"/>
          <w:sz w:val="24"/>
          <w:szCs w:val="24"/>
        </w:rPr>
        <w:t xml:space="preserve">, </w:t>
      </w:r>
      <w:r>
        <w:rPr>
          <w:rFonts w:ascii="Arial" w:hAnsi="Arial" w:cs="Arial"/>
          <w:color w:val="000000"/>
          <w:sz w:val="24"/>
          <w:szCs w:val="24"/>
        </w:rPr>
        <w:t xml:space="preserve">які</w:t>
      </w:r>
      <w:r>
        <w:rPr>
          <w:rFonts w:ascii="Arial" w:hAnsi="Arial" w:cs="Arial"/>
          <w:color w:val="000000"/>
          <w:sz w:val="24"/>
          <w:szCs w:val="24"/>
        </w:rPr>
        <w:t xml:space="preserve"> </w:t>
      </w:r>
      <w:r>
        <w:rPr>
          <w:rFonts w:ascii="Arial" w:hAnsi="Arial" w:cs="Arial"/>
          <w:color w:val="000000"/>
          <w:sz w:val="24"/>
          <w:szCs w:val="24"/>
        </w:rPr>
        <w:t xml:space="preserve">використовують</w:t>
      </w:r>
      <w:r>
        <w:rPr>
          <w:rFonts w:ascii="Arial" w:hAnsi="Arial" w:cs="Arial"/>
          <w:color w:val="000000"/>
          <w:sz w:val="24"/>
          <w:szCs w:val="24"/>
        </w:rPr>
        <w:t xml:space="preserve"> для </w:t>
      </w:r>
      <w:r>
        <w:rPr>
          <w:rFonts w:ascii="Arial" w:hAnsi="Arial" w:cs="Arial"/>
          <w:color w:val="000000"/>
          <w:sz w:val="24"/>
          <w:szCs w:val="24"/>
        </w:rPr>
        <w:t xml:space="preserve">рекреації</w:t>
      </w:r>
      <w:r>
        <w:rPr>
          <w:rFonts w:ascii="Arial" w:hAnsi="Arial" w:cs="Arial"/>
          <w:color w:val="000000"/>
          <w:sz w:val="24"/>
          <w:szCs w:val="24"/>
        </w:rPr>
        <w:t xml:space="preserve">. </w:t>
      </w:r>
      <w:r>
        <w:rPr>
          <w:rFonts w:ascii="Arial" w:hAnsi="Arial" w:cs="Arial"/>
          <w:color w:val="000000"/>
          <w:sz w:val="24"/>
          <w:szCs w:val="24"/>
        </w:rPr>
        <w:t xml:space="preserve">Зокрема</w:t>
      </w:r>
      <w:r>
        <w:rPr>
          <w:rFonts w:ascii="Arial" w:hAnsi="Arial" w:cs="Arial"/>
          <w:color w:val="000000"/>
          <w:sz w:val="24"/>
          <w:szCs w:val="24"/>
        </w:rPr>
        <w:t xml:space="preserve">, </w:t>
      </w:r>
      <w:r>
        <w:rPr>
          <w:rFonts w:ascii="Arial" w:hAnsi="Arial" w:cs="Arial"/>
          <w:color w:val="000000"/>
          <w:sz w:val="24"/>
          <w:szCs w:val="24"/>
        </w:rPr>
        <w:t xml:space="preserve">посеред</w:t>
      </w:r>
      <w:r>
        <w:rPr>
          <w:rFonts w:ascii="Arial" w:hAnsi="Arial" w:cs="Arial"/>
          <w:color w:val="000000"/>
          <w:sz w:val="24"/>
          <w:szCs w:val="24"/>
        </w:rPr>
        <w:t xml:space="preserve"> соснового </w:t>
      </w:r>
      <w:r>
        <w:rPr>
          <w:rFonts w:ascii="Arial" w:hAnsi="Arial" w:cs="Arial"/>
          <w:color w:val="000000"/>
          <w:sz w:val="24"/>
          <w:szCs w:val="24"/>
        </w:rPr>
        <w:t xml:space="preserve">лісу</w:t>
      </w:r>
      <w:r>
        <w:rPr>
          <w:rFonts w:ascii="Arial" w:hAnsi="Arial" w:cs="Arial"/>
          <w:color w:val="000000"/>
          <w:sz w:val="24"/>
          <w:szCs w:val="24"/>
        </w:rPr>
        <w:t xml:space="preserve"> на </w:t>
      </w:r>
      <w:r>
        <w:rPr>
          <w:rFonts w:ascii="Arial" w:hAnsi="Arial" w:cs="Arial"/>
          <w:color w:val="000000"/>
          <w:sz w:val="24"/>
          <w:szCs w:val="24"/>
        </w:rPr>
        <w:t xml:space="preserve">березі</w:t>
      </w:r>
      <w:r>
        <w:rPr>
          <w:rFonts w:ascii="Arial" w:hAnsi="Arial" w:cs="Arial"/>
          <w:color w:val="000000"/>
          <w:sz w:val="24"/>
          <w:szCs w:val="24"/>
        </w:rPr>
        <w:t xml:space="preserve"> </w:t>
      </w:r>
      <w:r>
        <w:rPr>
          <w:rFonts w:ascii="Arial" w:hAnsi="Arial" w:cs="Arial"/>
          <w:color w:val="000000"/>
          <w:sz w:val="24"/>
          <w:szCs w:val="24"/>
        </w:rPr>
        <w:t xml:space="preserve">однойменного</w:t>
      </w:r>
      <w:r>
        <w:rPr>
          <w:rFonts w:ascii="Arial" w:hAnsi="Arial" w:cs="Arial"/>
          <w:color w:val="000000"/>
          <w:sz w:val="24"/>
          <w:szCs w:val="24"/>
        </w:rPr>
        <w:t xml:space="preserve"> озеру </w:t>
      </w:r>
      <w:r>
        <w:rPr>
          <w:rFonts w:ascii="Arial" w:hAnsi="Arial" w:cs="Arial"/>
          <w:color w:val="000000"/>
          <w:sz w:val="24"/>
          <w:szCs w:val="24"/>
        </w:rPr>
        <w:t xml:space="preserve">розташований</w:t>
      </w:r>
      <w:r>
        <w:rPr>
          <w:rFonts w:ascii="Arial" w:hAnsi="Arial" w:cs="Arial"/>
          <w:color w:val="000000"/>
          <w:sz w:val="24"/>
          <w:szCs w:val="24"/>
        </w:rPr>
        <w:t xml:space="preserve"> </w:t>
      </w:r>
      <w:r>
        <w:rPr>
          <w:rFonts w:ascii="Arial" w:hAnsi="Arial" w:cs="Arial"/>
          <w:color w:val="000000"/>
          <w:sz w:val="24"/>
          <w:szCs w:val="24"/>
        </w:rPr>
        <w:t xml:space="preserve">санаторій</w:t>
      </w:r>
      <w:r>
        <w:rPr>
          <w:rFonts w:ascii="Arial" w:hAnsi="Arial" w:cs="Arial"/>
          <w:color w:val="000000"/>
          <w:sz w:val="24"/>
          <w:szCs w:val="24"/>
        </w:rPr>
        <w:t xml:space="preserve"> «Остреч». В </w:t>
      </w:r>
      <w:r>
        <w:rPr>
          <w:rFonts w:ascii="Arial" w:hAnsi="Arial" w:cs="Arial"/>
          <w:color w:val="000000"/>
          <w:sz w:val="24"/>
          <w:szCs w:val="24"/>
        </w:rPr>
        <w:t xml:space="preserve">селі</w:t>
      </w:r>
      <w:r>
        <w:rPr>
          <w:rFonts w:ascii="Arial" w:hAnsi="Arial" w:cs="Arial"/>
          <w:color w:val="000000"/>
          <w:sz w:val="24"/>
          <w:szCs w:val="24"/>
        </w:rPr>
        <w:t xml:space="preserve"> </w:t>
      </w:r>
      <w:r>
        <w:rPr>
          <w:rFonts w:ascii="Arial" w:hAnsi="Arial" w:cs="Arial"/>
          <w:color w:val="000000"/>
          <w:sz w:val="24"/>
          <w:szCs w:val="24"/>
        </w:rPr>
        <w:t xml:space="preserve">Стольне</w:t>
      </w:r>
      <w:r>
        <w:rPr>
          <w:rFonts w:ascii="Arial" w:hAnsi="Arial" w:cs="Arial"/>
          <w:color w:val="000000"/>
          <w:sz w:val="24"/>
          <w:szCs w:val="24"/>
        </w:rPr>
        <w:t xml:space="preserve"> є парк </w:t>
      </w:r>
      <w:r>
        <w:rPr>
          <w:rFonts w:ascii="Arial" w:hAnsi="Arial" w:cs="Arial"/>
          <w:color w:val="000000"/>
          <w:sz w:val="24"/>
          <w:szCs w:val="24"/>
        </w:rPr>
        <w:t xml:space="preserve">дендрологічного</w:t>
      </w:r>
      <w:r>
        <w:rPr>
          <w:rFonts w:ascii="Arial" w:hAnsi="Arial" w:cs="Arial"/>
          <w:color w:val="000000"/>
          <w:sz w:val="24"/>
          <w:szCs w:val="24"/>
        </w:rPr>
        <w:t xml:space="preserve"> типу </w:t>
      </w:r>
      <w:r>
        <w:rPr>
          <w:rFonts w:ascii="Arial" w:hAnsi="Arial" w:cs="Arial"/>
          <w:color w:val="000000"/>
          <w:sz w:val="24"/>
          <w:szCs w:val="24"/>
        </w:rPr>
        <w:t xml:space="preserve">із</w:t>
      </w:r>
      <w:r>
        <w:rPr>
          <w:rFonts w:ascii="Arial" w:hAnsi="Arial" w:cs="Arial"/>
          <w:color w:val="000000"/>
          <w:sz w:val="24"/>
          <w:szCs w:val="24"/>
        </w:rPr>
        <w:t xml:space="preserve"> системою </w:t>
      </w:r>
      <w:r>
        <w:rPr>
          <w:rFonts w:ascii="Arial" w:hAnsi="Arial" w:cs="Arial"/>
          <w:color w:val="000000"/>
          <w:sz w:val="24"/>
          <w:szCs w:val="24"/>
        </w:rPr>
        <w:t xml:space="preserve">ставків</w:t>
      </w:r>
      <w:r>
        <w:rPr>
          <w:rFonts w:ascii="Arial" w:hAnsi="Arial" w:cs="Arial"/>
          <w:color w:val="000000"/>
          <w:sz w:val="24"/>
          <w:szCs w:val="24"/>
        </w:rPr>
        <w:t xml:space="preserve"> (ХІХ ст.), але не </w:t>
      </w:r>
      <w:r>
        <w:rPr>
          <w:rFonts w:ascii="Arial" w:hAnsi="Arial" w:cs="Arial"/>
          <w:color w:val="000000"/>
          <w:sz w:val="24"/>
          <w:szCs w:val="24"/>
        </w:rPr>
        <w:t xml:space="preserve">задіяний</w:t>
      </w:r>
      <w:r>
        <w:rPr>
          <w:rFonts w:ascii="Arial" w:hAnsi="Arial" w:cs="Arial"/>
          <w:color w:val="000000"/>
          <w:sz w:val="24"/>
          <w:szCs w:val="24"/>
        </w:rPr>
        <w:t xml:space="preserve"> в </w:t>
      </w:r>
      <w:r>
        <w:rPr>
          <w:rFonts w:ascii="Arial" w:hAnsi="Arial" w:cs="Arial"/>
          <w:color w:val="000000"/>
          <w:sz w:val="24"/>
          <w:szCs w:val="24"/>
        </w:rPr>
        <w:t xml:space="preserve">туристично-оздоровчій</w:t>
      </w:r>
      <w:r>
        <w:rPr>
          <w:rFonts w:ascii="Arial" w:hAnsi="Arial" w:cs="Arial"/>
          <w:color w:val="000000"/>
          <w:sz w:val="24"/>
          <w:szCs w:val="24"/>
        </w:rPr>
        <w:t xml:space="preserve"> </w:t>
      </w:r>
      <w:r>
        <w:rPr>
          <w:rFonts w:ascii="Arial" w:hAnsi="Arial" w:cs="Arial"/>
          <w:color w:val="000000"/>
          <w:sz w:val="24"/>
          <w:szCs w:val="24"/>
        </w:rPr>
        <w:t xml:space="preserve">діяльності</w:t>
      </w:r>
      <w:r>
        <w:rPr>
          <w:rFonts w:ascii="Arial" w:hAnsi="Arial" w:cs="Arial"/>
          <w:color w:val="000000"/>
          <w:sz w:val="24"/>
          <w:szCs w:val="24"/>
        </w:rPr>
        <w:t xml:space="preserve">. </w:t>
      </w:r>
      <w:r/>
    </w:p>
    <w:p>
      <w:pPr>
        <w:pStyle w:val="558"/>
        <w:ind w:firstLine="720"/>
        <w:jc w:val="both"/>
        <w:rPr>
          <w:rFonts w:ascii="Arial" w:hAnsi="Arial" w:cs="Arial"/>
          <w:sz w:val="24"/>
          <w:szCs w:val="24"/>
          <w:lang w:val="uk-UA"/>
        </w:rPr>
      </w:pPr>
      <w:r>
        <w:rPr>
          <w:rFonts w:ascii="Arial" w:hAnsi="Arial" w:cs="Arial"/>
          <w:sz w:val="24"/>
          <w:szCs w:val="24"/>
          <w:lang w:val="uk-UA"/>
        </w:rPr>
        <w:t xml:space="preserve">Окрім цього, в населених пунктах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звичайно ж є зелені зони та захисні смуги вздовж берегів водних об’єктів. До зеленої зони м. Мена та інших населених пунктів належать зелені насадження загального кор</w:t>
      </w:r>
      <w:r>
        <w:rPr>
          <w:rFonts w:ascii="Arial" w:hAnsi="Arial" w:cs="Arial"/>
          <w:sz w:val="24"/>
          <w:szCs w:val="24"/>
          <w:lang w:val="uk-UA"/>
        </w:rPr>
        <w:t xml:space="preserve">истування (сквери, парки та ін.), зелені насадження обмеженого користування (такі, як насадження на територіях навколо громадських і житлових будівель, шкіл, дитячих закладів, закладів охорони здоров'я, складських територій тощо); зелені насадження спеціал</w:t>
      </w:r>
      <w:r>
        <w:rPr>
          <w:rFonts w:ascii="Arial" w:hAnsi="Arial" w:cs="Arial"/>
          <w:sz w:val="24"/>
          <w:szCs w:val="24"/>
          <w:lang w:val="uk-UA"/>
        </w:rPr>
        <w:t xml:space="preserve">ьного призначення (зокрема, насадження вздовж вулиць, у санітарно-захисних і охоронних зонах, на територіях кладовищ, вздовж ліній електропередачі високої напруги, пришляхові насадження в межах населених пунктів, захисні, водоохоронні та інші насадження). </w:t>
      </w:r>
      <w:r/>
    </w:p>
    <w:p>
      <w:pPr>
        <w:pStyle w:val="558"/>
        <w:ind w:firstLine="720"/>
        <w:jc w:val="both"/>
        <w:rPr>
          <w:rFonts w:ascii="Arial" w:hAnsi="Arial" w:cs="Arial"/>
          <w:sz w:val="24"/>
          <w:szCs w:val="24"/>
          <w:lang w:val="uk-UA"/>
        </w:rPr>
      </w:pPr>
      <w:r>
        <w:rPr>
          <w:rFonts w:ascii="Arial" w:hAnsi="Arial" w:cs="Arial"/>
          <w:sz w:val="24"/>
          <w:szCs w:val="24"/>
          <w:lang w:val="uk-UA"/>
        </w:rPr>
        <w:t xml:space="preserve">Зелені насадження (парки, сквери, ліси та ін.) виконують буферну роль, створюють бар’єр для хвилям тепла та поліпшуючі кліматичні характеристики населених пунктів і таким чином захищають громадян від вразливого впливу теплових аномалій. </w:t>
      </w:r>
      <w:r/>
    </w:p>
    <w:p>
      <w:pPr>
        <w:pStyle w:val="558"/>
        <w:ind w:firstLine="720"/>
        <w:jc w:val="both"/>
        <w:rPr>
          <w:rFonts w:ascii="Arial" w:hAnsi="Arial" w:cs="Arial"/>
          <w:sz w:val="24"/>
          <w:szCs w:val="24"/>
          <w:lang w:val="uk-UA"/>
        </w:rPr>
      </w:pPr>
      <w:r>
        <w:rPr>
          <w:rFonts w:ascii="Arial" w:hAnsi="Arial" w:cs="Arial"/>
          <w:sz w:val="24"/>
          <w:szCs w:val="24"/>
          <w:lang w:val="uk-UA"/>
        </w:rPr>
        <w:t xml:space="preserve">Разом з тим, зелені насадження потерпають від теплових аномалій (зокрема, від</w:t>
      </w:r>
      <w:r>
        <w:rPr>
          <w:rFonts w:ascii="Arial" w:hAnsi="Arial" w:cs="Arial"/>
          <w:sz w:val="24"/>
          <w:szCs w:val="24"/>
          <w:lang w:val="uk-UA"/>
        </w:rPr>
        <w:t xml:space="preserve"> високих температур) та їх наслідків, оскільки при високих температурах та тривалих безводних періодах наступає зневоднення та посилюються загрози пожеж. При цьому є позитивні зрушення, зокрема, зміщуються вегетаційні періоди та зростає їх тривалість, але </w:t>
      </w:r>
      <w:r>
        <w:rPr>
          <w:rFonts w:ascii="Arial" w:hAnsi="Arial" w:cs="Arial"/>
          <w:sz w:val="24"/>
          <w:szCs w:val="24"/>
          <w:lang w:val="uk-UA"/>
        </w:rPr>
        <w:t xml:space="preserve">не можна виключати появу нових шкідників захворювань рослин у межах зелених зон та навколишніх лісах. </w:t>
      </w:r>
      <w:r/>
    </w:p>
    <w:p>
      <w:pPr>
        <w:pStyle w:val="536"/>
        <w:ind w:firstLine="709"/>
        <w:jc w:val="both"/>
        <w:spacing w:after="0" w:afterAutospacing="0" w:before="0" w:beforeAutospacing="0"/>
        <w:shd w:val="clear" w:color="auto" w:fill="FFFFFF"/>
        <w:rPr>
          <w:rFonts w:ascii="Arial" w:hAnsi="Arial" w:cs="Arial"/>
          <w:b/>
          <w:lang w:val="uk-UA"/>
        </w:rPr>
      </w:pPr>
      <w:r>
        <w:rPr>
          <w:rFonts w:ascii="Arial" w:hAnsi="Arial" w:cs="Arial"/>
          <w:lang w:val="uk-UA"/>
        </w:rPr>
        <w:t xml:space="preserve">Аналіз стану зелених зон та кліматичних факторів впливу на них  показує, що ризик вразливості та зменшення зелених зон у місті є порівняно незначним.</w:t>
      </w:r>
      <w:r/>
    </w:p>
    <w:p>
      <w:pPr>
        <w:pStyle w:val="548"/>
        <w:ind w:firstLine="720"/>
        <w:jc w:val="both"/>
        <w:rPr>
          <w:color w:val="auto"/>
          <w:lang w:val="uk-UA"/>
        </w:rPr>
      </w:pPr>
      <w:r>
        <w:rPr>
          <w:color w:val="auto"/>
          <w:lang w:val="uk-UA"/>
        </w:rPr>
        <w:t xml:space="preserve">Як випливає з наведеного вище, кліматичні зміни можуть спричинити прямі (фізичні) риз</w:t>
      </w:r>
      <w:r>
        <w:rPr>
          <w:color w:val="auto"/>
          <w:lang w:val="uk-UA"/>
        </w:rPr>
        <w:t xml:space="preserve">ики (підтоплення, аномальна спека, зміна кліматичних особливостей, тощо) та непрямі – порушення нормального функціонування окремих систем міста та складнощі у наданні базових послуг населенню (водопостачанні, міському транспорті, енергозабезпеченні тощо). </w:t>
      </w:r>
      <w:r/>
    </w:p>
    <w:p>
      <w:pPr>
        <w:pStyle w:val="548"/>
        <w:ind w:firstLine="567"/>
        <w:jc w:val="both"/>
        <w:rPr>
          <w:lang w:val="uk-UA"/>
        </w:rPr>
      </w:pPr>
      <w:r>
        <w:rPr>
          <w:bCs/>
          <w:color w:val="auto"/>
          <w:lang w:val="uk-UA"/>
        </w:rPr>
        <w:t xml:space="preserve">Такі ризики, як можливість наслідків настання ймовірних небезпечних явищ або тенденцій, посилених інтенсивністю їхнього впливу, для міста залишаються. </w:t>
      </w:r>
      <w:r/>
    </w:p>
    <w:p>
      <w:pPr>
        <w:pStyle w:val="548"/>
        <w:ind w:firstLine="567"/>
        <w:jc w:val="both"/>
        <w:rPr>
          <w:bCs/>
          <w:color w:val="auto"/>
          <w:lang w:val="uk-UA"/>
        </w:rPr>
      </w:pPr>
      <w:r>
        <w:rPr>
          <w:lang w:val="uk-UA"/>
        </w:rPr>
        <w:t xml:space="preserve">Оцінка можливих впливів, пов’язаних зі змінами клімату, на інфраструктуру, довкілля та населення Менської міської </w:t>
      </w:r>
      <w:r>
        <w:rPr>
          <w:lang w:val="uk-UA"/>
        </w:rPr>
        <w:t xml:space="preserve">територіальної громади</w:t>
      </w:r>
      <w:r>
        <w:rPr>
          <w:lang w:val="uk-UA"/>
        </w:rPr>
        <w:t xml:space="preserve">, виконана на підставі визначених кліматичних загроз та характеристик  вразливості секторів діяльності, систем і об’єктів </w:t>
      </w:r>
      <w:r>
        <w:rPr>
          <w:lang w:val="uk-UA"/>
        </w:rPr>
        <w:t xml:space="preserve">територіальної громади</w:t>
      </w:r>
      <w:r>
        <w:rPr>
          <w:lang w:val="uk-UA"/>
        </w:rPr>
        <w:t xml:space="preserve"> до таких загроз і представлена в узагальненому вигляді в таблиці 8.</w:t>
      </w:r>
      <w:r/>
    </w:p>
    <w:p>
      <w:pPr>
        <w:jc w:val="both"/>
        <w:spacing w:lineRule="auto" w:line="240" w:after="0"/>
        <w:rPr>
          <w:rFonts w:ascii="Arial" w:hAnsi="Arial" w:cs="Arial"/>
          <w:sz w:val="24"/>
          <w:szCs w:val="24"/>
          <w:lang w:val="uk-UA" w:eastAsia="ru-RU"/>
        </w:rPr>
      </w:pPr>
      <w:r>
        <w:rPr>
          <w:rFonts w:ascii="Arial" w:hAnsi="Arial" w:cs="Arial"/>
          <w:sz w:val="24"/>
          <w:szCs w:val="24"/>
          <w:lang w:val="uk-UA" w:eastAsia="ru-RU"/>
        </w:rPr>
      </w:r>
      <w:r/>
    </w:p>
    <w:p>
      <w:pPr>
        <w:jc w:val="both"/>
        <w:rPr>
          <w:rFonts w:ascii="Arial" w:hAnsi="Arial" w:cs="Arial"/>
          <w:b/>
          <w:sz w:val="24"/>
          <w:szCs w:val="24"/>
          <w:lang w:val="uk-UA"/>
        </w:rPr>
        <w:sectPr>
          <w:footnotePr/>
          <w:type w:val="continuous"/>
          <w:pgSz w:w="16839" w:h="11907" w:orient="landscape"/>
          <w:pgMar w:top="1440" w:right="1104" w:bottom="1170" w:left="1440" w:header="720" w:footer="720"/>
          <w:cols w:num="2" w:sep="0" w:space="720" w:equalWidth="1"/>
          <w:docGrid w:linePitch="360"/>
        </w:sectPr>
      </w:pPr>
      <w:r>
        <w:rPr>
          <w:rFonts w:ascii="Arial" w:hAnsi="Arial" w:cs="Arial"/>
          <w:b/>
          <w:sz w:val="24"/>
          <w:szCs w:val="24"/>
          <w:lang w:val="uk-UA"/>
        </w:rPr>
      </w:r>
      <w:r/>
    </w:p>
    <w:p>
      <w:pPr>
        <w:jc w:val="center"/>
        <w:rPr>
          <w:rFonts w:ascii="Arial" w:hAnsi="Arial" w:cs="Arial"/>
          <w:b/>
          <w:sz w:val="24"/>
          <w:szCs w:val="24"/>
          <w:lang w:val="uk-UA"/>
        </w:rPr>
      </w:pPr>
      <w:r>
        <w:rPr>
          <w:rFonts w:ascii="Arial" w:hAnsi="Arial" w:cs="Arial"/>
          <w:b/>
          <w:sz w:val="24"/>
          <w:szCs w:val="24"/>
          <w:lang w:val="uk-UA"/>
        </w:rPr>
      </w:r>
      <w:r/>
    </w:p>
    <w:p>
      <w:pPr>
        <w:jc w:val="center"/>
        <w:rPr>
          <w:rFonts w:ascii="Arial" w:hAnsi="Arial" w:cs="Arial"/>
          <w:b/>
          <w:sz w:val="24"/>
          <w:szCs w:val="24"/>
          <w:lang w:val="uk-UA"/>
        </w:rPr>
      </w:pPr>
      <w:r>
        <w:rPr>
          <w:rFonts w:ascii="Arial" w:hAnsi="Arial" w:cs="Arial"/>
          <w:b/>
          <w:sz w:val="24"/>
          <w:szCs w:val="24"/>
          <w:lang w:val="uk-UA"/>
        </w:rPr>
        <w:t xml:space="preserve">Таблиця 8. Очікувані впливи, пов’язані зі змінами клімату, на сектори діяльності і об’єкти в регіоні м. Мена</w:t>
      </w:r>
      <w:r/>
    </w:p>
    <w:tbl>
      <w:tblPr>
        <w:tblStyle w:val="521"/>
        <w:tblW w:w="14312" w:type="dxa"/>
        <w:shd w:val="clear" w:color="auto" w:fill="FFFFFF" w:themeFill="background1"/>
        <w:tblLayout w:type="fixed"/>
        <w:tblLook w:val="04A0" w:firstRow="1" w:lastRow="0" w:firstColumn="1" w:lastColumn="0" w:noHBand="0" w:noVBand="1"/>
      </w:tblPr>
      <w:tblGrid>
        <w:gridCol w:w="1885"/>
        <w:gridCol w:w="1938"/>
        <w:gridCol w:w="1275"/>
        <w:gridCol w:w="1276"/>
        <w:gridCol w:w="1559"/>
        <w:gridCol w:w="6379"/>
      </w:tblGrid>
      <w:tr>
        <w:trPr/>
        <w:tc>
          <w:tcPr>
            <w:shd w:val="clear" w:color="auto" w:fill="FFFFFF" w:themeFill="background1"/>
            <w:tcW w:w="188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Сектор та об’єкти впливу</w:t>
            </w:r>
            <w:r/>
          </w:p>
        </w:tc>
        <w:tc>
          <w:tcPr>
            <w:shd w:val="clear" w:color="auto" w:fill="FFFFFF" w:themeFill="background1"/>
            <w:tcW w:w="1938"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Очікуваний вплив</w:t>
            </w:r>
            <w:r/>
          </w:p>
        </w:tc>
        <w:tc>
          <w:tcPr>
            <w:shd w:val="clear" w:color="auto" w:fill="FFFFFF" w:themeFill="background1"/>
            <w:tcW w:w="127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Ймовірність</w:t>
            </w:r>
            <w:r/>
          </w:p>
        </w:tc>
        <w:tc>
          <w:tcPr>
            <w:shd w:val="clear" w:color="auto" w:fill="FFFFFF" w:themeFill="background1"/>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Очікуваний рівень впливу</w:t>
            </w:r>
            <w:r/>
          </w:p>
        </w:tc>
        <w:tc>
          <w:tcPr>
            <w:shd w:val="clear" w:color="auto" w:fill="FFFFFF" w:themeFill="background1"/>
            <w:tcW w:w="1559"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Терміни</w:t>
            </w:r>
            <w:r/>
          </w:p>
        </w:tc>
        <w:tc>
          <w:tcPr>
            <w:shd w:val="clear" w:color="auto" w:fill="FFFFFF" w:themeFill="background1"/>
            <w:tcW w:w="6379"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Показники впливу</w:t>
            </w:r>
            <w:r/>
          </w:p>
        </w:tc>
      </w:tr>
      <w:tr>
        <w:trPr/>
        <w:tc>
          <w:tcPr>
            <w:shd w:val="clear" w:color="auto" w:fill="FFFFFF" w:themeFill="background1"/>
            <w:tcW w:w="1885" w:type="dxa"/>
            <w:vMerge w:val="restart"/>
            <w:textDirection w:val="lrTb"/>
            <w:noWrap w:val="false"/>
          </w:tcPr>
          <w:p>
            <w:pPr>
              <w:jc w:val="both"/>
              <w:rPr>
                <w:rFonts w:ascii="Arial" w:hAnsi="Arial" w:cs="Arial"/>
                <w:sz w:val="24"/>
                <w:szCs w:val="24"/>
                <w:lang w:val="uk-UA"/>
              </w:rPr>
            </w:pPr>
            <w:r>
              <w:rPr>
                <w:rFonts w:ascii="Arial" w:hAnsi="Arial" w:cs="Arial"/>
                <w:sz w:val="24"/>
                <w:szCs w:val="24"/>
                <w:lang w:val="uk-UA"/>
              </w:rPr>
              <w:t xml:space="preserve">Будинки і споруди</w:t>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Екстремально</w:t>
            </w:r>
            <w:r>
              <w:rPr>
                <w:rFonts w:ascii="Arial" w:hAnsi="Arial" w:cs="Arial"/>
                <w:sz w:val="24"/>
                <w:szCs w:val="24"/>
                <w:lang w:val="uk-UA"/>
              </w:rPr>
              <w:t xml:space="preserve"> спекотні дні</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Підвищена температура в будинках і спорудах</w:t>
            </w:r>
            <w:r/>
          </w:p>
          <w:p>
            <w:pPr>
              <w:jc w:val="both"/>
              <w:rPr>
                <w:rFonts w:ascii="Arial" w:hAnsi="Arial" w:cs="Arial"/>
                <w:sz w:val="24"/>
                <w:szCs w:val="24"/>
                <w:lang w:val="uk-UA"/>
              </w:rPr>
            </w:pPr>
            <w:r>
              <w:rPr>
                <w:rFonts w:ascii="Arial" w:hAnsi="Arial" w:cs="Arial"/>
                <w:sz w:val="24"/>
                <w:szCs w:val="24"/>
                <w:lang w:val="uk-UA"/>
              </w:rPr>
              <w:t xml:space="preserve">* Додаткові витрати, пов’язані з утриманням будинків і споруд</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Екстремальні опади</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 будинків і споруд, порушених/зруйновних від екстремальних опадів</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Грози і буревії</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 будинків і споруд, порушених/зруйновних при грозах/ буревіях</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Підтоплення,</w:t>
            </w:r>
            <w:r/>
          </w:p>
          <w:p>
            <w:pPr>
              <w:jc w:val="both"/>
              <w:rPr>
                <w:rFonts w:ascii="Arial" w:hAnsi="Arial" w:cs="Arial"/>
                <w:sz w:val="24"/>
                <w:szCs w:val="24"/>
                <w:lang w:val="uk-UA"/>
              </w:rPr>
            </w:pPr>
            <w:r>
              <w:rPr>
                <w:rFonts w:ascii="Arial" w:hAnsi="Arial" w:cs="Arial"/>
                <w:sz w:val="24"/>
                <w:szCs w:val="24"/>
                <w:lang w:val="uk-UA"/>
              </w:rPr>
              <w:t xml:space="preserve">повені</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 будинків і споруд, порушених від підтоплення</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restart"/>
            <w:textDirection w:val="lrTb"/>
            <w:noWrap w:val="false"/>
          </w:tcPr>
          <w:p>
            <w:pPr>
              <w:jc w:val="both"/>
              <w:rPr>
                <w:rFonts w:ascii="Arial" w:hAnsi="Arial" w:cs="Arial"/>
                <w:sz w:val="24"/>
                <w:szCs w:val="24"/>
                <w:lang w:val="uk-UA"/>
              </w:rPr>
            </w:pPr>
            <w:r>
              <w:rPr>
                <w:rFonts w:ascii="Arial" w:hAnsi="Arial" w:cs="Arial"/>
                <w:sz w:val="24"/>
                <w:szCs w:val="24"/>
                <w:lang w:val="uk-UA"/>
              </w:rPr>
              <w:t xml:space="preserve">Транспорт</w:t>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Екстремально</w:t>
            </w:r>
            <w:r>
              <w:rPr>
                <w:rFonts w:ascii="Arial" w:hAnsi="Arial" w:cs="Arial"/>
                <w:sz w:val="24"/>
                <w:szCs w:val="24"/>
                <w:lang w:val="uk-UA"/>
              </w:rPr>
              <w:t xml:space="preserve"> спекотні дні</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Помірний</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і % об’єктів транспортної інфраструктури, порушених від високих температур</w:t>
            </w:r>
            <w:r/>
          </w:p>
          <w:p>
            <w:pPr>
              <w:jc w:val="both"/>
              <w:rPr>
                <w:rFonts w:ascii="Arial" w:hAnsi="Arial" w:cs="Arial"/>
                <w:sz w:val="24"/>
                <w:szCs w:val="24"/>
                <w:lang w:val="uk-UA"/>
              </w:rPr>
            </w:pPr>
            <w:r>
              <w:rPr>
                <w:rFonts w:ascii="Arial" w:hAnsi="Arial" w:cs="Arial"/>
                <w:sz w:val="24"/>
                <w:szCs w:val="24"/>
                <w:lang w:val="uk-UA"/>
              </w:rPr>
              <w:t xml:space="preserve">* Довжина і % доріг, порушених від високих температур </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Екстремальні опади</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і % об’єктів транспортної інфраструктури, порушених від екстремальних опадів</w:t>
            </w:r>
            <w:r/>
          </w:p>
          <w:p>
            <w:pPr>
              <w:jc w:val="both"/>
              <w:rPr>
                <w:rFonts w:ascii="Arial" w:hAnsi="Arial" w:cs="Arial"/>
                <w:sz w:val="24"/>
                <w:szCs w:val="24"/>
                <w:lang w:val="uk-UA"/>
              </w:rPr>
            </w:pPr>
            <w:r>
              <w:rPr>
                <w:rFonts w:ascii="Arial" w:hAnsi="Arial" w:cs="Arial"/>
                <w:sz w:val="24"/>
                <w:szCs w:val="24"/>
                <w:lang w:val="uk-UA"/>
              </w:rPr>
              <w:t xml:space="preserve">* Довжина і % доріг, порушених від екстремальних опадів</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Грози і буревії</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і % об’єктів транспортної інфраструктури, порушених від гроз / буревіїв</w:t>
            </w:r>
            <w:r/>
          </w:p>
          <w:p>
            <w:pPr>
              <w:jc w:val="both"/>
              <w:rPr>
                <w:rFonts w:ascii="Arial" w:hAnsi="Arial" w:cs="Arial"/>
                <w:sz w:val="24"/>
                <w:szCs w:val="24"/>
                <w:lang w:val="uk-UA"/>
              </w:rPr>
            </w:pPr>
            <w:r>
              <w:rPr>
                <w:rFonts w:ascii="Arial" w:hAnsi="Arial" w:cs="Arial"/>
                <w:sz w:val="24"/>
                <w:szCs w:val="24"/>
                <w:lang w:val="uk-UA"/>
              </w:rPr>
              <w:t xml:space="preserve">* Довжина і % доріг, порушених від гроз / буревіїв</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Підтоплення,</w:t>
            </w:r>
            <w:r/>
          </w:p>
          <w:p>
            <w:pPr>
              <w:jc w:val="both"/>
              <w:rPr>
                <w:rFonts w:ascii="Arial" w:hAnsi="Arial" w:cs="Arial"/>
                <w:sz w:val="24"/>
                <w:szCs w:val="24"/>
                <w:lang w:val="uk-UA"/>
              </w:rPr>
            </w:pPr>
            <w:r>
              <w:rPr>
                <w:rFonts w:ascii="Arial" w:hAnsi="Arial" w:cs="Arial"/>
                <w:sz w:val="24"/>
                <w:szCs w:val="24"/>
                <w:lang w:val="uk-UA"/>
              </w:rPr>
              <w:t xml:space="preserve">повені</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і % об’єктів транспортної інфраструктури, порушених від підтоплення/ повеней</w:t>
            </w:r>
            <w:r/>
          </w:p>
          <w:p>
            <w:pPr>
              <w:jc w:val="both"/>
              <w:rPr>
                <w:rFonts w:ascii="Arial" w:hAnsi="Arial" w:cs="Arial"/>
                <w:sz w:val="24"/>
                <w:szCs w:val="24"/>
                <w:lang w:val="uk-UA"/>
              </w:rPr>
            </w:pPr>
            <w:r>
              <w:rPr>
                <w:rFonts w:ascii="Arial" w:hAnsi="Arial" w:cs="Arial"/>
                <w:sz w:val="24"/>
                <w:szCs w:val="24"/>
                <w:lang w:val="uk-UA"/>
              </w:rPr>
              <w:t xml:space="preserve">* Довжина і % доріг, порушених від підтоплення / повеней</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restart"/>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Системи </w:t>
            </w:r>
            <w:r>
              <w:rPr>
                <w:rFonts w:ascii="Arial" w:hAnsi="Arial" w:cs="Arial"/>
                <w:sz w:val="24"/>
                <w:szCs w:val="24"/>
                <w:lang w:val="uk-UA"/>
              </w:rPr>
              <w:t xml:space="preserve">енерго</w:t>
            </w:r>
            <w:r>
              <w:rPr>
                <w:rFonts w:ascii="Arial" w:hAnsi="Arial" w:cs="Arial"/>
                <w:sz w:val="24"/>
                <w:szCs w:val="24"/>
                <w:lang w:val="uk-UA"/>
              </w:rPr>
              <w:t xml:space="preserve">-постачання</w:t>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Екстремально</w:t>
            </w:r>
            <w:r>
              <w:rPr>
                <w:rFonts w:ascii="Arial" w:hAnsi="Arial" w:cs="Arial"/>
                <w:sz w:val="24"/>
                <w:szCs w:val="24"/>
                <w:lang w:val="uk-UA"/>
              </w:rPr>
              <w:t xml:space="preserve"> спекотні дні</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підвищення енергоспоживання</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Екстремальні опади</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Помірний</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і % об’єктів системи енергопостачання, порушених від екстремальних опадів</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Грози і буревії</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і % об’єктів системи енергопостачання, порушених від гроз / буревіїв</w:t>
            </w:r>
            <w:r/>
          </w:p>
          <w:p>
            <w:pPr>
              <w:jc w:val="both"/>
              <w:rPr>
                <w:rFonts w:ascii="Arial" w:hAnsi="Arial" w:cs="Arial"/>
                <w:sz w:val="24"/>
                <w:szCs w:val="24"/>
                <w:lang w:val="uk-UA"/>
              </w:rPr>
            </w:pPr>
            <w:r>
              <w:rPr>
                <w:rFonts w:ascii="Arial" w:hAnsi="Arial" w:cs="Arial"/>
                <w:sz w:val="24"/>
                <w:szCs w:val="24"/>
                <w:lang w:val="uk-UA"/>
              </w:rPr>
              <w:t xml:space="preserve">* Довжина і % ліній електропередач, порушених від гроз / буревіїв</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restart"/>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Системи водопостачання і водовідведення</w:t>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Екстремально</w:t>
            </w:r>
            <w:r>
              <w:rPr>
                <w:rFonts w:ascii="Arial" w:hAnsi="Arial" w:cs="Arial"/>
                <w:sz w:val="24"/>
                <w:szCs w:val="24"/>
                <w:lang w:val="uk-UA"/>
              </w:rPr>
              <w:t xml:space="preserve"> спекотні дні</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Обсяги і % підвищення водоспоживання</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Екстремальні опади</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і % об’єктів системи водозабезпечення, порушених від екстремальних опадів</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Грози і буревії</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і % об’єктів системи водозабезпечення, порушених від гроз / буревіїв</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Посухи</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Середньо- і довго-термінові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підвищення енергоспоживання</w:t>
            </w:r>
            <w:r/>
          </w:p>
        </w:tc>
      </w:tr>
      <w:tr>
        <w:trPr/>
        <w:tc>
          <w:tcPr>
            <w:shd w:val="clear" w:color="auto" w:fill="FFFFFF" w:themeFill="background1"/>
            <w:tcW w:w="1885" w:type="dxa"/>
            <w:vMerge w:val="restart"/>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Земле-користування (сільське та лісове господарство)</w:t>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Екстремальні опади</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 території, постраждалої від екстремальних опадів</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p>
            <w:pPr>
              <w:jc w:val="both"/>
              <w:rPr>
                <w:rFonts w:ascii="Arial" w:hAnsi="Arial" w:cs="Arial"/>
                <w:sz w:val="24"/>
                <w:szCs w:val="24"/>
                <w:lang w:val="uk-UA"/>
              </w:rPr>
            </w:pPr>
            <w:r>
              <w:rPr>
                <w:rFonts w:ascii="Arial" w:hAnsi="Arial" w:cs="Arial"/>
                <w:sz w:val="24"/>
                <w:szCs w:val="24"/>
                <w:lang w:val="uk-UA"/>
              </w:rPr>
              <w:t xml:space="preserve">* Збитки с/г виробництва від опадів </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Грози і буревії</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 незабудованої території міста, постраждалої від гроз/ буревіїв</w:t>
            </w:r>
            <w:r/>
          </w:p>
          <w:p>
            <w:pPr>
              <w:jc w:val="both"/>
              <w:rPr>
                <w:rFonts w:ascii="Arial" w:hAnsi="Arial" w:cs="Arial"/>
                <w:sz w:val="24"/>
                <w:szCs w:val="24"/>
                <w:lang w:val="uk-UA"/>
              </w:rPr>
            </w:pPr>
            <w:r>
              <w:rPr>
                <w:rFonts w:ascii="Arial" w:hAnsi="Arial" w:cs="Arial"/>
                <w:sz w:val="24"/>
                <w:szCs w:val="24"/>
                <w:lang w:val="uk-UA"/>
              </w:rPr>
              <w:t xml:space="preserve">* % території лісів/ зелених насаджень, постраждалих від гроз/ буревіїв</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p>
            <w:pPr>
              <w:jc w:val="both"/>
              <w:rPr>
                <w:rFonts w:ascii="Arial" w:hAnsi="Arial" w:cs="Arial"/>
                <w:sz w:val="24"/>
                <w:szCs w:val="24"/>
                <w:lang w:val="uk-UA"/>
              </w:rPr>
            </w:pPr>
            <w:r>
              <w:rPr>
                <w:rFonts w:ascii="Arial" w:hAnsi="Arial" w:cs="Arial"/>
                <w:sz w:val="24"/>
                <w:szCs w:val="24"/>
                <w:lang w:val="uk-UA"/>
              </w:rPr>
              <w:t xml:space="preserve">* Збитки від стихійних лих для сільського та лісового господарств</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Посухи</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Середньо- і довго-термінові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 незабудованої території міста, постраждалої від </w:t>
            </w:r>
            <w:r>
              <w:rPr>
                <w:rFonts w:ascii="Arial" w:hAnsi="Arial" w:cs="Arial"/>
                <w:sz w:val="24"/>
                <w:szCs w:val="24"/>
                <w:lang w:val="uk-UA"/>
              </w:rPr>
              <w:t xml:space="preserve">посух</w:t>
            </w:r>
            <w:r/>
          </w:p>
          <w:p>
            <w:pPr>
              <w:jc w:val="both"/>
              <w:rPr>
                <w:rFonts w:ascii="Arial" w:hAnsi="Arial" w:cs="Arial"/>
                <w:sz w:val="24"/>
                <w:szCs w:val="24"/>
                <w:lang w:val="uk-UA"/>
              </w:rPr>
            </w:pPr>
            <w:r>
              <w:rPr>
                <w:rFonts w:ascii="Arial" w:hAnsi="Arial" w:cs="Arial"/>
                <w:sz w:val="24"/>
                <w:szCs w:val="24"/>
                <w:lang w:val="uk-UA"/>
              </w:rPr>
              <w:t xml:space="preserve">* % території лісів/ зелених насаджень, постраждалих від </w:t>
            </w:r>
            <w:r>
              <w:rPr>
                <w:rFonts w:ascii="Arial" w:hAnsi="Arial" w:cs="Arial"/>
                <w:sz w:val="24"/>
                <w:szCs w:val="24"/>
                <w:lang w:val="uk-UA"/>
              </w:rPr>
              <w:t xml:space="preserve">посух</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p>
            <w:pPr>
              <w:jc w:val="both"/>
              <w:rPr>
                <w:rFonts w:ascii="Arial" w:hAnsi="Arial" w:cs="Arial"/>
                <w:sz w:val="24"/>
                <w:szCs w:val="24"/>
                <w:lang w:val="uk-UA"/>
              </w:rPr>
            </w:pPr>
            <w:r>
              <w:rPr>
                <w:rFonts w:ascii="Arial" w:hAnsi="Arial" w:cs="Arial"/>
                <w:sz w:val="24"/>
                <w:szCs w:val="24"/>
                <w:lang w:val="uk-UA"/>
              </w:rPr>
              <w:t xml:space="preserve">* Збитки від </w:t>
            </w:r>
            <w:r>
              <w:rPr>
                <w:rFonts w:ascii="Arial" w:hAnsi="Arial" w:cs="Arial"/>
                <w:sz w:val="24"/>
                <w:szCs w:val="24"/>
                <w:lang w:val="uk-UA"/>
              </w:rPr>
              <w:t xml:space="preserve">посух</w:t>
            </w:r>
            <w:r>
              <w:rPr>
                <w:rFonts w:ascii="Arial" w:hAnsi="Arial" w:cs="Arial"/>
                <w:sz w:val="24"/>
                <w:szCs w:val="24"/>
                <w:lang w:val="uk-UA"/>
              </w:rPr>
              <w:t xml:space="preserve"> для сільського та лісового господарств</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Потепління</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Помірний</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Середньо- і довго-термінові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*Нові с/г культури</w:t>
            </w:r>
            <w:r/>
          </w:p>
          <w:p>
            <w:pPr>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Пожежі</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пожеж</w:t>
            </w:r>
            <w:r/>
          </w:p>
          <w:p>
            <w:pPr>
              <w:jc w:val="both"/>
              <w:rPr>
                <w:rFonts w:ascii="Arial" w:hAnsi="Arial" w:cs="Arial"/>
                <w:sz w:val="24"/>
                <w:szCs w:val="24"/>
                <w:lang w:val="uk-UA"/>
              </w:rPr>
            </w:pPr>
            <w:r>
              <w:rPr>
                <w:rFonts w:ascii="Arial" w:hAnsi="Arial" w:cs="Arial"/>
                <w:sz w:val="24"/>
                <w:szCs w:val="24"/>
                <w:lang w:val="uk-UA"/>
              </w:rPr>
              <w:t xml:space="preserve">* Площа і % території, ураженої пожежами</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p>
            <w:pPr>
              <w:jc w:val="both"/>
              <w:rPr>
                <w:rFonts w:ascii="Arial" w:hAnsi="Arial" w:cs="Arial"/>
                <w:sz w:val="24"/>
                <w:szCs w:val="24"/>
                <w:lang w:val="uk-UA"/>
              </w:rPr>
            </w:pPr>
            <w:r>
              <w:rPr>
                <w:rFonts w:ascii="Arial" w:hAnsi="Arial" w:cs="Arial"/>
                <w:sz w:val="24"/>
                <w:szCs w:val="24"/>
                <w:lang w:val="uk-UA"/>
              </w:rPr>
              <w:t xml:space="preserve">* Збитки від пожеж</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Суховії, пилові бурі</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Незначна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Середньо- і довго-термінові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днів з суховіями/ пиловими бурями</w:t>
            </w:r>
            <w:r/>
          </w:p>
          <w:p>
            <w:pPr>
              <w:jc w:val="both"/>
              <w:rPr>
                <w:rFonts w:ascii="Arial" w:hAnsi="Arial" w:cs="Arial"/>
                <w:sz w:val="24"/>
                <w:szCs w:val="24"/>
                <w:lang w:val="uk-UA"/>
              </w:rPr>
            </w:pPr>
            <w:r>
              <w:rPr>
                <w:rFonts w:ascii="Arial" w:hAnsi="Arial" w:cs="Arial"/>
                <w:sz w:val="24"/>
                <w:szCs w:val="24"/>
                <w:lang w:val="uk-UA"/>
              </w:rPr>
              <w:t xml:space="preserve">* Площа і % території, постраждалої від суховіїв/ пилових бурь</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restart"/>
            <w:textDirection w:val="lrTb"/>
            <w:noWrap w:val="false"/>
          </w:tcPr>
          <w:p>
            <w:pPr>
              <w:jc w:val="both"/>
              <w:rPr>
                <w:rFonts w:ascii="Arial" w:hAnsi="Arial" w:cs="Arial"/>
                <w:sz w:val="24"/>
                <w:szCs w:val="24"/>
                <w:lang w:val="uk-UA"/>
              </w:rPr>
            </w:pPr>
            <w:r>
              <w:rPr>
                <w:rFonts w:ascii="Arial" w:hAnsi="Arial" w:cs="Arial"/>
                <w:sz w:val="24"/>
                <w:szCs w:val="24"/>
                <w:lang w:val="uk-UA"/>
              </w:rPr>
              <w:t xml:space="preserve">Довкілля і біорізноманіття</w:t>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Потепління</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Помірний</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Середньо- і довго-термінові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Поширення ареалів теплолюбних видів на північ</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Грози і буревії</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Площа і % території оселищ видів, постраждалих від стихійних лих</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Посухи</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Середньо- і довго-термінові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Площа і % території оселищ видів, постраждалих від </w:t>
            </w:r>
            <w:r>
              <w:rPr>
                <w:rFonts w:ascii="Arial" w:hAnsi="Arial" w:cs="Arial"/>
                <w:sz w:val="24"/>
                <w:szCs w:val="24"/>
                <w:lang w:val="uk-UA"/>
              </w:rPr>
              <w:t xml:space="preserve">посух</w:t>
            </w:r>
            <w:r/>
          </w:p>
          <w:p>
            <w:pPr>
              <w:jc w:val="both"/>
              <w:rPr>
                <w:rFonts w:ascii="Arial" w:hAnsi="Arial" w:cs="Arial"/>
                <w:sz w:val="24"/>
                <w:szCs w:val="24"/>
                <w:lang w:val="uk-UA"/>
              </w:rPr>
            </w:pPr>
            <w:r>
              <w:rPr>
                <w:rFonts w:ascii="Arial" w:hAnsi="Arial" w:cs="Arial"/>
                <w:sz w:val="24"/>
                <w:szCs w:val="24"/>
                <w:lang w:val="uk-UA"/>
              </w:rPr>
              <w:t xml:space="preserve">* Зростання витрат на ліквідацію порушень</w:t>
            </w:r>
            <w:r/>
          </w:p>
        </w:tc>
      </w:tr>
      <w:tr>
        <w:trPr/>
        <w:tc>
          <w:tcPr>
            <w:shd w:val="clear" w:color="auto" w:fill="FFFFFF" w:themeFill="background1"/>
            <w:tcW w:w="1885" w:type="dxa"/>
            <w:vMerge w:val="restart"/>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Здоров’я</w:t>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Екстремально</w:t>
            </w:r>
            <w:r>
              <w:rPr>
                <w:rFonts w:ascii="Arial" w:hAnsi="Arial" w:cs="Arial"/>
                <w:sz w:val="24"/>
                <w:szCs w:val="24"/>
                <w:lang w:val="uk-UA"/>
              </w:rPr>
              <w:t xml:space="preserve"> спекотні дні</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постраждалих</w:t>
            </w:r>
            <w:r/>
          </w:p>
          <w:p>
            <w:pPr>
              <w:jc w:val="both"/>
              <w:rPr>
                <w:rFonts w:ascii="Arial" w:hAnsi="Arial" w:cs="Arial"/>
                <w:sz w:val="24"/>
                <w:szCs w:val="24"/>
                <w:lang w:val="uk-UA"/>
              </w:rPr>
            </w:pPr>
            <w:r>
              <w:rPr>
                <w:rFonts w:ascii="Arial" w:hAnsi="Arial" w:cs="Arial"/>
                <w:sz w:val="24"/>
                <w:szCs w:val="24"/>
                <w:lang w:val="uk-UA"/>
              </w:rPr>
              <w:t xml:space="preserve">* % населення з погіршенням здоров’я</w:t>
            </w:r>
            <w:r/>
          </w:p>
          <w:p>
            <w:pPr>
              <w:jc w:val="both"/>
              <w:rPr>
                <w:rFonts w:ascii="Arial" w:hAnsi="Arial" w:cs="Arial"/>
                <w:sz w:val="24"/>
                <w:szCs w:val="24"/>
                <w:lang w:val="uk-UA"/>
              </w:rPr>
            </w:pPr>
            <w:r>
              <w:rPr>
                <w:rFonts w:ascii="Arial" w:hAnsi="Arial" w:cs="Arial"/>
                <w:sz w:val="24"/>
                <w:szCs w:val="24"/>
                <w:lang w:val="uk-UA"/>
              </w:rPr>
              <w:t xml:space="preserve">* Зростання витрат на медичну допомогу</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tabs>
                <w:tab w:val="left" w:pos="1064" w:leader="none"/>
              </w:tabs>
              <w:rPr>
                <w:rFonts w:ascii="Arial" w:hAnsi="Arial" w:cs="Arial"/>
                <w:sz w:val="24"/>
                <w:szCs w:val="24"/>
                <w:lang w:val="uk-UA"/>
              </w:rPr>
            </w:pPr>
            <w:r>
              <w:rPr>
                <w:rFonts w:ascii="Arial" w:hAnsi="Arial" w:cs="Arial"/>
                <w:sz w:val="24"/>
                <w:szCs w:val="24"/>
                <w:lang w:val="uk-UA"/>
              </w:rPr>
              <w:t xml:space="preserve">Екстремальні опади</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постраждалих/ травмованих</w:t>
            </w:r>
            <w:r/>
          </w:p>
          <w:p>
            <w:pPr>
              <w:jc w:val="both"/>
              <w:rPr>
                <w:rFonts w:ascii="Arial" w:hAnsi="Arial" w:cs="Arial"/>
                <w:sz w:val="24"/>
                <w:szCs w:val="24"/>
                <w:lang w:val="uk-UA"/>
              </w:rPr>
            </w:pPr>
            <w:r>
              <w:rPr>
                <w:rFonts w:ascii="Arial" w:hAnsi="Arial" w:cs="Arial"/>
                <w:sz w:val="24"/>
                <w:szCs w:val="24"/>
                <w:lang w:val="uk-UA"/>
              </w:rPr>
              <w:t xml:space="preserve">* % населення з погіршенням здоров’я</w:t>
            </w:r>
            <w:r/>
          </w:p>
          <w:p>
            <w:pPr>
              <w:jc w:val="both"/>
              <w:rPr>
                <w:rFonts w:ascii="Arial" w:hAnsi="Arial" w:cs="Arial"/>
                <w:sz w:val="24"/>
                <w:szCs w:val="24"/>
                <w:lang w:val="uk-UA"/>
              </w:rPr>
            </w:pPr>
            <w:r>
              <w:rPr>
                <w:rFonts w:ascii="Arial" w:hAnsi="Arial" w:cs="Arial"/>
                <w:sz w:val="24"/>
                <w:szCs w:val="24"/>
                <w:lang w:val="uk-UA"/>
              </w:rPr>
              <w:t xml:space="preserve">* Зростання витрат на медичну допомогу</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tabs>
                <w:tab w:val="left" w:pos="1064" w:leader="none"/>
              </w:tabs>
              <w:rPr>
                <w:rFonts w:ascii="Arial" w:hAnsi="Arial" w:cs="Arial"/>
                <w:sz w:val="24"/>
                <w:szCs w:val="24"/>
                <w:lang w:val="uk-UA"/>
              </w:rPr>
            </w:pPr>
            <w:r>
              <w:rPr>
                <w:rFonts w:ascii="Arial" w:hAnsi="Arial" w:cs="Arial"/>
                <w:sz w:val="24"/>
                <w:szCs w:val="24"/>
                <w:lang w:val="uk-UA"/>
              </w:rPr>
              <w:t xml:space="preserve">Грози і буревії</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постраждалих/ травмованих</w:t>
            </w:r>
            <w:r/>
          </w:p>
          <w:p>
            <w:pPr>
              <w:jc w:val="both"/>
              <w:rPr>
                <w:rFonts w:ascii="Arial" w:hAnsi="Arial" w:cs="Arial"/>
                <w:sz w:val="24"/>
                <w:szCs w:val="24"/>
                <w:lang w:val="uk-UA"/>
              </w:rPr>
            </w:pPr>
            <w:r>
              <w:rPr>
                <w:rFonts w:ascii="Arial" w:hAnsi="Arial" w:cs="Arial"/>
                <w:sz w:val="24"/>
                <w:szCs w:val="24"/>
                <w:lang w:val="uk-UA"/>
              </w:rPr>
              <w:t xml:space="preserve">* % населення з погіршенням здоров’я</w:t>
            </w:r>
            <w:r/>
          </w:p>
          <w:p>
            <w:pPr>
              <w:jc w:val="both"/>
              <w:rPr>
                <w:rFonts w:ascii="Arial" w:hAnsi="Arial" w:cs="Arial"/>
                <w:sz w:val="24"/>
                <w:szCs w:val="24"/>
                <w:lang w:val="uk-UA"/>
              </w:rPr>
            </w:pPr>
            <w:r>
              <w:rPr>
                <w:rFonts w:ascii="Arial" w:hAnsi="Arial" w:cs="Arial"/>
                <w:sz w:val="24"/>
                <w:szCs w:val="24"/>
                <w:lang w:val="uk-UA"/>
              </w:rPr>
              <w:t xml:space="preserve">* Зростання витрат на медичну допомогу</w:t>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tabs>
                <w:tab w:val="left" w:pos="1064" w:leader="none"/>
              </w:tabs>
              <w:rPr>
                <w:rFonts w:ascii="Arial" w:hAnsi="Arial" w:cs="Arial"/>
                <w:sz w:val="24"/>
                <w:szCs w:val="24"/>
                <w:lang w:val="uk-UA"/>
              </w:rPr>
            </w:pPr>
            <w:r>
              <w:rPr>
                <w:rFonts w:ascii="Arial" w:hAnsi="Arial" w:cs="Arial"/>
                <w:sz w:val="24"/>
                <w:szCs w:val="24"/>
                <w:lang w:val="uk-UA"/>
              </w:rPr>
              <w:t xml:space="preserve">Суховії, пилові бурі</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Помірна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постраждалих</w:t>
            </w:r>
            <w:r/>
          </w:p>
          <w:p>
            <w:pPr>
              <w:jc w:val="both"/>
              <w:rPr>
                <w:rFonts w:ascii="Arial" w:hAnsi="Arial" w:cs="Arial"/>
                <w:sz w:val="24"/>
                <w:szCs w:val="24"/>
                <w:lang w:val="uk-UA"/>
              </w:rPr>
            </w:pPr>
            <w:r>
              <w:rPr>
                <w:rFonts w:ascii="Arial" w:hAnsi="Arial" w:cs="Arial"/>
                <w:sz w:val="24"/>
                <w:szCs w:val="24"/>
                <w:lang w:val="uk-UA"/>
              </w:rPr>
              <w:t xml:space="preserve">* % населення з погіршенням здоров’я</w:t>
            </w:r>
            <w:r/>
          </w:p>
          <w:p>
            <w:pPr>
              <w:jc w:val="both"/>
              <w:rPr>
                <w:rFonts w:ascii="Arial" w:hAnsi="Arial" w:cs="Arial"/>
                <w:sz w:val="24"/>
                <w:szCs w:val="24"/>
                <w:lang w:val="uk-UA"/>
              </w:rPr>
            </w:pPr>
            <w:r>
              <w:rPr>
                <w:rFonts w:ascii="Arial" w:hAnsi="Arial" w:cs="Arial"/>
                <w:sz w:val="24"/>
                <w:szCs w:val="24"/>
                <w:lang w:val="uk-UA"/>
              </w:rPr>
              <w:t xml:space="preserve">* Зростання витрат на медичну допомогу</w:t>
            </w:r>
            <w:r/>
          </w:p>
        </w:tc>
      </w:tr>
      <w:tr>
        <w:trPr/>
        <w:tc>
          <w:tcPr>
            <w:shd w:val="clear" w:color="auto" w:fill="FFFFFF" w:themeFill="background1"/>
            <w:tcW w:w="1885" w:type="dxa"/>
            <w:vMerge w:val="restart"/>
            <w:textDirection w:val="lrTb"/>
            <w:noWrap w:val="false"/>
          </w:tcPr>
          <w:p>
            <w:pPr>
              <w:jc w:val="both"/>
              <w:rPr>
                <w:rFonts w:ascii="Arial" w:hAnsi="Arial" w:cs="Arial"/>
                <w:sz w:val="24"/>
                <w:szCs w:val="24"/>
                <w:lang w:val="uk-UA"/>
              </w:rPr>
            </w:pPr>
            <w:r>
              <w:rPr>
                <w:rFonts w:ascii="Arial" w:hAnsi="Arial" w:cs="Arial"/>
                <w:sz w:val="24"/>
                <w:szCs w:val="24"/>
                <w:lang w:val="uk-UA"/>
              </w:rPr>
              <w:t xml:space="preserve">Цивільна оборона (служба надзвичайних ситуацій, СНС)</w:t>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Екстремальні опади</w:t>
            </w:r>
            <w:r/>
          </w:p>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vMerge w:val="restart"/>
            <w:textDirection w:val="lrTb"/>
            <w:noWrap w:val="false"/>
          </w:tcPr>
          <w:p>
            <w:pPr>
              <w:jc w:val="both"/>
              <w:rPr>
                <w:rFonts w:ascii="Arial" w:hAnsi="Arial" w:cs="Arial"/>
                <w:sz w:val="24"/>
                <w:szCs w:val="24"/>
                <w:lang w:val="uk-UA"/>
              </w:rPr>
            </w:pPr>
            <w:r>
              <w:rPr>
                <w:rFonts w:ascii="Arial" w:hAnsi="Arial" w:cs="Arial"/>
                <w:sz w:val="24"/>
                <w:szCs w:val="24"/>
                <w:lang w:val="uk-UA"/>
              </w:rPr>
              <w:t xml:space="preserve">* Кількість випадків реагування на екстремальні події</w:t>
            </w:r>
            <w:r/>
          </w:p>
          <w:p>
            <w:pPr>
              <w:jc w:val="both"/>
              <w:rPr>
                <w:rFonts w:ascii="Arial" w:hAnsi="Arial" w:cs="Arial"/>
                <w:sz w:val="24"/>
                <w:szCs w:val="24"/>
                <w:lang w:val="uk-UA"/>
              </w:rPr>
            </w:pPr>
            <w:r>
              <w:rPr>
                <w:rFonts w:ascii="Arial" w:hAnsi="Arial" w:cs="Arial"/>
                <w:sz w:val="24"/>
                <w:szCs w:val="24"/>
                <w:lang w:val="uk-UA"/>
              </w:rPr>
              <w:t xml:space="preserve">* Витрати СНС на реагування на екстремальні події</w:t>
            </w:r>
            <w:r/>
          </w:p>
          <w:p>
            <w:pPr>
              <w:jc w:val="both"/>
              <w:rPr>
                <w:rFonts w:ascii="Arial" w:hAnsi="Arial" w:cs="Arial"/>
                <w:sz w:val="24"/>
                <w:szCs w:val="24"/>
                <w:lang w:val="uk-UA"/>
              </w:rPr>
            </w:pPr>
            <w:r>
              <w:rPr>
                <w:rFonts w:ascii="Arial" w:hAnsi="Arial" w:cs="Arial"/>
                <w:sz w:val="24"/>
                <w:szCs w:val="24"/>
                <w:lang w:val="uk-UA"/>
              </w:rPr>
              <w:t xml:space="preserve">* Витрати на підтримання СНС у підвищеній готовності</w:t>
            </w:r>
            <w:r/>
          </w:p>
          <w:p>
            <w:pPr>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Грози і буревії</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Пожежі</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85"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938"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Підтоплення,</w:t>
            </w:r>
            <w:r/>
          </w:p>
          <w:p>
            <w:pPr>
              <w:jc w:val="both"/>
              <w:rPr>
                <w:rFonts w:ascii="Arial" w:hAnsi="Arial" w:cs="Arial"/>
                <w:sz w:val="24"/>
                <w:szCs w:val="24"/>
                <w:lang w:val="uk-UA"/>
              </w:rPr>
            </w:pPr>
            <w:r>
              <w:rPr>
                <w:rFonts w:ascii="Arial" w:hAnsi="Arial" w:cs="Arial"/>
                <w:sz w:val="24"/>
                <w:szCs w:val="24"/>
                <w:lang w:val="uk-UA"/>
              </w:rPr>
              <w:t xml:space="preserve">повені</w:t>
            </w:r>
            <w:r/>
          </w:p>
        </w:tc>
        <w:tc>
          <w:tcPr>
            <w:shd w:val="clear" w:color="auto" w:fill="FFFFFF" w:themeFill="background1"/>
            <w:tcW w:w="1275"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Висока</w:t>
            </w:r>
            <w:r/>
          </w:p>
        </w:tc>
        <w:tc>
          <w:tcPr>
            <w:shd w:val="clear" w:color="auto" w:fill="FFFFFF" w:themeFill="background1"/>
            <w:tcW w:w="1276"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Значний </w:t>
            </w:r>
            <w:r/>
          </w:p>
        </w:tc>
        <w:tc>
          <w:tcPr>
            <w:shd w:val="clear" w:color="auto" w:fill="FFFFFF" w:themeFill="background1"/>
            <w:tcW w:w="1559" w:type="dxa"/>
            <w:textDirection w:val="lrTb"/>
            <w:noWrap w:val="false"/>
          </w:tcPr>
          <w:p>
            <w:pPr>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c>
          <w:tcPr>
            <w:shd w:val="clear" w:color="auto" w:fill="FFFFFF" w:themeFill="background1"/>
            <w:tcW w:w="6379" w:type="dxa"/>
            <w:vMerge w:val="continue"/>
            <w:textDirection w:val="lrTb"/>
            <w:noWrap w:val="false"/>
          </w:tcPr>
          <w:p>
            <w:pPr>
              <w:jc w:val="both"/>
              <w:rPr>
                <w:rFonts w:ascii="Arial" w:hAnsi="Arial" w:cs="Arial"/>
                <w:sz w:val="24"/>
                <w:szCs w:val="24"/>
                <w:lang w:val="uk-UA"/>
              </w:rPr>
            </w:pPr>
            <w:r>
              <w:rPr>
                <w:rFonts w:ascii="Arial" w:hAnsi="Arial" w:cs="Arial"/>
                <w:sz w:val="24"/>
                <w:szCs w:val="24"/>
                <w:lang w:val="uk-UA"/>
              </w:rPr>
            </w:r>
            <w:r/>
          </w:p>
        </w:tc>
      </w:tr>
    </w:tbl>
    <w:p>
      <w:pPr>
        <w:jc w:val="both"/>
        <w:rPr>
          <w:rFonts w:ascii="Arial" w:hAnsi="Arial" w:cs="Arial"/>
          <w:sz w:val="24"/>
          <w:szCs w:val="24"/>
          <w:lang w:val="uk-UA"/>
        </w:rPr>
      </w:pPr>
      <w:r>
        <w:rPr>
          <w:rFonts w:ascii="Arial" w:hAnsi="Arial" w:cs="Arial"/>
          <w:sz w:val="24"/>
          <w:szCs w:val="24"/>
          <w:lang w:val="uk-UA"/>
        </w:rPr>
      </w:r>
      <w:r/>
    </w:p>
    <w:p>
      <w:pPr>
        <w:jc w:val="both"/>
        <w:rPr>
          <w:rFonts w:ascii="Arial" w:hAnsi="Arial" w:cs="Arial"/>
          <w:sz w:val="24"/>
          <w:szCs w:val="24"/>
          <w:lang w:val="uk-UA"/>
        </w:rPr>
      </w:pPr>
      <w:r>
        <w:rPr>
          <w:rFonts w:ascii="Arial" w:hAnsi="Arial" w:cs="Arial"/>
          <w:sz w:val="24"/>
          <w:szCs w:val="24"/>
          <w:lang w:val="uk-UA"/>
        </w:rPr>
        <w:t xml:space="preserve">  </w:t>
      </w:r>
      <w:r>
        <w:rPr>
          <w:rFonts w:ascii="Arial" w:hAnsi="Arial" w:cs="Arial"/>
          <w:sz w:val="24"/>
          <w:szCs w:val="24"/>
          <w:lang w:val="uk-UA"/>
        </w:rPr>
        <w:tab/>
      </w:r>
      <w:r/>
    </w:p>
    <w:p>
      <w:pPr>
        <w:jc w:val="both"/>
        <w:rPr>
          <w:rFonts w:ascii="Arial" w:hAnsi="Arial" w:cs="Arial"/>
          <w:sz w:val="24"/>
          <w:szCs w:val="24"/>
          <w:lang w:val="uk-UA"/>
        </w:rPr>
      </w:pPr>
      <w:r>
        <w:rPr>
          <w:rFonts w:ascii="Arial" w:hAnsi="Arial" w:cs="Arial"/>
          <w:sz w:val="24"/>
          <w:szCs w:val="24"/>
          <w:lang w:val="uk-UA"/>
        </w:rPr>
      </w:r>
      <w:r/>
    </w:p>
    <w:p>
      <w:pPr>
        <w:jc w:val="both"/>
        <w:rPr>
          <w:rFonts w:ascii="Arial" w:hAnsi="Arial" w:cs="Arial"/>
          <w:sz w:val="24"/>
          <w:szCs w:val="24"/>
          <w:lang w:val="uk-UA"/>
        </w:rPr>
      </w:pPr>
      <w:r>
        <w:rPr>
          <w:rFonts w:ascii="Arial" w:hAnsi="Arial" w:cs="Arial"/>
          <w:sz w:val="24"/>
          <w:szCs w:val="24"/>
          <w:lang w:val="uk-UA"/>
        </w:rPr>
      </w:r>
      <w:r/>
    </w:p>
    <w:p>
      <w:pPr>
        <w:jc w:val="both"/>
        <w:rPr>
          <w:rFonts w:ascii="Arial" w:hAnsi="Arial" w:cs="Arial"/>
          <w:sz w:val="24"/>
          <w:szCs w:val="24"/>
          <w:lang w:val="uk-UA"/>
        </w:rPr>
      </w:pPr>
      <w:r>
        <w:rPr>
          <w:rFonts w:ascii="Arial" w:hAnsi="Arial" w:cs="Arial"/>
          <w:sz w:val="24"/>
          <w:szCs w:val="24"/>
          <w:lang w:val="uk-UA"/>
        </w:rPr>
      </w:r>
      <w:r/>
    </w:p>
    <w:p>
      <w:pPr>
        <w:jc w:val="both"/>
        <w:rPr>
          <w:rFonts w:ascii="Arial" w:hAnsi="Arial" w:cs="Arial"/>
          <w:sz w:val="24"/>
          <w:szCs w:val="24"/>
          <w:lang w:val="uk-UA"/>
        </w:rPr>
      </w:pPr>
      <w:r>
        <w:rPr>
          <w:rFonts w:ascii="Arial" w:hAnsi="Arial" w:cs="Arial"/>
          <w:sz w:val="24"/>
          <w:szCs w:val="24"/>
          <w:lang w:val="uk-UA"/>
        </w:rPr>
      </w:r>
      <w:r/>
    </w:p>
    <w:p>
      <w:pPr>
        <w:jc w:val="both"/>
        <w:rPr>
          <w:rFonts w:ascii="Arial" w:hAnsi="Arial" w:cs="Arial"/>
          <w:sz w:val="24"/>
          <w:szCs w:val="24"/>
          <w:lang w:val="uk-UA"/>
        </w:rPr>
      </w:pPr>
      <w:r>
        <w:rPr>
          <w:rFonts w:ascii="Arial" w:hAnsi="Arial" w:cs="Arial"/>
          <w:sz w:val="24"/>
          <w:szCs w:val="24"/>
          <w:lang w:val="uk-UA"/>
        </w:rPr>
        <w:t xml:space="preserve">В таблиці 9, відображеній нижче, узагальнені ключові заходи, важливі для адаптації Менської міської </w:t>
      </w:r>
      <w:r>
        <w:rPr>
          <w:rFonts w:ascii="Arial" w:hAnsi="Arial" w:cs="Arial"/>
          <w:sz w:val="24"/>
          <w:szCs w:val="24"/>
          <w:lang w:val="uk-UA"/>
        </w:rPr>
        <w:t xml:space="preserve">територіальної громади</w:t>
      </w:r>
      <w:r>
        <w:rPr>
          <w:rFonts w:ascii="Arial" w:hAnsi="Arial" w:cs="Arial"/>
          <w:sz w:val="24"/>
          <w:szCs w:val="24"/>
          <w:lang w:val="uk-UA"/>
        </w:rPr>
        <w:t xml:space="preserve"> до кліматичних змін.</w:t>
      </w:r>
      <w:r/>
    </w:p>
    <w:p>
      <w:pPr>
        <w:pStyle w:val="558"/>
        <w:jc w:val="both"/>
        <w:rPr>
          <w:rFonts w:ascii="Arial" w:hAnsi="Arial" w:cs="Arial"/>
          <w:b/>
          <w:sz w:val="24"/>
          <w:szCs w:val="24"/>
          <w:lang w:val="uk-UA"/>
        </w:rPr>
      </w:pPr>
      <w:r>
        <w:rPr>
          <w:rFonts w:ascii="Arial" w:hAnsi="Arial" w:cs="Arial"/>
          <w:b/>
          <w:sz w:val="24"/>
          <w:szCs w:val="24"/>
          <w:lang w:val="uk-UA"/>
        </w:rPr>
      </w:r>
      <w:r/>
    </w:p>
    <w:p>
      <w:pPr>
        <w:pStyle w:val="558"/>
        <w:jc w:val="both"/>
        <w:rPr>
          <w:rFonts w:ascii="Arial" w:hAnsi="Arial" w:cs="Arial"/>
          <w:b/>
          <w:sz w:val="24"/>
          <w:szCs w:val="24"/>
          <w:lang w:val="uk-UA"/>
        </w:rPr>
      </w:pPr>
      <w:r>
        <w:rPr>
          <w:rFonts w:ascii="Arial" w:hAnsi="Arial" w:cs="Arial"/>
          <w:b/>
          <w:sz w:val="24"/>
          <w:szCs w:val="24"/>
          <w:lang w:val="uk-UA"/>
        </w:rPr>
      </w:r>
      <w:r/>
    </w:p>
    <w:p>
      <w:pPr>
        <w:pStyle w:val="558"/>
        <w:jc w:val="center"/>
        <w:rPr>
          <w:rFonts w:ascii="Arial" w:hAnsi="Arial" w:cs="Arial"/>
          <w:b/>
          <w:sz w:val="24"/>
          <w:szCs w:val="24"/>
          <w:lang w:val="uk-UA"/>
        </w:rPr>
      </w:pPr>
      <w:r>
        <w:rPr>
          <w:rFonts w:ascii="Arial" w:hAnsi="Arial" w:cs="Arial"/>
          <w:b/>
          <w:sz w:val="24"/>
          <w:szCs w:val="24"/>
          <w:lang w:val="uk-UA"/>
        </w:rPr>
        <w:t xml:space="preserve">Таблиця 9. Загальні та секторальні (спеціальні) </w:t>
      </w:r>
      <w:r>
        <w:rPr>
          <w:rFonts w:ascii="Arial" w:hAnsi="Arial" w:cs="Arial"/>
          <w:b/>
          <w:sz w:val="24"/>
          <w:szCs w:val="24"/>
          <w:lang w:val="uk-UA"/>
        </w:rPr>
        <w:t xml:space="preserve">заходи, спрямовані на адаптацію</w:t>
      </w:r>
      <w:r>
        <w:rPr>
          <w:rFonts w:ascii="Arial" w:hAnsi="Arial" w:cs="Arial"/>
          <w:b/>
          <w:sz w:val="24"/>
          <w:szCs w:val="24"/>
          <w:lang w:val="uk-UA"/>
        </w:rPr>
        <w:t xml:space="preserve"> </w:t>
      </w:r>
      <w:r>
        <w:rPr>
          <w:rFonts w:ascii="Arial" w:hAnsi="Arial" w:cs="Arial"/>
          <w:b/>
          <w:sz w:val="24"/>
          <w:szCs w:val="24"/>
          <w:lang w:val="uk-UA"/>
        </w:rPr>
        <w:t xml:space="preserve">Менської міської </w:t>
      </w:r>
      <w:r>
        <w:rPr>
          <w:rFonts w:ascii="Arial" w:hAnsi="Arial" w:cs="Arial"/>
          <w:b/>
          <w:sz w:val="24"/>
          <w:szCs w:val="24"/>
          <w:lang w:val="uk-UA"/>
        </w:rPr>
        <w:t xml:space="preserve">територіальної громади</w:t>
      </w:r>
      <w:r>
        <w:rPr>
          <w:rFonts w:ascii="Arial" w:hAnsi="Arial" w:cs="Arial"/>
          <w:b/>
          <w:sz w:val="24"/>
          <w:szCs w:val="24"/>
          <w:lang w:val="uk-UA"/>
        </w:rPr>
        <w:t xml:space="preserve"> до змін клімату</w:t>
      </w:r>
      <w:r/>
    </w:p>
    <w:p>
      <w:pPr>
        <w:pStyle w:val="558"/>
        <w:jc w:val="both"/>
        <w:rPr>
          <w:rFonts w:ascii="Arial" w:hAnsi="Arial" w:cs="Arial"/>
          <w:b/>
          <w:sz w:val="24"/>
          <w:szCs w:val="24"/>
          <w:lang w:val="uk-UA"/>
        </w:rPr>
      </w:pPr>
      <w:r>
        <w:rPr>
          <w:rFonts w:ascii="Arial" w:hAnsi="Arial" w:cs="Arial"/>
          <w:b/>
          <w:sz w:val="24"/>
          <w:szCs w:val="24"/>
          <w:lang w:val="uk-UA"/>
        </w:rPr>
      </w:r>
      <w:r/>
    </w:p>
    <w:tbl>
      <w:tblPr>
        <w:tblStyle w:val="521"/>
        <w:tblW w:w="14170" w:type="dxa"/>
        <w:shd w:val="clear" w:color="auto" w:fill="FFFFFF" w:themeFill="background1"/>
        <w:tblLayout w:type="fixed"/>
        <w:tblLook w:val="04A0" w:firstRow="1" w:lastRow="0" w:firstColumn="1" w:lastColumn="0" w:noHBand="0" w:noVBand="1"/>
      </w:tblPr>
      <w:tblGrid>
        <w:gridCol w:w="1838"/>
        <w:gridCol w:w="10915"/>
        <w:gridCol w:w="1417"/>
      </w:tblGrid>
      <w:tr>
        <w:trPr/>
        <w:tc>
          <w:tcPr>
            <w:shd w:val="clear" w:color="auto" w:fill="FFFFFF" w:themeFill="background1"/>
            <w:tcW w:w="1838" w:type="dxa"/>
            <w:textDirection w:val="lrTb"/>
            <w:noWrap w:val="false"/>
          </w:tcPr>
          <w:p>
            <w:pPr>
              <w:pStyle w:val="558"/>
              <w:jc w:val="both"/>
              <w:rPr>
                <w:rFonts w:ascii="Arial" w:hAnsi="Arial" w:cs="Arial"/>
                <w:b/>
                <w:sz w:val="24"/>
                <w:szCs w:val="24"/>
              </w:rPr>
            </w:pPr>
            <w:r>
              <w:rPr>
                <w:rFonts w:ascii="Arial" w:hAnsi="Arial" w:cs="Arial"/>
                <w:b/>
                <w:sz w:val="24"/>
                <w:szCs w:val="24"/>
              </w:rPr>
              <w:t xml:space="preserve">Сектор</w:t>
            </w:r>
            <w:r/>
          </w:p>
        </w:tc>
        <w:tc>
          <w:tcPr>
            <w:shd w:val="clear" w:color="auto" w:fill="FFFFFF" w:themeFill="background1"/>
            <w:tcW w:w="10915" w:type="dxa"/>
            <w:textDirection w:val="lrTb"/>
            <w:noWrap w:val="false"/>
          </w:tcPr>
          <w:p>
            <w:pPr>
              <w:pStyle w:val="558"/>
              <w:jc w:val="center"/>
              <w:rPr>
                <w:rFonts w:ascii="Arial" w:hAnsi="Arial" w:cs="Arial"/>
                <w:b/>
                <w:sz w:val="24"/>
                <w:szCs w:val="24"/>
              </w:rPr>
            </w:pPr>
            <w:r>
              <w:rPr>
                <w:rFonts w:ascii="Arial" w:hAnsi="Arial" w:cs="Arial"/>
                <w:b/>
                <w:sz w:val="24"/>
                <w:szCs w:val="24"/>
              </w:rPr>
              <w:t xml:space="preserve">Заходи</w:t>
            </w:r>
            <w:r/>
          </w:p>
        </w:tc>
        <w:tc>
          <w:tcPr>
            <w:shd w:val="clear" w:color="auto" w:fill="FFFFFF" w:themeFill="background1"/>
            <w:tcW w:w="1417" w:type="dxa"/>
            <w:textDirection w:val="lrTb"/>
            <w:noWrap w:val="false"/>
          </w:tcPr>
          <w:p>
            <w:pPr>
              <w:pStyle w:val="558"/>
              <w:jc w:val="both"/>
              <w:rPr>
                <w:rFonts w:ascii="Arial" w:hAnsi="Arial" w:cs="Arial"/>
                <w:b/>
                <w:sz w:val="24"/>
                <w:szCs w:val="24"/>
              </w:rPr>
            </w:pPr>
            <w:r>
              <w:rPr>
                <w:rFonts w:ascii="Arial" w:hAnsi="Arial" w:cs="Arial"/>
                <w:b/>
                <w:sz w:val="24"/>
                <w:szCs w:val="24"/>
              </w:rPr>
              <w:t xml:space="preserve">Терміни</w:t>
            </w:r>
            <w:r/>
          </w:p>
        </w:tc>
      </w:tr>
      <w:tr>
        <w:trPr/>
        <w:tc>
          <w:tcPr>
            <w:gridSpan w:val="3"/>
            <w:shd w:val="clear" w:color="auto" w:fill="FFFFFF" w:themeFill="background1"/>
            <w:tcW w:w="14170" w:type="dxa"/>
            <w:textDirection w:val="lrTb"/>
            <w:noWrap w:val="false"/>
          </w:tcPr>
          <w:p>
            <w:pPr>
              <w:pStyle w:val="558"/>
              <w:jc w:val="center"/>
              <w:rPr>
                <w:rFonts w:ascii="Arial" w:hAnsi="Arial" w:cs="Arial"/>
                <w:b/>
                <w:sz w:val="24"/>
                <w:szCs w:val="24"/>
              </w:rPr>
            </w:pPr>
            <w:r>
              <w:rPr>
                <w:rFonts w:ascii="Arial" w:hAnsi="Arial" w:cs="Arial"/>
                <w:b/>
                <w:sz w:val="24"/>
                <w:szCs w:val="24"/>
              </w:rPr>
              <w:t xml:space="preserve">Загальні</w:t>
            </w:r>
            <w:r>
              <w:rPr>
                <w:rFonts w:ascii="Arial" w:hAnsi="Arial" w:cs="Arial"/>
                <w:b/>
                <w:sz w:val="24"/>
                <w:szCs w:val="24"/>
              </w:rPr>
              <w:t xml:space="preserve"> </w:t>
            </w:r>
            <w:r>
              <w:rPr>
                <w:rFonts w:ascii="Arial" w:hAnsi="Arial" w:cs="Arial"/>
                <w:b/>
                <w:sz w:val="24"/>
                <w:szCs w:val="24"/>
              </w:rPr>
              <w:t xml:space="preserve">заходи</w:t>
            </w:r>
            <w:r/>
          </w:p>
        </w:tc>
      </w:tr>
      <w:tr>
        <w:trPr/>
        <w:tc>
          <w:tcPr>
            <w:shd w:val="clear" w:color="auto" w:fill="FFFFFF" w:themeFill="background1"/>
            <w:tcW w:w="1838" w:type="dxa"/>
            <w:vMerge w:val="restart"/>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48"/>
              <w:jc w:val="both"/>
              <w:rPr>
                <w:lang w:val="uk-UA"/>
              </w:rPr>
            </w:pPr>
            <w:r>
              <w:rPr>
                <w:color w:val="auto"/>
                <w:lang w:val="uk-UA"/>
              </w:rPr>
              <w:t xml:space="preserve">Створення консультативних рад та механізмів залучення населення до адаптаційних заходів</w:t>
            </w:r>
            <w:r/>
          </w:p>
        </w:tc>
        <w:tc>
          <w:tcPr>
            <w:shd w:val="clear" w:color="auto" w:fill="FFFFFF" w:themeFill="background1"/>
            <w:tcW w:w="1417" w:type="dxa"/>
            <w:vMerge w:val="restart"/>
            <w:textDirection w:val="lrTb"/>
            <w:noWrap w:val="false"/>
          </w:tcPr>
          <w:p>
            <w:pPr>
              <w:pStyle w:val="558"/>
              <w:jc w:val="both"/>
              <w:rPr>
                <w:rFonts w:ascii="Arial" w:hAnsi="Arial" w:cs="Arial"/>
                <w:sz w:val="24"/>
                <w:szCs w:val="24"/>
              </w:rPr>
            </w:pPr>
            <w:r>
              <w:rPr>
                <w:rFonts w:ascii="Arial" w:hAnsi="Arial" w:cs="Arial"/>
                <w:sz w:val="24"/>
                <w:szCs w:val="24"/>
                <w:lang w:val="uk-UA"/>
              </w:rPr>
              <w:t xml:space="preserve">Коротко- і середньо-термінові</w:t>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48"/>
              <w:jc w:val="both"/>
              <w:rPr>
                <w:color w:val="auto"/>
                <w:lang w:val="uk-UA"/>
              </w:rPr>
            </w:pPr>
            <w:r>
              <w:rPr>
                <w:color w:val="auto"/>
                <w:lang w:val="uk-UA"/>
              </w:rPr>
              <w:t xml:space="preserve">Створення та підтримка ефективних механізмів інформування та комунікації між владою та секторами місцевої громади</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48"/>
              <w:jc w:val="both"/>
              <w:rPr>
                <w:color w:val="auto"/>
                <w:lang w:val="uk-UA"/>
              </w:rPr>
            </w:pPr>
            <w:r>
              <w:rPr>
                <w:color w:val="auto"/>
                <w:lang w:val="uk-UA"/>
              </w:rPr>
              <w:t xml:space="preserve">Залучення зацікавлених сторін громади до обговорення та прийняття рішень з питань соціально-економічного розвитку, покращення екологічного стану територій  громади  з урахуванням кліматичних змін </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48"/>
              <w:jc w:val="both"/>
              <w:rPr>
                <w:color w:val="auto"/>
                <w:lang w:val="uk-UA"/>
              </w:rPr>
            </w:pPr>
            <w:r>
              <w:rPr>
                <w:color w:val="auto"/>
                <w:lang w:val="uk-UA"/>
              </w:rPr>
              <w:t xml:space="preserve">Розроблення щорічних планів соціально-економічного розвитку громади з урахуванням впливу змін клімату</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48"/>
              <w:jc w:val="both"/>
              <w:rPr>
                <w:lang w:val="uk-UA"/>
              </w:rPr>
            </w:pPr>
            <w:r>
              <w:rPr>
                <w:color w:val="auto"/>
                <w:lang w:val="uk-UA"/>
              </w:rPr>
              <w:t xml:space="preserve">Проведення пе</w:t>
            </w:r>
            <w:r>
              <w:rPr>
                <w:color w:val="auto"/>
                <w:lang w:val="uk-UA"/>
              </w:rPr>
              <w:t xml:space="preserve">рманентної інформаційної кампанії, спрямованої на різну цільову аудиторію (від наймолодших мешканців громади до найстарших), спрямованої на підвищення поінформованості про зміни клімату та формування поведінки при надзвичайних погодних та інших ситуаціях  </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Окремі освітні програми, спрямовані на підвищення обізнаності дітей та молоді з питань змін клімату та їх наслідків.</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gridSpan w:val="3"/>
            <w:shd w:val="clear" w:color="auto" w:fill="FFFFFF" w:themeFill="background1"/>
            <w:tcW w:w="14170" w:type="dxa"/>
            <w:textDirection w:val="lrTb"/>
            <w:noWrap w:val="false"/>
          </w:tcPr>
          <w:p>
            <w:pPr>
              <w:pStyle w:val="558"/>
              <w:jc w:val="center"/>
              <w:rPr>
                <w:rFonts w:ascii="Arial" w:hAnsi="Arial" w:cs="Arial"/>
                <w:b/>
                <w:sz w:val="24"/>
                <w:szCs w:val="24"/>
              </w:rPr>
            </w:pPr>
            <w:r>
              <w:rPr>
                <w:rFonts w:ascii="Arial" w:hAnsi="Arial" w:cs="Arial"/>
                <w:b/>
                <w:sz w:val="24"/>
                <w:szCs w:val="24"/>
              </w:rPr>
              <w:t xml:space="preserve">Секторальні</w:t>
            </w:r>
            <w:r>
              <w:rPr>
                <w:rFonts w:ascii="Arial" w:hAnsi="Arial" w:cs="Arial"/>
                <w:b/>
                <w:sz w:val="24"/>
                <w:szCs w:val="24"/>
              </w:rPr>
              <w:t xml:space="preserve"> </w:t>
            </w:r>
            <w:r>
              <w:rPr>
                <w:rFonts w:ascii="Arial" w:hAnsi="Arial" w:cs="Arial"/>
                <w:b/>
                <w:sz w:val="24"/>
                <w:szCs w:val="24"/>
              </w:rPr>
              <w:t xml:space="preserve">заходи</w:t>
            </w:r>
            <w:r/>
          </w:p>
        </w:tc>
      </w:tr>
      <w:tr>
        <w:trPr/>
        <w:tc>
          <w:tcPr>
            <w:shd w:val="clear" w:color="auto" w:fill="FFFFFF" w:themeFill="background1"/>
            <w:tcW w:w="1838" w:type="dxa"/>
            <w:vMerge w:val="restart"/>
            <w:textDirection w:val="lrTb"/>
            <w:noWrap w:val="false"/>
          </w:tcPr>
          <w:p>
            <w:pPr>
              <w:pStyle w:val="558"/>
              <w:jc w:val="both"/>
              <w:rPr>
                <w:rFonts w:ascii="Arial" w:hAnsi="Arial" w:cs="Arial"/>
                <w:sz w:val="24"/>
                <w:szCs w:val="24"/>
              </w:rPr>
            </w:pPr>
            <w:r>
              <w:rPr>
                <w:rFonts w:ascii="Arial" w:hAnsi="Arial" w:cs="Arial"/>
                <w:sz w:val="24"/>
                <w:szCs w:val="24"/>
              </w:rPr>
              <w:t xml:space="preserve">Будинки</w:t>
            </w:r>
            <w:r>
              <w:rPr>
                <w:rFonts w:ascii="Arial" w:hAnsi="Arial" w:cs="Arial"/>
                <w:sz w:val="24"/>
                <w:szCs w:val="24"/>
              </w:rPr>
              <w:t xml:space="preserve"> і </w:t>
            </w:r>
            <w:r>
              <w:rPr>
                <w:rFonts w:ascii="Arial" w:hAnsi="Arial" w:cs="Arial"/>
                <w:sz w:val="24"/>
                <w:szCs w:val="24"/>
              </w:rPr>
              <w:t xml:space="preserve">споруди</w:t>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Регулювання забудови території міста та інших населених пунктів з урахуванням забезпечення необхідною інфраструктурою для управління наявними водними об’єктами, зеленими зонами та ін. </w:t>
            </w:r>
            <w:r/>
          </w:p>
        </w:tc>
        <w:tc>
          <w:tcPr>
            <w:shd w:val="clear" w:color="auto" w:fill="FFFFFF" w:themeFill="background1"/>
            <w:tcW w:w="1417" w:type="dxa"/>
            <w:vMerge w:val="restart"/>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Регулювання забудови території міста та інших населених пунктів з урахуванням зон паводків та підтоплення </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Рекомендації для проектувальників нових будівель та інфраструктури передбачити використання відповідних конструкцій, систем кондиціонування, </w:t>
            </w:r>
            <w:r>
              <w:rPr>
                <w:rFonts w:ascii="Arial" w:hAnsi="Arial" w:cs="Arial"/>
                <w:sz w:val="24"/>
                <w:szCs w:val="24"/>
                <w:lang w:val="uk-UA"/>
              </w:rPr>
              <w:t xml:space="preserve">енерго-зберігаючих</w:t>
            </w:r>
            <w:r>
              <w:rPr>
                <w:rFonts w:ascii="Arial" w:hAnsi="Arial" w:cs="Arial"/>
                <w:sz w:val="24"/>
                <w:szCs w:val="24"/>
                <w:lang w:val="uk-UA"/>
              </w:rPr>
              <w:t xml:space="preserve"> матеріалів, стійких до тривалої експлуатації в умовах високих температур повітря. </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Використання для дахів та фасадів будинків матеріали, що відбивають максимальну кількість сонячної радіації</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Забезпечення постійного моніторингу стану будинків і споруд та оперативне реагування на його погіршення</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restart"/>
            <w:textDirection w:val="lrTb"/>
            <w:noWrap w:val="false"/>
          </w:tcPr>
          <w:p>
            <w:pPr>
              <w:pStyle w:val="558"/>
              <w:jc w:val="both"/>
              <w:rPr>
                <w:rFonts w:ascii="Arial" w:hAnsi="Arial" w:cs="Arial"/>
                <w:sz w:val="24"/>
                <w:szCs w:val="24"/>
              </w:rPr>
            </w:pPr>
            <w:r>
              <w:rPr>
                <w:rFonts w:ascii="Arial" w:hAnsi="Arial" w:cs="Arial"/>
                <w:sz w:val="24"/>
                <w:szCs w:val="24"/>
              </w:rPr>
              <w:t xml:space="preserve">Транспортні</w:t>
            </w:r>
            <w:r>
              <w:rPr>
                <w:rFonts w:ascii="Arial" w:hAnsi="Arial" w:cs="Arial"/>
                <w:sz w:val="24"/>
                <w:szCs w:val="24"/>
              </w:rPr>
              <w:t xml:space="preserve"> </w:t>
            </w:r>
            <w:r>
              <w:rPr>
                <w:rFonts w:ascii="Arial" w:hAnsi="Arial" w:cs="Arial"/>
                <w:sz w:val="24"/>
                <w:szCs w:val="24"/>
              </w:rPr>
              <w:t xml:space="preserve">системи</w:t>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Планування</w:t>
            </w:r>
            <w:r>
              <w:rPr>
                <w:rFonts w:ascii="Arial" w:hAnsi="Arial" w:cs="Arial"/>
                <w:sz w:val="24"/>
                <w:szCs w:val="24"/>
                <w:lang w:val="ru-RU"/>
              </w:rPr>
              <w:t xml:space="preserve"> </w:t>
            </w:r>
            <w:r>
              <w:rPr>
                <w:rFonts w:ascii="Arial" w:hAnsi="Arial" w:cs="Arial"/>
                <w:sz w:val="24"/>
                <w:szCs w:val="24"/>
                <w:lang w:val="ru-RU"/>
              </w:rPr>
              <w:t xml:space="preserve">будівництва</w:t>
            </w:r>
            <w:r>
              <w:rPr>
                <w:rFonts w:ascii="Arial" w:hAnsi="Arial" w:cs="Arial"/>
                <w:sz w:val="24"/>
                <w:szCs w:val="24"/>
                <w:lang w:val="ru-RU"/>
              </w:rPr>
              <w:t xml:space="preserve"> та </w:t>
            </w:r>
            <w:r>
              <w:rPr>
                <w:rFonts w:ascii="Arial" w:hAnsi="Arial" w:cs="Arial"/>
                <w:sz w:val="24"/>
                <w:szCs w:val="24"/>
                <w:lang w:val="ru-RU"/>
              </w:rPr>
              <w:t xml:space="preserve">реконструкції</w:t>
            </w:r>
            <w:r>
              <w:rPr>
                <w:rFonts w:ascii="Arial" w:hAnsi="Arial" w:cs="Arial"/>
                <w:sz w:val="24"/>
                <w:szCs w:val="24"/>
                <w:lang w:val="ru-RU"/>
              </w:rPr>
              <w:t xml:space="preserve"> </w:t>
            </w:r>
            <w:r>
              <w:rPr>
                <w:rFonts w:ascii="Arial" w:hAnsi="Arial" w:cs="Arial"/>
                <w:sz w:val="24"/>
                <w:szCs w:val="24"/>
                <w:lang w:val="ru-RU"/>
              </w:rPr>
              <w:t xml:space="preserve">доріг</w:t>
            </w:r>
            <w:r>
              <w:rPr>
                <w:rFonts w:ascii="Arial" w:hAnsi="Arial" w:cs="Arial"/>
                <w:sz w:val="24"/>
                <w:szCs w:val="24"/>
                <w:lang w:val="ru-RU"/>
              </w:rPr>
              <w:t xml:space="preserve"> з </w:t>
            </w:r>
            <w:r>
              <w:rPr>
                <w:rFonts w:ascii="Arial" w:hAnsi="Arial" w:cs="Arial"/>
                <w:sz w:val="24"/>
                <w:szCs w:val="24"/>
                <w:lang w:val="ru-RU"/>
              </w:rPr>
              <w:t xml:space="preserve">урахуванням</w:t>
            </w:r>
            <w:r>
              <w:rPr>
                <w:rFonts w:ascii="Arial" w:hAnsi="Arial" w:cs="Arial"/>
                <w:sz w:val="24"/>
                <w:szCs w:val="24"/>
                <w:lang w:val="ru-RU"/>
              </w:rPr>
              <w:t xml:space="preserve"> </w:t>
            </w:r>
            <w:r>
              <w:rPr>
                <w:rFonts w:ascii="Arial" w:hAnsi="Arial" w:cs="Arial"/>
                <w:sz w:val="24"/>
                <w:szCs w:val="24"/>
                <w:lang w:val="ru-RU"/>
              </w:rPr>
              <w:t xml:space="preserve">стійкості</w:t>
            </w:r>
            <w:r>
              <w:rPr>
                <w:rFonts w:ascii="Arial" w:hAnsi="Arial" w:cs="Arial"/>
                <w:sz w:val="24"/>
                <w:szCs w:val="24"/>
                <w:lang w:val="ru-RU"/>
              </w:rPr>
              <w:t xml:space="preserve"> до </w:t>
            </w:r>
            <w:r>
              <w:rPr>
                <w:rFonts w:ascii="Arial" w:hAnsi="Arial" w:cs="Arial"/>
                <w:sz w:val="24"/>
                <w:szCs w:val="24"/>
                <w:lang w:val="ru-RU"/>
              </w:rPr>
              <w:t xml:space="preserve">кліматичних</w:t>
            </w:r>
            <w:r>
              <w:rPr>
                <w:rFonts w:ascii="Arial" w:hAnsi="Arial" w:cs="Arial"/>
                <w:sz w:val="24"/>
                <w:szCs w:val="24"/>
                <w:lang w:val="ru-RU"/>
              </w:rPr>
              <w:t xml:space="preserve"> </w:t>
            </w:r>
            <w:r>
              <w:rPr>
                <w:rFonts w:ascii="Arial" w:hAnsi="Arial" w:cs="Arial"/>
                <w:sz w:val="24"/>
                <w:szCs w:val="24"/>
                <w:lang w:val="ru-RU"/>
              </w:rPr>
              <w:t xml:space="preserve">факторів</w:t>
            </w:r>
            <w:r>
              <w:rPr>
                <w:rFonts w:ascii="Arial" w:hAnsi="Arial" w:cs="Arial"/>
                <w:sz w:val="24"/>
                <w:szCs w:val="24"/>
                <w:lang w:val="ru-RU"/>
              </w:rPr>
              <w:t xml:space="preserve"> (</w:t>
            </w:r>
            <w:r>
              <w:rPr>
                <w:rFonts w:ascii="Arial" w:hAnsi="Arial" w:cs="Arial"/>
                <w:sz w:val="24"/>
                <w:szCs w:val="24"/>
                <w:lang w:val="ru-RU"/>
              </w:rPr>
              <w:t xml:space="preserve">зокрема</w:t>
            </w:r>
            <w:r>
              <w:rPr>
                <w:rFonts w:ascii="Arial" w:hAnsi="Arial" w:cs="Arial"/>
                <w:sz w:val="24"/>
                <w:szCs w:val="24"/>
                <w:lang w:val="ru-RU"/>
              </w:rPr>
              <w:t xml:space="preserve">, до </w:t>
            </w:r>
            <w:r>
              <w:rPr>
                <w:rFonts w:ascii="Arial" w:hAnsi="Arial" w:cs="Arial"/>
                <w:sz w:val="24"/>
                <w:szCs w:val="24"/>
                <w:lang w:val="ru-RU"/>
              </w:rPr>
              <w:t xml:space="preserve">високих</w:t>
            </w:r>
            <w:r>
              <w:rPr>
                <w:rFonts w:ascii="Arial" w:hAnsi="Arial" w:cs="Arial"/>
                <w:sz w:val="24"/>
                <w:szCs w:val="24"/>
                <w:lang w:val="ru-RU"/>
              </w:rPr>
              <w:t xml:space="preserve"> температур)</w:t>
            </w:r>
            <w:r/>
          </w:p>
        </w:tc>
        <w:tc>
          <w:tcPr>
            <w:shd w:val="clear" w:color="auto" w:fill="FFFFFF" w:themeFill="background1"/>
            <w:tcW w:w="1417" w:type="dxa"/>
            <w:vMerge w:val="restart"/>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rPr>
            </w:pPr>
            <w:r>
              <w:rPr>
                <w:rFonts w:ascii="Arial" w:hAnsi="Arial" w:cs="Arial"/>
                <w:sz w:val="24"/>
                <w:szCs w:val="24"/>
              </w:rPr>
              <w:t xml:space="preserve">Планування</w:t>
            </w:r>
            <w:r>
              <w:rPr>
                <w:rFonts w:ascii="Arial" w:hAnsi="Arial" w:cs="Arial"/>
                <w:sz w:val="24"/>
                <w:szCs w:val="24"/>
              </w:rPr>
              <w:t xml:space="preserve"> </w:t>
            </w:r>
            <w:r>
              <w:rPr>
                <w:rFonts w:ascii="Arial" w:hAnsi="Arial" w:cs="Arial"/>
                <w:sz w:val="24"/>
                <w:szCs w:val="24"/>
              </w:rPr>
              <w:t xml:space="preserve">будівництва</w:t>
            </w:r>
            <w:r>
              <w:rPr>
                <w:rFonts w:ascii="Arial" w:hAnsi="Arial" w:cs="Arial"/>
                <w:sz w:val="24"/>
                <w:szCs w:val="24"/>
              </w:rPr>
              <w:t xml:space="preserve"> </w:t>
            </w:r>
            <w:r>
              <w:rPr>
                <w:rFonts w:ascii="Arial" w:hAnsi="Arial" w:cs="Arial"/>
                <w:sz w:val="24"/>
                <w:szCs w:val="24"/>
              </w:rPr>
              <w:t xml:space="preserve">та</w:t>
            </w:r>
            <w:r>
              <w:rPr>
                <w:rFonts w:ascii="Arial" w:hAnsi="Arial" w:cs="Arial"/>
                <w:sz w:val="24"/>
                <w:szCs w:val="24"/>
              </w:rPr>
              <w:t xml:space="preserve"> </w:t>
            </w:r>
            <w:r>
              <w:rPr>
                <w:rFonts w:ascii="Arial" w:hAnsi="Arial" w:cs="Arial"/>
                <w:sz w:val="24"/>
                <w:szCs w:val="24"/>
              </w:rPr>
              <w:t xml:space="preserve">експлуатація</w:t>
            </w:r>
            <w:r>
              <w:rPr>
                <w:rFonts w:ascii="Arial" w:hAnsi="Arial" w:cs="Arial"/>
                <w:sz w:val="24"/>
                <w:szCs w:val="24"/>
              </w:rPr>
              <w:t xml:space="preserve"> </w:t>
            </w:r>
            <w:r>
              <w:rPr>
                <w:rFonts w:ascii="Arial" w:hAnsi="Arial" w:cs="Arial"/>
                <w:sz w:val="24"/>
                <w:szCs w:val="24"/>
              </w:rPr>
              <w:t xml:space="preserve">доріг</w:t>
            </w:r>
            <w:r>
              <w:rPr>
                <w:rFonts w:ascii="Arial" w:hAnsi="Arial" w:cs="Arial"/>
                <w:sz w:val="24"/>
                <w:szCs w:val="24"/>
              </w:rPr>
              <w:t xml:space="preserve"> з </w:t>
            </w:r>
            <w:r>
              <w:rPr>
                <w:rFonts w:ascii="Arial" w:hAnsi="Arial" w:cs="Arial"/>
                <w:sz w:val="24"/>
                <w:szCs w:val="24"/>
              </w:rPr>
              <w:t xml:space="preserve">урахуванням</w:t>
            </w:r>
            <w:r>
              <w:rPr>
                <w:rFonts w:ascii="Arial" w:hAnsi="Arial" w:cs="Arial"/>
                <w:sz w:val="24"/>
                <w:szCs w:val="24"/>
              </w:rPr>
              <w:t xml:space="preserve"> </w:t>
            </w:r>
            <w:r>
              <w:rPr>
                <w:rFonts w:ascii="Arial" w:hAnsi="Arial" w:cs="Arial"/>
                <w:sz w:val="24"/>
                <w:szCs w:val="24"/>
              </w:rPr>
              <w:t xml:space="preserve">зон</w:t>
            </w:r>
            <w:r>
              <w:rPr>
                <w:rFonts w:ascii="Arial" w:hAnsi="Arial" w:cs="Arial"/>
                <w:sz w:val="24"/>
                <w:szCs w:val="24"/>
              </w:rPr>
              <w:t xml:space="preserve"> </w:t>
            </w:r>
            <w:r>
              <w:rPr>
                <w:rFonts w:ascii="Arial" w:hAnsi="Arial" w:cs="Arial"/>
                <w:sz w:val="24"/>
                <w:szCs w:val="24"/>
              </w:rPr>
              <w:t xml:space="preserve">розливів</w:t>
            </w:r>
            <w:r>
              <w:rPr>
                <w:rFonts w:ascii="Arial" w:hAnsi="Arial" w:cs="Arial"/>
                <w:sz w:val="24"/>
                <w:szCs w:val="24"/>
              </w:rPr>
              <w:t xml:space="preserve"> </w:t>
            </w:r>
            <w:r>
              <w:rPr>
                <w:rFonts w:ascii="Arial" w:hAnsi="Arial" w:cs="Arial"/>
                <w:sz w:val="24"/>
                <w:szCs w:val="24"/>
              </w:rPr>
              <w:t xml:space="preserve">та</w:t>
            </w:r>
            <w:r>
              <w:rPr>
                <w:rFonts w:ascii="Arial" w:hAnsi="Arial" w:cs="Arial"/>
                <w:sz w:val="24"/>
                <w:szCs w:val="24"/>
              </w:rPr>
              <w:t xml:space="preserve"> </w:t>
            </w:r>
            <w:r>
              <w:rPr>
                <w:rFonts w:ascii="Arial" w:hAnsi="Arial" w:cs="Arial"/>
                <w:sz w:val="24"/>
                <w:szCs w:val="24"/>
              </w:rPr>
              <w:t xml:space="preserve">пдтоплення</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Будівництво</w:t>
            </w:r>
            <w:r>
              <w:rPr>
                <w:rFonts w:ascii="Arial" w:hAnsi="Arial" w:cs="Arial"/>
                <w:sz w:val="24"/>
                <w:szCs w:val="24"/>
                <w:lang w:val="ru-RU"/>
              </w:rPr>
              <w:t xml:space="preserve"> та </w:t>
            </w:r>
            <w:r>
              <w:rPr>
                <w:rFonts w:ascii="Arial" w:hAnsi="Arial" w:cs="Arial"/>
                <w:sz w:val="24"/>
                <w:szCs w:val="24"/>
                <w:lang w:val="ru-RU"/>
              </w:rPr>
              <w:t xml:space="preserve">реконструкція</w:t>
            </w:r>
            <w:r>
              <w:rPr>
                <w:rFonts w:ascii="Arial" w:hAnsi="Arial" w:cs="Arial"/>
                <w:sz w:val="24"/>
                <w:szCs w:val="24"/>
                <w:lang w:val="ru-RU"/>
              </w:rPr>
              <w:t xml:space="preserve"> </w:t>
            </w:r>
            <w:r>
              <w:rPr>
                <w:rFonts w:ascii="Arial" w:hAnsi="Arial" w:cs="Arial"/>
                <w:sz w:val="24"/>
                <w:szCs w:val="24"/>
                <w:lang w:val="ru-RU"/>
              </w:rPr>
              <w:t xml:space="preserve">доріг</w:t>
            </w:r>
            <w:r>
              <w:rPr>
                <w:rFonts w:ascii="Arial" w:hAnsi="Arial" w:cs="Arial"/>
                <w:sz w:val="24"/>
                <w:szCs w:val="24"/>
                <w:lang w:val="ru-RU"/>
              </w:rPr>
              <w:t xml:space="preserve"> з </w:t>
            </w:r>
            <w:r>
              <w:rPr>
                <w:rFonts w:ascii="Arial" w:hAnsi="Arial" w:cs="Arial"/>
                <w:sz w:val="24"/>
                <w:szCs w:val="24"/>
                <w:lang w:val="ru-RU"/>
              </w:rPr>
              <w:t xml:space="preserve">використанням</w:t>
            </w:r>
            <w:r>
              <w:rPr>
                <w:rFonts w:ascii="Arial" w:hAnsi="Arial" w:cs="Arial"/>
                <w:sz w:val="24"/>
                <w:szCs w:val="24"/>
                <w:lang w:val="ru-RU"/>
              </w:rPr>
              <w:t xml:space="preserve"> </w:t>
            </w:r>
            <w:r>
              <w:rPr>
                <w:rFonts w:ascii="Arial" w:hAnsi="Arial" w:cs="Arial"/>
                <w:sz w:val="24"/>
                <w:szCs w:val="24"/>
                <w:lang w:val="ru-RU"/>
              </w:rPr>
              <w:t xml:space="preserve">матеріалів</w:t>
            </w:r>
            <w:r>
              <w:rPr>
                <w:rFonts w:ascii="Arial" w:hAnsi="Arial" w:cs="Arial"/>
                <w:sz w:val="24"/>
                <w:szCs w:val="24"/>
                <w:lang w:val="ru-RU"/>
              </w:rPr>
              <w:t xml:space="preserve">, </w:t>
            </w:r>
            <w:r>
              <w:rPr>
                <w:rFonts w:ascii="Arial" w:hAnsi="Arial" w:cs="Arial"/>
                <w:sz w:val="24"/>
                <w:szCs w:val="24"/>
                <w:lang w:val="ru-RU"/>
              </w:rPr>
              <w:t xml:space="preserve">стійких</w:t>
            </w:r>
            <w:r>
              <w:rPr>
                <w:rFonts w:ascii="Arial" w:hAnsi="Arial" w:cs="Arial"/>
                <w:sz w:val="24"/>
                <w:szCs w:val="24"/>
                <w:lang w:val="ru-RU"/>
              </w:rPr>
              <w:t xml:space="preserve"> до </w:t>
            </w:r>
            <w:r>
              <w:rPr>
                <w:rFonts w:ascii="Arial" w:hAnsi="Arial" w:cs="Arial"/>
                <w:sz w:val="24"/>
                <w:szCs w:val="24"/>
                <w:lang w:val="ru-RU"/>
              </w:rPr>
              <w:t xml:space="preserve">низьких</w:t>
            </w:r>
            <w:r>
              <w:rPr>
                <w:rFonts w:ascii="Arial" w:hAnsi="Arial" w:cs="Arial"/>
                <w:sz w:val="24"/>
                <w:szCs w:val="24"/>
                <w:lang w:val="ru-RU"/>
              </w:rPr>
              <w:t xml:space="preserve"> і </w:t>
            </w:r>
            <w:r>
              <w:rPr>
                <w:rFonts w:ascii="Arial" w:hAnsi="Arial" w:cs="Arial"/>
                <w:sz w:val="24"/>
                <w:szCs w:val="24"/>
                <w:lang w:val="ru-RU"/>
              </w:rPr>
              <w:t xml:space="preserve">високих</w:t>
            </w:r>
            <w:r>
              <w:rPr>
                <w:rFonts w:ascii="Arial" w:hAnsi="Arial" w:cs="Arial"/>
                <w:sz w:val="24"/>
                <w:szCs w:val="24"/>
                <w:lang w:val="ru-RU"/>
              </w:rPr>
              <w:t xml:space="preserve"> температур</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Підтримання</w:t>
            </w:r>
            <w:r>
              <w:rPr>
                <w:rFonts w:ascii="Arial" w:hAnsi="Arial" w:cs="Arial"/>
                <w:sz w:val="24"/>
                <w:szCs w:val="24"/>
                <w:lang w:val="ru-RU"/>
              </w:rPr>
              <w:t xml:space="preserve"> в </w:t>
            </w:r>
            <w:r>
              <w:rPr>
                <w:rFonts w:ascii="Arial" w:hAnsi="Arial" w:cs="Arial"/>
                <w:sz w:val="24"/>
                <w:szCs w:val="24"/>
                <w:lang w:val="ru-RU"/>
              </w:rPr>
              <w:t xml:space="preserve">належному</w:t>
            </w:r>
            <w:r>
              <w:rPr>
                <w:rFonts w:ascii="Arial" w:hAnsi="Arial" w:cs="Arial"/>
                <w:sz w:val="24"/>
                <w:szCs w:val="24"/>
                <w:lang w:val="ru-RU"/>
              </w:rPr>
              <w:t xml:space="preserve"> </w:t>
            </w:r>
            <w:r>
              <w:rPr>
                <w:rFonts w:ascii="Arial" w:hAnsi="Arial" w:cs="Arial"/>
                <w:sz w:val="24"/>
                <w:szCs w:val="24"/>
                <w:lang w:val="ru-RU"/>
              </w:rPr>
              <w:t xml:space="preserve">стані</w:t>
            </w:r>
            <w:r>
              <w:rPr>
                <w:rFonts w:ascii="Arial" w:hAnsi="Arial" w:cs="Arial"/>
                <w:sz w:val="24"/>
                <w:szCs w:val="24"/>
                <w:lang w:val="ru-RU"/>
              </w:rPr>
              <w:t xml:space="preserve"> та, при </w:t>
            </w:r>
            <w:r>
              <w:rPr>
                <w:rFonts w:ascii="Arial" w:hAnsi="Arial" w:cs="Arial"/>
                <w:sz w:val="24"/>
                <w:szCs w:val="24"/>
                <w:lang w:val="ru-RU"/>
              </w:rPr>
              <w:t xml:space="preserve">необхідності</w:t>
            </w:r>
            <w:r>
              <w:rPr>
                <w:rFonts w:ascii="Arial" w:hAnsi="Arial" w:cs="Arial"/>
                <w:sz w:val="24"/>
                <w:szCs w:val="24"/>
                <w:lang w:val="ru-RU"/>
              </w:rPr>
              <w:t xml:space="preserve">, </w:t>
            </w:r>
            <w:r>
              <w:rPr>
                <w:rFonts w:ascii="Arial" w:hAnsi="Arial" w:cs="Arial"/>
                <w:sz w:val="24"/>
                <w:szCs w:val="24"/>
                <w:lang w:val="ru-RU"/>
              </w:rPr>
              <w:t xml:space="preserve">визначення</w:t>
            </w:r>
            <w:r>
              <w:rPr>
                <w:rFonts w:ascii="Arial" w:hAnsi="Arial" w:cs="Arial"/>
                <w:sz w:val="24"/>
                <w:szCs w:val="24"/>
                <w:lang w:val="ru-RU"/>
              </w:rPr>
              <w:t xml:space="preserve"> </w:t>
            </w:r>
            <w:r>
              <w:rPr>
                <w:rFonts w:ascii="Arial" w:hAnsi="Arial" w:cs="Arial"/>
                <w:sz w:val="24"/>
                <w:szCs w:val="24"/>
                <w:lang w:val="ru-RU"/>
              </w:rPr>
              <w:t xml:space="preserve">місць</w:t>
            </w:r>
            <w:r>
              <w:rPr>
                <w:rFonts w:ascii="Arial" w:hAnsi="Arial" w:cs="Arial"/>
                <w:sz w:val="24"/>
                <w:szCs w:val="24"/>
                <w:lang w:val="ru-RU"/>
              </w:rPr>
              <w:t xml:space="preserve"> з </w:t>
            </w:r>
            <w:r>
              <w:rPr>
                <w:rFonts w:ascii="Arial" w:hAnsi="Arial" w:cs="Arial"/>
                <w:sz w:val="24"/>
                <w:szCs w:val="24"/>
                <w:lang w:val="ru-RU"/>
              </w:rPr>
              <w:t xml:space="preserve">облаштуванням</w:t>
            </w:r>
            <w:r>
              <w:rPr>
                <w:rFonts w:ascii="Arial" w:hAnsi="Arial" w:cs="Arial"/>
                <w:sz w:val="24"/>
                <w:szCs w:val="24"/>
                <w:lang w:val="ru-RU"/>
              </w:rPr>
              <w:t xml:space="preserve"> </w:t>
            </w:r>
            <w:r>
              <w:rPr>
                <w:rFonts w:ascii="Arial" w:hAnsi="Arial" w:cs="Arial"/>
                <w:sz w:val="24"/>
                <w:szCs w:val="24"/>
                <w:lang w:val="ru-RU"/>
              </w:rPr>
              <w:t xml:space="preserve">водопропускних</w:t>
            </w:r>
            <w:r>
              <w:rPr>
                <w:rFonts w:ascii="Arial" w:hAnsi="Arial" w:cs="Arial"/>
                <w:sz w:val="24"/>
                <w:szCs w:val="24"/>
                <w:lang w:val="ru-RU"/>
              </w:rPr>
              <w:t xml:space="preserve"> труб </w:t>
            </w:r>
            <w:r>
              <w:rPr>
                <w:rFonts w:ascii="Arial" w:hAnsi="Arial" w:cs="Arial"/>
                <w:sz w:val="24"/>
                <w:szCs w:val="24"/>
                <w:lang w:val="ru-RU"/>
              </w:rPr>
              <w:t xml:space="preserve">під</w:t>
            </w:r>
            <w:r>
              <w:rPr>
                <w:rFonts w:ascii="Arial" w:hAnsi="Arial" w:cs="Arial"/>
                <w:sz w:val="24"/>
                <w:szCs w:val="24"/>
                <w:lang w:val="ru-RU"/>
              </w:rPr>
              <w:t xml:space="preserve"> </w:t>
            </w:r>
            <w:r>
              <w:rPr>
                <w:rFonts w:ascii="Arial" w:hAnsi="Arial" w:cs="Arial"/>
                <w:sz w:val="24"/>
                <w:szCs w:val="24"/>
                <w:lang w:val="ru-RU"/>
              </w:rPr>
              <w:t xml:space="preserve">автомобільними</w:t>
            </w:r>
            <w:r>
              <w:rPr>
                <w:rFonts w:ascii="Arial" w:hAnsi="Arial" w:cs="Arial"/>
                <w:sz w:val="24"/>
                <w:szCs w:val="24"/>
                <w:lang w:val="ru-RU"/>
              </w:rPr>
              <w:t xml:space="preserve"> дорогами </w:t>
            </w:r>
            <w:r>
              <w:rPr>
                <w:rFonts w:ascii="Arial" w:hAnsi="Arial" w:cs="Arial"/>
                <w:sz w:val="24"/>
                <w:szCs w:val="24"/>
                <w:lang w:val="ru-RU"/>
              </w:rPr>
              <w:t xml:space="preserve">території</w:t>
            </w:r>
            <w:r>
              <w:rPr>
                <w:rFonts w:ascii="Arial" w:hAnsi="Arial" w:cs="Arial"/>
                <w:sz w:val="24"/>
                <w:szCs w:val="24"/>
                <w:lang w:val="ru-RU"/>
              </w:rPr>
              <w:t xml:space="preserve"> </w:t>
            </w:r>
            <w:r>
              <w:rPr>
                <w:rFonts w:ascii="Arial" w:hAnsi="Arial" w:cs="Arial"/>
                <w:sz w:val="24"/>
                <w:szCs w:val="24"/>
                <w:lang w:val="ru-RU"/>
              </w:rPr>
              <w:t xml:space="preserve">громади</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restart"/>
            <w:textDirection w:val="lrTb"/>
            <w:noWrap w:val="false"/>
          </w:tcPr>
          <w:p>
            <w:pPr>
              <w:pStyle w:val="558"/>
              <w:jc w:val="both"/>
              <w:rPr>
                <w:rFonts w:ascii="Arial" w:hAnsi="Arial" w:cs="Arial"/>
                <w:sz w:val="24"/>
                <w:szCs w:val="24"/>
              </w:rPr>
            </w:pPr>
            <w:r>
              <w:rPr>
                <w:rFonts w:ascii="Arial" w:hAnsi="Arial" w:cs="Arial"/>
                <w:sz w:val="24"/>
                <w:szCs w:val="24"/>
              </w:rPr>
              <w:t xml:space="preserve">Системи</w:t>
            </w:r>
            <w:r>
              <w:rPr>
                <w:rFonts w:ascii="Arial" w:hAnsi="Arial" w:cs="Arial"/>
                <w:sz w:val="24"/>
                <w:szCs w:val="24"/>
              </w:rPr>
              <w:t xml:space="preserve"> </w:t>
            </w:r>
            <w:r>
              <w:rPr>
                <w:rFonts w:ascii="Arial" w:hAnsi="Arial" w:cs="Arial"/>
                <w:sz w:val="24"/>
                <w:szCs w:val="24"/>
              </w:rPr>
              <w:t xml:space="preserve">енерго-постачання</w:t>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Підвищення</w:t>
            </w:r>
            <w:r>
              <w:rPr>
                <w:rFonts w:ascii="Arial" w:hAnsi="Arial" w:cs="Arial"/>
                <w:sz w:val="24"/>
                <w:szCs w:val="24"/>
                <w:lang w:val="ru-RU"/>
              </w:rPr>
              <w:t xml:space="preserve"> </w:t>
            </w:r>
            <w:r>
              <w:rPr>
                <w:rFonts w:ascii="Arial" w:hAnsi="Arial" w:cs="Arial"/>
                <w:sz w:val="24"/>
                <w:szCs w:val="24"/>
                <w:lang w:val="ru-RU"/>
              </w:rPr>
              <w:t xml:space="preserve">надійності</w:t>
            </w:r>
            <w:r>
              <w:rPr>
                <w:rFonts w:ascii="Arial" w:hAnsi="Arial" w:cs="Arial"/>
                <w:sz w:val="24"/>
                <w:szCs w:val="24"/>
                <w:lang w:val="ru-RU"/>
              </w:rPr>
              <w:t xml:space="preserve"> </w:t>
            </w:r>
            <w:r>
              <w:rPr>
                <w:rFonts w:ascii="Arial" w:hAnsi="Arial" w:cs="Arial"/>
                <w:sz w:val="24"/>
                <w:szCs w:val="24"/>
                <w:lang w:val="ru-RU"/>
              </w:rPr>
              <w:t xml:space="preserve">джерел</w:t>
            </w:r>
            <w:r>
              <w:rPr>
                <w:rFonts w:ascii="Arial" w:hAnsi="Arial" w:cs="Arial"/>
                <w:sz w:val="24"/>
                <w:szCs w:val="24"/>
                <w:lang w:val="ru-RU"/>
              </w:rPr>
              <w:t xml:space="preserve"> і систем </w:t>
            </w:r>
            <w:r>
              <w:rPr>
                <w:rFonts w:ascii="Arial" w:hAnsi="Arial" w:cs="Arial"/>
                <w:sz w:val="24"/>
                <w:szCs w:val="24"/>
                <w:lang w:val="ru-RU"/>
              </w:rPr>
              <w:t xml:space="preserve">енергопостачання</w:t>
            </w:r>
            <w:r/>
          </w:p>
        </w:tc>
        <w:tc>
          <w:tcPr>
            <w:shd w:val="clear" w:color="auto" w:fill="FFFFFF" w:themeFill="background1"/>
            <w:tcW w:w="1417" w:type="dxa"/>
            <w:vMerge w:val="restart"/>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uk-UA"/>
              </w:rPr>
              <w:t xml:space="preserve">Забезпечення автономними джерелами енергії для стратегічних об’єктів на випадок аварійних ситуацій</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Заходи і проекти з енергоефективності та енергозбереження</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Розбудова та використання альтернативних  джерел енергії, що можуть забезпечувати безперебійне енергопостачання для </w:t>
            </w:r>
            <w:r>
              <w:rPr>
                <w:rFonts w:ascii="Arial" w:hAnsi="Arial" w:cs="Arial"/>
                <w:sz w:val="24"/>
                <w:szCs w:val="24"/>
                <w:lang w:val="uk-UA"/>
              </w:rPr>
              <w:t xml:space="preserve">життєво</w:t>
            </w:r>
            <w:r>
              <w:rPr>
                <w:rFonts w:ascii="Arial" w:hAnsi="Arial" w:cs="Arial"/>
                <w:sz w:val="24"/>
                <w:szCs w:val="24"/>
                <w:lang w:val="uk-UA"/>
              </w:rPr>
              <w:t xml:space="preserve"> важливих та  стратегічних об’єктів у випадках аварійних ситуацій та пікових навантажень (зокрема, при теплових та холодових аномаліях)</w:t>
            </w:r>
            <w:r/>
          </w:p>
        </w:tc>
        <w:tc>
          <w:tcPr>
            <w:shd w:val="clear" w:color="auto" w:fill="FFFFFF" w:themeFill="background1"/>
            <w:tcW w:w="1417"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Середньо- і довго-строкові термінові</w:t>
            </w:r>
            <w:r/>
          </w:p>
        </w:tc>
      </w:tr>
      <w:tr>
        <w:trPr/>
        <w:tc>
          <w:tcPr>
            <w:shd w:val="clear" w:color="auto" w:fill="FFFFFF" w:themeFill="background1"/>
            <w:tcW w:w="1838" w:type="dxa"/>
            <w:vMerge w:val="restart"/>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Системи</w:t>
            </w:r>
            <w:r>
              <w:rPr>
                <w:rFonts w:ascii="Arial" w:hAnsi="Arial" w:cs="Arial"/>
                <w:sz w:val="24"/>
                <w:szCs w:val="24"/>
                <w:lang w:val="ru-RU"/>
              </w:rPr>
              <w:t xml:space="preserve"> водо-</w:t>
            </w:r>
            <w:r>
              <w:rPr>
                <w:rFonts w:ascii="Arial" w:hAnsi="Arial" w:cs="Arial"/>
                <w:sz w:val="24"/>
                <w:szCs w:val="24"/>
                <w:lang w:val="ru-RU"/>
              </w:rPr>
              <w:t xml:space="preserve">забезпечення</w:t>
            </w:r>
            <w:r>
              <w:rPr>
                <w:rFonts w:ascii="Arial" w:hAnsi="Arial" w:cs="Arial"/>
                <w:sz w:val="24"/>
                <w:szCs w:val="24"/>
                <w:lang w:val="ru-RU"/>
              </w:rPr>
              <w:t xml:space="preserve"> (водо-</w:t>
            </w:r>
            <w:r>
              <w:rPr>
                <w:rFonts w:ascii="Arial" w:hAnsi="Arial" w:cs="Arial"/>
                <w:sz w:val="24"/>
                <w:szCs w:val="24"/>
                <w:lang w:val="ru-RU"/>
              </w:rPr>
              <w:t xml:space="preserve">постачання</w:t>
            </w:r>
            <w:r>
              <w:rPr>
                <w:rFonts w:ascii="Arial" w:hAnsi="Arial" w:cs="Arial"/>
                <w:sz w:val="24"/>
                <w:szCs w:val="24"/>
                <w:lang w:val="ru-RU"/>
              </w:rPr>
              <w:t xml:space="preserve"> і водо-</w:t>
            </w:r>
            <w:r>
              <w:rPr>
                <w:rFonts w:ascii="Arial" w:hAnsi="Arial" w:cs="Arial"/>
                <w:sz w:val="24"/>
                <w:szCs w:val="24"/>
                <w:lang w:val="ru-RU"/>
              </w:rPr>
              <w:t xml:space="preserve">відведення</w:t>
            </w:r>
            <w:r>
              <w:rPr>
                <w:rFonts w:ascii="Arial" w:hAnsi="Arial" w:cs="Arial"/>
                <w:sz w:val="24"/>
                <w:szCs w:val="24"/>
                <w:lang w:val="ru-RU"/>
              </w:rPr>
              <w:t xml:space="preserve">)</w:t>
            </w:r>
            <w:r/>
          </w:p>
        </w:tc>
        <w:tc>
          <w:tcPr>
            <w:shd w:val="clear" w:color="auto" w:fill="FFFFFF" w:themeFill="background1"/>
            <w:tcW w:w="10915" w:type="dxa"/>
            <w:textDirection w:val="lrTb"/>
            <w:noWrap w:val="false"/>
          </w:tcPr>
          <w:p>
            <w:pPr>
              <w:pStyle w:val="548"/>
              <w:jc w:val="both"/>
              <w:spacing w:after="68"/>
              <w:rPr>
                <w:lang w:val="uk-UA"/>
              </w:rPr>
            </w:pPr>
            <w:r>
              <w:rPr>
                <w:lang w:val="uk-UA"/>
              </w:rPr>
              <w:t xml:space="preserve">Модернізація наявних систем водопостачання та водовідведення. Постійний контроль якості води  водопровідних мереж та інформування населення </w:t>
            </w:r>
            <w:r/>
          </w:p>
        </w:tc>
        <w:tc>
          <w:tcPr>
            <w:shd w:val="clear" w:color="auto" w:fill="FFFFFF" w:themeFill="background1"/>
            <w:tcW w:w="1417" w:type="dxa"/>
            <w:vMerge w:val="restart"/>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48"/>
              <w:jc w:val="both"/>
              <w:spacing w:after="68"/>
              <w:rPr>
                <w:lang w:val="uk-UA"/>
              </w:rPr>
            </w:pPr>
            <w:r>
              <w:rPr>
                <w:lang w:val="uk-UA"/>
              </w:rPr>
              <w:t xml:space="preserve">Розбудова систем водопостачання та водовідведення в населених пунктах, де такі системи відсутні, з урахуванням впливу кліматичних факторів</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Постійний контроль за регулярністю очищення та технічним обслуговуванням водопостачання та каналізації для збільшення пропускної здатності водогонів</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Впровадження нових технологій очищення стічних вод та підтримка в належному стані об’єктів інфраструктури водовідведення</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48"/>
              <w:jc w:val="both"/>
              <w:spacing w:after="68"/>
              <w:rPr>
                <w:lang w:val="uk-UA"/>
              </w:rPr>
            </w:pPr>
            <w:r>
              <w:rPr>
                <w:lang w:val="uk-UA"/>
              </w:rPr>
              <w:t xml:space="preserve">Постійний контроль якості стічних вод, що скидають у приводні водні об’єкти після очисних споруд</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З</w:t>
            </w:r>
            <w:r>
              <w:rPr>
                <w:rFonts w:ascii="Arial" w:hAnsi="Arial" w:cs="Arial"/>
                <w:sz w:val="24"/>
                <w:szCs w:val="24"/>
                <w:lang w:val="ru-RU"/>
              </w:rPr>
              <w:t xml:space="preserve">аходи</w:t>
            </w:r>
            <w:r>
              <w:rPr>
                <w:rFonts w:ascii="Arial" w:hAnsi="Arial" w:cs="Arial"/>
                <w:sz w:val="24"/>
                <w:szCs w:val="24"/>
                <w:lang w:val="ru-RU"/>
              </w:rPr>
              <w:t xml:space="preserve"> з </w:t>
            </w:r>
            <w:r>
              <w:rPr>
                <w:rFonts w:ascii="Arial" w:hAnsi="Arial" w:cs="Arial"/>
                <w:sz w:val="24"/>
                <w:szCs w:val="24"/>
                <w:lang w:val="ru-RU"/>
              </w:rPr>
              <w:t xml:space="preserve">відновлення</w:t>
            </w:r>
            <w:r>
              <w:rPr>
                <w:rFonts w:ascii="Arial" w:hAnsi="Arial" w:cs="Arial"/>
                <w:sz w:val="24"/>
                <w:szCs w:val="24"/>
                <w:lang w:val="ru-RU"/>
              </w:rPr>
              <w:t xml:space="preserve"> і </w:t>
            </w:r>
            <w:r>
              <w:rPr>
                <w:rFonts w:ascii="Arial" w:hAnsi="Arial" w:cs="Arial"/>
                <w:sz w:val="24"/>
                <w:szCs w:val="24"/>
                <w:lang w:val="ru-RU"/>
              </w:rPr>
              <w:t xml:space="preserve">підтримання</w:t>
            </w:r>
            <w:r>
              <w:rPr>
                <w:rFonts w:ascii="Arial" w:hAnsi="Arial" w:cs="Arial"/>
                <w:sz w:val="24"/>
                <w:szCs w:val="24"/>
                <w:lang w:val="ru-RU"/>
              </w:rPr>
              <w:t xml:space="preserve"> </w:t>
            </w:r>
            <w:r>
              <w:rPr>
                <w:rFonts w:ascii="Arial" w:hAnsi="Arial" w:cs="Arial"/>
                <w:sz w:val="24"/>
                <w:szCs w:val="24"/>
                <w:lang w:val="ru-RU"/>
              </w:rPr>
              <w:t xml:space="preserve">сприятливого</w:t>
            </w:r>
            <w:r>
              <w:rPr>
                <w:rFonts w:ascii="Arial" w:hAnsi="Arial" w:cs="Arial"/>
                <w:sz w:val="24"/>
                <w:szCs w:val="24"/>
                <w:lang w:val="ru-RU"/>
              </w:rPr>
              <w:t xml:space="preserve"> </w:t>
            </w:r>
            <w:r>
              <w:rPr>
                <w:rFonts w:ascii="Arial" w:hAnsi="Arial" w:cs="Arial"/>
                <w:sz w:val="24"/>
                <w:szCs w:val="24"/>
                <w:lang w:val="ru-RU"/>
              </w:rPr>
              <w:t xml:space="preserve">гідрологічного</w:t>
            </w:r>
            <w:r>
              <w:rPr>
                <w:rFonts w:ascii="Arial" w:hAnsi="Arial" w:cs="Arial"/>
                <w:sz w:val="24"/>
                <w:szCs w:val="24"/>
                <w:lang w:val="ru-RU"/>
              </w:rPr>
              <w:t xml:space="preserve"> режиму та </w:t>
            </w:r>
            <w:r>
              <w:rPr>
                <w:rFonts w:ascii="Arial" w:hAnsi="Arial" w:cs="Arial"/>
                <w:sz w:val="24"/>
                <w:szCs w:val="24"/>
                <w:lang w:val="ru-RU"/>
              </w:rPr>
              <w:t xml:space="preserve">санітарного</w:t>
            </w:r>
            <w:r>
              <w:rPr>
                <w:rFonts w:ascii="Arial" w:hAnsi="Arial" w:cs="Arial"/>
                <w:sz w:val="24"/>
                <w:szCs w:val="24"/>
                <w:lang w:val="ru-RU"/>
              </w:rPr>
              <w:t xml:space="preserve"> стану </w:t>
            </w:r>
            <w:r>
              <w:rPr>
                <w:rFonts w:ascii="Arial" w:hAnsi="Arial" w:cs="Arial"/>
                <w:sz w:val="24"/>
                <w:szCs w:val="24"/>
                <w:lang w:val="ru-RU"/>
              </w:rPr>
              <w:t xml:space="preserve">місцевих</w:t>
            </w:r>
            <w:r>
              <w:rPr>
                <w:rFonts w:ascii="Arial" w:hAnsi="Arial" w:cs="Arial"/>
                <w:sz w:val="24"/>
                <w:szCs w:val="24"/>
                <w:lang w:val="ru-RU"/>
              </w:rPr>
              <w:t xml:space="preserve"> </w:t>
            </w:r>
            <w:r>
              <w:rPr>
                <w:rFonts w:ascii="Arial" w:hAnsi="Arial" w:cs="Arial"/>
                <w:sz w:val="24"/>
                <w:szCs w:val="24"/>
                <w:lang w:val="ru-RU"/>
              </w:rPr>
              <w:t xml:space="preserve">річок</w:t>
            </w:r>
            <w:r>
              <w:rPr>
                <w:rFonts w:ascii="Arial" w:hAnsi="Arial" w:cs="Arial"/>
                <w:sz w:val="24"/>
                <w:szCs w:val="24"/>
                <w:lang w:val="ru-RU"/>
              </w:rPr>
              <w:t xml:space="preserve"> і </w:t>
            </w:r>
            <w:r>
              <w:rPr>
                <w:rFonts w:ascii="Arial" w:hAnsi="Arial" w:cs="Arial"/>
                <w:sz w:val="24"/>
                <w:szCs w:val="24"/>
                <w:lang w:val="ru-RU"/>
              </w:rPr>
              <w:t xml:space="preserve">водойм</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Підтримка в належному стані зливової каналізаційної мережі</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uk-UA"/>
              </w:rPr>
              <w:t xml:space="preserve">Удосконалення системи управління дощовою водою в межах території громади </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48"/>
              <w:jc w:val="both"/>
              <w:spacing w:after="68"/>
              <w:rPr>
                <w:lang w:val="uk-UA"/>
              </w:rPr>
            </w:pPr>
            <w:r>
              <w:rPr>
                <w:color w:val="auto"/>
              </w:rPr>
              <w:t xml:space="preserve">Підтримка</w:t>
            </w:r>
            <w:r>
              <w:rPr>
                <w:color w:val="auto"/>
              </w:rPr>
              <w:t xml:space="preserve"> </w:t>
            </w:r>
            <w:r>
              <w:rPr>
                <w:color w:val="auto"/>
                <w:lang w:val="uk-UA"/>
              </w:rPr>
              <w:t xml:space="preserve">системи відведення дощових і талих вод (</w:t>
            </w:r>
            <w:r>
              <w:rPr>
                <w:color w:val="auto"/>
                <w:lang w:val="uk-UA"/>
              </w:rPr>
              <w:t xml:space="preserve">дренажів</w:t>
            </w:r>
            <w:r>
              <w:rPr>
                <w:color w:val="auto"/>
                <w:lang w:val="uk-UA"/>
              </w:rPr>
              <w:t xml:space="preserve">, каптажів, канав, каналів тощо) та  відповідних інженерних систем в працездатному стані</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restart"/>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Земле-</w:t>
            </w:r>
            <w:r>
              <w:rPr>
                <w:rFonts w:ascii="Arial" w:hAnsi="Arial" w:cs="Arial"/>
                <w:sz w:val="24"/>
                <w:szCs w:val="24"/>
                <w:lang w:val="ru-RU"/>
              </w:rPr>
              <w:t xml:space="preserve">користування</w:t>
            </w:r>
            <w:r>
              <w:rPr>
                <w:rFonts w:ascii="Arial" w:hAnsi="Arial" w:cs="Arial"/>
                <w:sz w:val="24"/>
                <w:szCs w:val="24"/>
                <w:lang w:val="ru-RU"/>
              </w:rPr>
              <w:t xml:space="preserve"> </w:t>
            </w:r>
            <w:r>
              <w:rPr>
                <w:rFonts w:ascii="Arial" w:hAnsi="Arial" w:cs="Arial"/>
                <w:sz w:val="24"/>
                <w:szCs w:val="24"/>
                <w:lang w:val="ru-RU"/>
              </w:rPr>
              <w:t xml:space="preserve">(</w:t>
            </w:r>
            <w:r>
              <w:rPr>
                <w:rFonts w:ascii="Arial" w:hAnsi="Arial" w:cs="Arial"/>
                <w:sz w:val="24"/>
                <w:szCs w:val="24"/>
                <w:lang w:val="ru-RU"/>
              </w:rPr>
              <w:t xml:space="preserve">сільське</w:t>
            </w:r>
            <w:r>
              <w:rPr>
                <w:rFonts w:ascii="Arial" w:hAnsi="Arial" w:cs="Arial"/>
                <w:sz w:val="24"/>
                <w:szCs w:val="24"/>
                <w:lang w:val="ru-RU"/>
              </w:rPr>
              <w:t xml:space="preserve"> та </w:t>
            </w:r>
            <w:r>
              <w:rPr>
                <w:rFonts w:ascii="Arial" w:hAnsi="Arial" w:cs="Arial"/>
                <w:sz w:val="24"/>
                <w:szCs w:val="24"/>
                <w:lang w:val="ru-RU"/>
              </w:rPr>
              <w:t xml:space="preserve">лісове</w:t>
            </w:r>
            <w:r>
              <w:rPr>
                <w:rFonts w:ascii="Arial" w:hAnsi="Arial" w:cs="Arial"/>
                <w:sz w:val="24"/>
                <w:szCs w:val="24"/>
                <w:lang w:val="ru-RU"/>
              </w:rPr>
              <w:t xml:space="preserve"> </w:t>
            </w:r>
            <w:r>
              <w:rPr>
                <w:rFonts w:ascii="Arial" w:hAnsi="Arial" w:cs="Arial"/>
                <w:sz w:val="24"/>
                <w:szCs w:val="24"/>
                <w:lang w:val="ru-RU"/>
              </w:rPr>
              <w:t xml:space="preserve">господарство</w:t>
            </w:r>
            <w:r>
              <w:rPr>
                <w:rFonts w:ascii="Arial" w:hAnsi="Arial" w:cs="Arial"/>
                <w:sz w:val="24"/>
                <w:szCs w:val="24"/>
                <w:lang w:val="ru-RU"/>
              </w:rPr>
              <w:t xml:space="preserve">)</w:t>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Постійний</w:t>
            </w:r>
            <w:r>
              <w:rPr>
                <w:rFonts w:ascii="Arial" w:hAnsi="Arial" w:cs="Arial"/>
                <w:sz w:val="24"/>
                <w:szCs w:val="24"/>
                <w:lang w:val="ru-RU"/>
              </w:rPr>
              <w:t xml:space="preserve"> </w:t>
            </w:r>
            <w:r>
              <w:rPr>
                <w:rFonts w:ascii="Arial" w:hAnsi="Arial" w:cs="Arial"/>
                <w:sz w:val="24"/>
                <w:szCs w:val="24"/>
                <w:lang w:val="ru-RU"/>
              </w:rPr>
              <w:t xml:space="preserve">моніторинг</w:t>
            </w:r>
            <w:r>
              <w:rPr>
                <w:rFonts w:ascii="Arial" w:hAnsi="Arial" w:cs="Arial"/>
                <w:sz w:val="24"/>
                <w:szCs w:val="24"/>
                <w:lang w:val="ru-RU"/>
              </w:rPr>
              <w:t xml:space="preserve"> стану </w:t>
            </w:r>
            <w:r>
              <w:rPr>
                <w:rFonts w:ascii="Arial" w:hAnsi="Arial" w:cs="Arial"/>
                <w:sz w:val="24"/>
                <w:szCs w:val="24"/>
                <w:lang w:val="ru-RU"/>
              </w:rPr>
              <w:t xml:space="preserve">земельних</w:t>
            </w:r>
            <w:r>
              <w:rPr>
                <w:rFonts w:ascii="Arial" w:hAnsi="Arial" w:cs="Arial"/>
                <w:sz w:val="24"/>
                <w:szCs w:val="24"/>
                <w:lang w:val="ru-RU"/>
              </w:rPr>
              <w:t xml:space="preserve"> </w:t>
            </w:r>
            <w:r>
              <w:rPr>
                <w:rFonts w:ascii="Arial" w:hAnsi="Arial" w:cs="Arial"/>
                <w:sz w:val="24"/>
                <w:szCs w:val="24"/>
                <w:lang w:val="ru-RU"/>
              </w:rPr>
              <w:t xml:space="preserve">територій</w:t>
            </w:r>
            <w:r/>
          </w:p>
        </w:tc>
        <w:tc>
          <w:tcPr>
            <w:shd w:val="clear" w:color="auto" w:fill="FFFFFF" w:themeFill="background1"/>
            <w:tcW w:w="1417" w:type="dxa"/>
            <w:vMerge w:val="restart"/>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rPr>
            </w:pPr>
            <w:r>
              <w:rPr>
                <w:rFonts w:ascii="Arial" w:hAnsi="Arial" w:cs="Arial"/>
                <w:sz w:val="24"/>
                <w:szCs w:val="24"/>
              </w:rPr>
              <w:t xml:space="preserve">Пл</w:t>
            </w:r>
            <w:r>
              <w:rPr>
                <w:rFonts w:ascii="Arial" w:hAnsi="Arial" w:cs="Arial"/>
                <w:sz w:val="24"/>
                <w:szCs w:val="24"/>
              </w:rPr>
              <w:t xml:space="preserve">анування</w:t>
            </w:r>
            <w:r>
              <w:rPr>
                <w:rFonts w:ascii="Arial" w:hAnsi="Arial" w:cs="Arial"/>
                <w:sz w:val="24"/>
                <w:szCs w:val="24"/>
              </w:rPr>
              <w:t xml:space="preserve"> </w:t>
            </w:r>
            <w:r>
              <w:rPr>
                <w:rFonts w:ascii="Arial" w:hAnsi="Arial" w:cs="Arial"/>
                <w:sz w:val="24"/>
                <w:szCs w:val="24"/>
              </w:rPr>
              <w:t xml:space="preserve">викристання</w:t>
            </w:r>
            <w:r>
              <w:rPr>
                <w:rFonts w:ascii="Arial" w:hAnsi="Arial" w:cs="Arial"/>
                <w:sz w:val="24"/>
                <w:szCs w:val="24"/>
              </w:rPr>
              <w:t xml:space="preserve"> </w:t>
            </w:r>
            <w:r>
              <w:rPr>
                <w:rFonts w:ascii="Arial" w:hAnsi="Arial" w:cs="Arial"/>
                <w:sz w:val="24"/>
                <w:szCs w:val="24"/>
              </w:rPr>
              <w:t xml:space="preserve">земельних</w:t>
            </w:r>
            <w:r>
              <w:rPr>
                <w:rFonts w:ascii="Arial" w:hAnsi="Arial" w:cs="Arial"/>
                <w:sz w:val="24"/>
                <w:szCs w:val="24"/>
              </w:rPr>
              <w:t xml:space="preserve"> </w:t>
            </w:r>
            <w:r>
              <w:rPr>
                <w:rFonts w:ascii="Arial" w:hAnsi="Arial" w:cs="Arial"/>
                <w:sz w:val="24"/>
                <w:szCs w:val="24"/>
              </w:rPr>
              <w:t xml:space="preserve">т</w:t>
            </w:r>
            <w:r>
              <w:rPr>
                <w:rFonts w:ascii="Arial" w:hAnsi="Arial" w:cs="Arial"/>
                <w:sz w:val="24"/>
                <w:szCs w:val="24"/>
              </w:rPr>
              <w:t xml:space="preserve">ериторій</w:t>
            </w:r>
            <w:r>
              <w:rPr>
                <w:rFonts w:ascii="Arial" w:hAnsi="Arial" w:cs="Arial"/>
                <w:sz w:val="24"/>
                <w:szCs w:val="24"/>
              </w:rPr>
              <w:t xml:space="preserve"> </w:t>
            </w:r>
            <w:r>
              <w:rPr>
                <w:rFonts w:ascii="Arial" w:hAnsi="Arial" w:cs="Arial"/>
                <w:sz w:val="24"/>
                <w:szCs w:val="24"/>
              </w:rPr>
              <w:t xml:space="preserve">міста</w:t>
            </w:r>
            <w:r>
              <w:rPr>
                <w:rFonts w:ascii="Arial" w:hAnsi="Arial" w:cs="Arial"/>
                <w:sz w:val="24"/>
                <w:szCs w:val="24"/>
              </w:rPr>
              <w:t xml:space="preserve"> Мена </w:t>
            </w:r>
            <w:r>
              <w:rPr>
                <w:rFonts w:ascii="Arial" w:hAnsi="Arial" w:cs="Arial"/>
                <w:sz w:val="24"/>
                <w:szCs w:val="24"/>
              </w:rPr>
              <w:t xml:space="preserve">та</w:t>
            </w:r>
            <w:r>
              <w:rPr>
                <w:rFonts w:ascii="Arial" w:hAnsi="Arial" w:cs="Arial"/>
                <w:sz w:val="24"/>
                <w:szCs w:val="24"/>
              </w:rPr>
              <w:t xml:space="preserve"> </w:t>
            </w:r>
            <w:r>
              <w:rPr>
                <w:rFonts w:ascii="Arial" w:hAnsi="Arial" w:cs="Arial"/>
                <w:sz w:val="24"/>
                <w:szCs w:val="24"/>
              </w:rPr>
              <w:t xml:space="preserve">інших</w:t>
            </w:r>
            <w:r>
              <w:rPr>
                <w:rFonts w:ascii="Arial" w:hAnsi="Arial" w:cs="Arial"/>
                <w:sz w:val="24"/>
                <w:szCs w:val="24"/>
              </w:rPr>
              <w:t xml:space="preserve"> </w:t>
            </w:r>
            <w:r>
              <w:rPr>
                <w:rFonts w:ascii="Arial" w:hAnsi="Arial" w:cs="Arial"/>
                <w:sz w:val="24"/>
                <w:szCs w:val="24"/>
              </w:rPr>
              <w:t xml:space="preserve">населених</w:t>
            </w:r>
            <w:r>
              <w:rPr>
                <w:rFonts w:ascii="Arial" w:hAnsi="Arial" w:cs="Arial"/>
                <w:sz w:val="24"/>
                <w:szCs w:val="24"/>
              </w:rPr>
              <w:t xml:space="preserve"> </w:t>
            </w:r>
            <w:r>
              <w:rPr>
                <w:rFonts w:ascii="Arial" w:hAnsi="Arial" w:cs="Arial"/>
                <w:sz w:val="24"/>
                <w:szCs w:val="24"/>
              </w:rPr>
              <w:t xml:space="preserve">пунктів</w:t>
            </w:r>
            <w:r>
              <w:rPr>
                <w:rFonts w:ascii="Arial" w:hAnsi="Arial" w:cs="Arial"/>
                <w:sz w:val="24"/>
                <w:szCs w:val="24"/>
              </w:rPr>
              <w:t xml:space="preserve"> </w:t>
            </w:r>
            <w:r>
              <w:rPr>
                <w:rFonts w:ascii="Arial" w:hAnsi="Arial" w:cs="Arial"/>
                <w:sz w:val="24"/>
                <w:szCs w:val="24"/>
                <w:lang w:val="uk-UA"/>
              </w:rPr>
              <w:t xml:space="preserve">територіальної громади</w:t>
            </w:r>
            <w:r>
              <w:rPr>
                <w:rFonts w:ascii="Arial" w:hAnsi="Arial" w:cs="Arial"/>
                <w:sz w:val="24"/>
                <w:szCs w:val="24"/>
              </w:rPr>
              <w:t xml:space="preserve"> </w:t>
            </w:r>
            <w:r>
              <w:rPr>
                <w:rFonts w:ascii="Arial" w:hAnsi="Arial" w:cs="Arial"/>
                <w:sz w:val="24"/>
                <w:szCs w:val="24"/>
              </w:rPr>
              <w:t xml:space="preserve">з </w:t>
            </w:r>
            <w:r>
              <w:rPr>
                <w:rFonts w:ascii="Arial" w:hAnsi="Arial" w:cs="Arial"/>
                <w:sz w:val="24"/>
                <w:szCs w:val="24"/>
              </w:rPr>
              <w:t xml:space="preserve">урахуванням</w:t>
            </w:r>
            <w:r>
              <w:rPr>
                <w:rFonts w:ascii="Arial" w:hAnsi="Arial" w:cs="Arial"/>
                <w:sz w:val="24"/>
                <w:szCs w:val="24"/>
              </w:rPr>
              <w:t xml:space="preserve"> </w:t>
            </w:r>
            <w:r>
              <w:rPr>
                <w:rFonts w:ascii="Arial" w:hAnsi="Arial" w:cs="Arial"/>
                <w:sz w:val="24"/>
                <w:szCs w:val="24"/>
              </w:rPr>
              <w:t xml:space="preserve">розширення</w:t>
            </w:r>
            <w:r>
              <w:rPr>
                <w:rFonts w:ascii="Arial" w:hAnsi="Arial" w:cs="Arial"/>
                <w:sz w:val="24"/>
                <w:szCs w:val="24"/>
              </w:rPr>
              <w:t xml:space="preserve"> </w:t>
            </w:r>
            <w:r>
              <w:rPr>
                <w:rFonts w:ascii="Arial" w:hAnsi="Arial" w:cs="Arial"/>
                <w:sz w:val="24"/>
                <w:szCs w:val="24"/>
              </w:rPr>
              <w:t xml:space="preserve">зелених</w:t>
            </w:r>
            <w:r>
              <w:rPr>
                <w:rFonts w:ascii="Arial" w:hAnsi="Arial" w:cs="Arial"/>
                <w:sz w:val="24"/>
                <w:szCs w:val="24"/>
              </w:rPr>
              <w:t xml:space="preserve"> і </w:t>
            </w:r>
            <w:r>
              <w:rPr>
                <w:rFonts w:ascii="Arial" w:hAnsi="Arial" w:cs="Arial"/>
                <w:sz w:val="24"/>
                <w:szCs w:val="24"/>
              </w:rPr>
              <w:t xml:space="preserve">голубих</w:t>
            </w:r>
            <w:r>
              <w:rPr>
                <w:rFonts w:ascii="Arial" w:hAnsi="Arial" w:cs="Arial"/>
                <w:sz w:val="24"/>
                <w:szCs w:val="24"/>
              </w:rPr>
              <w:t xml:space="preserve"> </w:t>
            </w:r>
            <w:r>
              <w:rPr>
                <w:rFonts w:ascii="Arial" w:hAnsi="Arial" w:cs="Arial"/>
                <w:sz w:val="24"/>
                <w:szCs w:val="24"/>
              </w:rPr>
              <w:t xml:space="preserve">зон</w:t>
            </w:r>
            <w:r>
              <w:rPr>
                <w:rFonts w:ascii="Arial" w:hAnsi="Arial" w:cs="Arial"/>
                <w:sz w:val="24"/>
                <w:szCs w:val="24"/>
              </w:rPr>
              <w:t xml:space="preserve">, </w:t>
            </w:r>
            <w:r>
              <w:rPr>
                <w:rFonts w:ascii="Arial" w:hAnsi="Arial" w:cs="Arial"/>
                <w:sz w:val="24"/>
                <w:szCs w:val="24"/>
              </w:rPr>
              <w:t xml:space="preserve">руйнівної</w:t>
            </w:r>
            <w:r>
              <w:rPr>
                <w:rFonts w:ascii="Arial" w:hAnsi="Arial" w:cs="Arial"/>
                <w:sz w:val="24"/>
                <w:szCs w:val="24"/>
              </w:rPr>
              <w:t xml:space="preserve"> </w:t>
            </w:r>
            <w:r>
              <w:rPr>
                <w:rFonts w:ascii="Arial" w:hAnsi="Arial" w:cs="Arial"/>
                <w:sz w:val="24"/>
                <w:szCs w:val="24"/>
              </w:rPr>
              <w:t xml:space="preserve">дії</w:t>
            </w:r>
            <w:r>
              <w:rPr>
                <w:rFonts w:ascii="Arial" w:hAnsi="Arial" w:cs="Arial"/>
                <w:sz w:val="24"/>
                <w:szCs w:val="24"/>
              </w:rPr>
              <w:t xml:space="preserve"> </w:t>
            </w:r>
            <w:r>
              <w:rPr>
                <w:rFonts w:ascii="Arial" w:hAnsi="Arial" w:cs="Arial"/>
                <w:sz w:val="24"/>
                <w:szCs w:val="24"/>
              </w:rPr>
              <w:t xml:space="preserve">опадів</w:t>
            </w:r>
            <w:r>
              <w:rPr>
                <w:rFonts w:ascii="Arial" w:hAnsi="Arial" w:cs="Arial"/>
                <w:sz w:val="24"/>
                <w:szCs w:val="24"/>
              </w:rPr>
              <w:t xml:space="preserve"> </w:t>
            </w:r>
            <w:r>
              <w:rPr>
                <w:rFonts w:ascii="Arial" w:hAnsi="Arial" w:cs="Arial"/>
                <w:sz w:val="24"/>
                <w:szCs w:val="24"/>
              </w:rPr>
              <w:t xml:space="preserve">та</w:t>
            </w:r>
            <w:r>
              <w:rPr>
                <w:rFonts w:ascii="Arial" w:hAnsi="Arial" w:cs="Arial"/>
                <w:sz w:val="24"/>
                <w:szCs w:val="24"/>
              </w:rPr>
              <w:t xml:space="preserve"> </w:t>
            </w:r>
            <w:r>
              <w:rPr>
                <w:rFonts w:ascii="Arial" w:hAnsi="Arial" w:cs="Arial"/>
                <w:sz w:val="24"/>
                <w:szCs w:val="24"/>
              </w:rPr>
              <w:t xml:space="preserve">розливів</w:t>
            </w:r>
            <w:r>
              <w:rPr>
                <w:rFonts w:ascii="Arial" w:hAnsi="Arial" w:cs="Arial"/>
                <w:sz w:val="24"/>
                <w:szCs w:val="24"/>
              </w:rPr>
              <w:t xml:space="preserve"> </w:t>
            </w:r>
            <w:r>
              <w:rPr>
                <w:rFonts w:ascii="Arial" w:hAnsi="Arial" w:cs="Arial"/>
                <w:sz w:val="24"/>
                <w:szCs w:val="24"/>
              </w:rPr>
              <w:t xml:space="preserve">річок</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Постійний</w:t>
            </w:r>
            <w:r>
              <w:rPr>
                <w:rFonts w:ascii="Arial" w:hAnsi="Arial" w:cs="Arial"/>
                <w:sz w:val="24"/>
                <w:szCs w:val="24"/>
                <w:lang w:val="ru-RU"/>
              </w:rPr>
              <w:t xml:space="preserve"> </w:t>
            </w:r>
            <w:r>
              <w:rPr>
                <w:rFonts w:ascii="Arial" w:hAnsi="Arial" w:cs="Arial"/>
                <w:sz w:val="24"/>
                <w:szCs w:val="24"/>
                <w:lang w:val="ru-RU"/>
              </w:rPr>
              <w:t xml:space="preserve">моніторинг</w:t>
            </w:r>
            <w:r>
              <w:rPr>
                <w:rFonts w:ascii="Arial" w:hAnsi="Arial" w:cs="Arial"/>
                <w:sz w:val="24"/>
                <w:szCs w:val="24"/>
                <w:lang w:val="ru-RU"/>
              </w:rPr>
              <w:t xml:space="preserve"> стану </w:t>
            </w:r>
            <w:r>
              <w:rPr>
                <w:rFonts w:ascii="Arial" w:hAnsi="Arial" w:cs="Arial"/>
                <w:sz w:val="24"/>
                <w:szCs w:val="24"/>
                <w:lang w:val="ru-RU"/>
              </w:rPr>
              <w:t xml:space="preserve">заліснених</w:t>
            </w:r>
            <w:r>
              <w:rPr>
                <w:rFonts w:ascii="Arial" w:hAnsi="Arial" w:cs="Arial"/>
                <w:sz w:val="24"/>
                <w:szCs w:val="24"/>
                <w:lang w:val="ru-RU"/>
              </w:rPr>
              <w:t xml:space="preserve"> </w:t>
            </w:r>
            <w:r>
              <w:rPr>
                <w:rFonts w:ascii="Arial" w:hAnsi="Arial" w:cs="Arial"/>
                <w:sz w:val="24"/>
                <w:szCs w:val="24"/>
                <w:lang w:val="ru-RU"/>
              </w:rPr>
              <w:t xml:space="preserve">територій</w:t>
            </w:r>
            <w:r>
              <w:rPr>
                <w:rFonts w:ascii="Arial" w:hAnsi="Arial" w:cs="Arial"/>
                <w:sz w:val="24"/>
                <w:szCs w:val="24"/>
                <w:lang w:val="ru-RU"/>
              </w:rPr>
              <w:t xml:space="preserve"> </w:t>
            </w:r>
            <w:r>
              <w:rPr>
                <w:rFonts w:ascii="Arial" w:hAnsi="Arial" w:cs="Arial"/>
                <w:sz w:val="24"/>
                <w:szCs w:val="24"/>
                <w:lang w:val="ru-RU"/>
              </w:rPr>
              <w:t xml:space="preserve">громади</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restart"/>
            <w:textDirection w:val="lrTb"/>
            <w:noWrap w:val="false"/>
          </w:tcPr>
          <w:p>
            <w:pPr>
              <w:pStyle w:val="558"/>
              <w:jc w:val="both"/>
              <w:rPr>
                <w:rFonts w:ascii="Arial" w:hAnsi="Arial" w:cs="Arial"/>
                <w:sz w:val="24"/>
                <w:szCs w:val="24"/>
              </w:rPr>
            </w:pPr>
            <w:r>
              <w:rPr>
                <w:rFonts w:ascii="Arial" w:hAnsi="Arial" w:cs="Arial"/>
                <w:sz w:val="24"/>
                <w:szCs w:val="24"/>
              </w:rPr>
              <w:t xml:space="preserve">Природне</w:t>
            </w:r>
            <w:r>
              <w:rPr>
                <w:rFonts w:ascii="Arial" w:hAnsi="Arial" w:cs="Arial"/>
                <w:sz w:val="24"/>
                <w:szCs w:val="24"/>
              </w:rPr>
              <w:t xml:space="preserve"> </w:t>
            </w:r>
            <w:r>
              <w:rPr>
                <w:rFonts w:ascii="Arial" w:hAnsi="Arial" w:cs="Arial"/>
                <w:sz w:val="24"/>
                <w:szCs w:val="24"/>
              </w:rPr>
              <w:t xml:space="preserve">довкілля</w:t>
            </w:r>
            <w:r>
              <w:rPr>
                <w:rFonts w:ascii="Arial" w:hAnsi="Arial" w:cs="Arial"/>
                <w:sz w:val="24"/>
                <w:szCs w:val="24"/>
              </w:rPr>
              <w:t xml:space="preserve"> і </w:t>
            </w:r>
            <w:r>
              <w:rPr>
                <w:rFonts w:ascii="Arial" w:hAnsi="Arial" w:cs="Arial"/>
                <w:sz w:val="24"/>
                <w:szCs w:val="24"/>
              </w:rPr>
              <w:t xml:space="preserve">біорізноманіття</w:t>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uk-UA"/>
              </w:rPr>
              <w:t xml:space="preserve">Забезпечення належного менеджменту існуючих заповідних територій, зелених насаджень та рекреаційних зон громади</w:t>
            </w:r>
            <w:r/>
          </w:p>
        </w:tc>
        <w:tc>
          <w:tcPr>
            <w:shd w:val="clear" w:color="auto" w:fill="FFFFFF" w:themeFill="background1"/>
            <w:tcW w:w="1417" w:type="dxa"/>
            <w:vMerge w:val="restart"/>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Моніторинг місцевих видів рослин і тварин та реагування на появу агресивних неаборигенних видів (зокрема, шкідників лісо- та сільськогосподарських культур) </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ru-RU"/>
              </w:rPr>
              <w:t xml:space="preserve">С</w:t>
            </w:r>
            <w:r>
              <w:rPr>
                <w:rFonts w:ascii="Arial" w:hAnsi="Arial" w:cs="Arial"/>
                <w:sz w:val="24"/>
                <w:szCs w:val="24"/>
                <w:lang w:val="uk-UA"/>
              </w:rPr>
              <w:t xml:space="preserve">творення нових насаджень та рекреаційних територій поблизу водних об’єктів для їх збереження та для потреб населення</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Використання</w:t>
            </w:r>
            <w:r>
              <w:rPr>
                <w:rFonts w:ascii="Arial" w:hAnsi="Arial" w:cs="Arial"/>
                <w:sz w:val="24"/>
                <w:szCs w:val="24"/>
                <w:lang w:val="ru-RU"/>
              </w:rPr>
              <w:t xml:space="preserve"> </w:t>
            </w:r>
            <w:r>
              <w:rPr>
                <w:rFonts w:ascii="Arial" w:hAnsi="Arial" w:cs="Arial"/>
                <w:sz w:val="24"/>
                <w:szCs w:val="24"/>
                <w:lang w:val="ru-RU"/>
              </w:rPr>
              <w:t xml:space="preserve">більш</w:t>
            </w:r>
            <w:r>
              <w:rPr>
                <w:rFonts w:ascii="Arial" w:hAnsi="Arial" w:cs="Arial"/>
                <w:sz w:val="24"/>
                <w:szCs w:val="24"/>
                <w:lang w:val="ru-RU"/>
              </w:rPr>
              <w:t xml:space="preserve"> </w:t>
            </w:r>
            <w:r>
              <w:rPr>
                <w:rFonts w:ascii="Arial" w:hAnsi="Arial" w:cs="Arial"/>
                <w:sz w:val="24"/>
                <w:szCs w:val="24"/>
                <w:lang w:val="ru-RU"/>
              </w:rPr>
              <w:t xml:space="preserve">посухостійких</w:t>
            </w:r>
            <w:r>
              <w:rPr>
                <w:rFonts w:ascii="Arial" w:hAnsi="Arial" w:cs="Arial"/>
                <w:sz w:val="24"/>
                <w:szCs w:val="24"/>
                <w:lang w:val="ru-RU"/>
              </w:rPr>
              <w:t xml:space="preserve"> </w:t>
            </w:r>
            <w:r>
              <w:rPr>
                <w:rFonts w:ascii="Arial" w:hAnsi="Arial" w:cs="Arial"/>
                <w:sz w:val="24"/>
                <w:szCs w:val="24"/>
                <w:lang w:val="ru-RU"/>
              </w:rPr>
              <w:t xml:space="preserve">рослин</w:t>
            </w:r>
            <w:r>
              <w:rPr>
                <w:rFonts w:ascii="Arial" w:hAnsi="Arial" w:cs="Arial"/>
                <w:sz w:val="24"/>
                <w:szCs w:val="24"/>
                <w:lang w:val="ru-RU"/>
              </w:rPr>
              <w:t xml:space="preserve"> для </w:t>
            </w:r>
            <w:r>
              <w:rPr>
                <w:rFonts w:ascii="Arial" w:hAnsi="Arial" w:cs="Arial"/>
                <w:sz w:val="24"/>
                <w:szCs w:val="24"/>
                <w:lang w:val="ru-RU"/>
              </w:rPr>
              <w:t xml:space="preserve">зелених</w:t>
            </w:r>
            <w:r>
              <w:rPr>
                <w:rFonts w:ascii="Arial" w:hAnsi="Arial" w:cs="Arial"/>
                <w:sz w:val="24"/>
                <w:szCs w:val="24"/>
                <w:lang w:val="ru-RU"/>
              </w:rPr>
              <w:t xml:space="preserve"> </w:t>
            </w:r>
            <w:r>
              <w:rPr>
                <w:rFonts w:ascii="Arial" w:hAnsi="Arial" w:cs="Arial"/>
                <w:sz w:val="24"/>
                <w:szCs w:val="24"/>
                <w:lang w:val="ru-RU"/>
              </w:rPr>
              <w:t xml:space="preserve">насаджень</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c>
          <w:tcPr>
            <w:shd w:val="clear" w:color="auto" w:fill="FFFFFF" w:themeFill="background1"/>
            <w:tcW w:w="1838" w:type="dxa"/>
            <w:vMerge w:val="restart"/>
            <w:textDirection w:val="lrTb"/>
            <w:noWrap w:val="false"/>
          </w:tcPr>
          <w:p>
            <w:pPr>
              <w:pStyle w:val="558"/>
              <w:jc w:val="both"/>
              <w:rPr>
                <w:rFonts w:ascii="Arial" w:hAnsi="Arial" w:cs="Arial"/>
                <w:sz w:val="24"/>
                <w:szCs w:val="24"/>
              </w:rPr>
            </w:pPr>
            <w:r>
              <w:rPr>
                <w:rFonts w:ascii="Arial" w:hAnsi="Arial" w:cs="Arial"/>
                <w:sz w:val="24"/>
                <w:szCs w:val="24"/>
              </w:rPr>
              <w:t xml:space="preserve">Здоров’я</w:t>
            </w:r>
            <w:r>
              <w:rPr>
                <w:rFonts w:ascii="Arial" w:hAnsi="Arial" w:cs="Arial"/>
                <w:sz w:val="24"/>
                <w:szCs w:val="24"/>
              </w:rPr>
              <w:t xml:space="preserve"> </w:t>
            </w:r>
            <w:r>
              <w:rPr>
                <w:rFonts w:ascii="Arial" w:hAnsi="Arial" w:cs="Arial"/>
                <w:sz w:val="24"/>
                <w:szCs w:val="24"/>
              </w:rPr>
              <w:t xml:space="preserve">населення</w:t>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Моніторинг вразливих груп населення (ідентифікація їхньої кількості, розподілу, тощо) для координування дій, спрямованих на допомогу у випадку спекотної погоди чи екстремальних явищ</w:t>
            </w:r>
            <w:r/>
          </w:p>
        </w:tc>
        <w:tc>
          <w:tcPr>
            <w:shd w:val="clear" w:color="auto" w:fill="FFFFFF" w:themeFill="background1"/>
            <w:tcW w:w="1417" w:type="dxa"/>
            <w:vMerge w:val="restart"/>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Моніторинг вразливих груп населення та інформування у випадках загрози поширення інфекцій</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Постійне інформування населення про якість води в системах водопостачання та в природних об’єктах</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Забезпечення медичної служби (швидкої допомоги) кваліфікованим персоналом, необхідною технікою та ресурсами</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r>
      <w:tr>
        <w:trPr>
          <w:trHeight w:val="638"/>
        </w:trPr>
        <w:tc>
          <w:tcPr>
            <w:shd w:val="clear" w:color="auto" w:fill="FFFFFF" w:themeFill="background1"/>
            <w:tcW w:w="1838" w:type="dxa"/>
            <w:vMerge w:val="restart"/>
            <w:textDirection w:val="lrTb"/>
            <w:noWrap w:val="false"/>
          </w:tcPr>
          <w:p>
            <w:pPr>
              <w:pStyle w:val="558"/>
              <w:jc w:val="both"/>
              <w:rPr>
                <w:rFonts w:ascii="Arial" w:hAnsi="Arial" w:cs="Arial"/>
                <w:sz w:val="24"/>
                <w:szCs w:val="24"/>
                <w:lang w:val="ru-RU"/>
              </w:rPr>
            </w:pPr>
            <w:r>
              <w:rPr>
                <w:rFonts w:ascii="Arial" w:hAnsi="Arial" w:cs="Arial"/>
                <w:sz w:val="24"/>
                <w:szCs w:val="24"/>
                <w:lang w:val="ru-RU"/>
              </w:rPr>
              <w:t xml:space="preserve">Цивільна</w:t>
            </w:r>
            <w:r>
              <w:rPr>
                <w:rFonts w:ascii="Arial" w:hAnsi="Arial" w:cs="Arial"/>
                <w:sz w:val="24"/>
                <w:szCs w:val="24"/>
                <w:lang w:val="ru-RU"/>
              </w:rPr>
              <w:t xml:space="preserve"> оборона (служба </w:t>
            </w:r>
            <w:r>
              <w:rPr>
                <w:rFonts w:ascii="Arial" w:hAnsi="Arial" w:cs="Arial"/>
                <w:sz w:val="24"/>
                <w:szCs w:val="24"/>
                <w:lang w:val="ru-RU"/>
              </w:rPr>
              <w:t xml:space="preserve">надзвичайних</w:t>
            </w:r>
            <w:r>
              <w:rPr>
                <w:rFonts w:ascii="Arial" w:hAnsi="Arial" w:cs="Arial"/>
                <w:sz w:val="24"/>
                <w:szCs w:val="24"/>
                <w:lang w:val="ru-RU"/>
              </w:rPr>
              <w:t xml:space="preserve"> </w:t>
            </w:r>
            <w:r>
              <w:rPr>
                <w:rFonts w:ascii="Arial" w:hAnsi="Arial" w:cs="Arial"/>
                <w:sz w:val="24"/>
                <w:szCs w:val="24"/>
                <w:lang w:val="ru-RU"/>
              </w:rPr>
              <w:t xml:space="preserve">ситуацій</w:t>
            </w:r>
            <w:r>
              <w:rPr>
                <w:rFonts w:ascii="Arial" w:hAnsi="Arial" w:cs="Arial"/>
                <w:sz w:val="24"/>
                <w:szCs w:val="24"/>
                <w:lang w:val="ru-RU"/>
              </w:rPr>
              <w:t xml:space="preserve">)</w:t>
            </w:r>
            <w:r/>
          </w:p>
        </w:tc>
        <w:tc>
          <w:tcPr>
            <w:shd w:val="clear" w:color="auto" w:fill="FFFFFF" w:themeFill="background1"/>
            <w:tcW w:w="10915" w:type="dxa"/>
            <w:textDirection w:val="lrTb"/>
            <w:noWrap w:val="false"/>
          </w:tcPr>
          <w:p>
            <w:pPr>
              <w:pStyle w:val="558"/>
              <w:jc w:val="both"/>
              <w:rPr>
                <w:rFonts w:ascii="Arial" w:hAnsi="Arial" w:cs="Arial"/>
                <w:b/>
                <w:sz w:val="24"/>
                <w:szCs w:val="24"/>
                <w:lang w:val="uk-UA"/>
              </w:rPr>
            </w:pPr>
            <w:r>
              <w:rPr>
                <w:rFonts w:ascii="Arial" w:hAnsi="Arial" w:cs="Arial"/>
                <w:sz w:val="24"/>
                <w:szCs w:val="24"/>
                <w:lang w:val="uk-UA"/>
              </w:rPr>
              <w:t xml:space="preserve">Удосконалення системи оповіщення про надзвичайні ситуації (зокрема, про спекотну погоду, про очікувані опади, буревії, пилові бурі та ін.). </w:t>
            </w:r>
            <w:r/>
          </w:p>
        </w:tc>
        <w:tc>
          <w:tcPr>
            <w:shd w:val="clear" w:color="auto" w:fill="FFFFFF" w:themeFill="background1"/>
            <w:tcW w:w="1417" w:type="dxa"/>
            <w:vMerge w:val="restart"/>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Коротко- і середньо-термінові</w:t>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rPr>
            </w:pPr>
            <w:r>
              <w:rPr>
                <w:rFonts w:ascii="Arial" w:hAnsi="Arial" w:cs="Arial"/>
                <w:sz w:val="24"/>
                <w:szCs w:val="24"/>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Розробле</w:t>
            </w:r>
            <w:r>
              <w:rPr>
                <w:rFonts w:ascii="Arial" w:hAnsi="Arial" w:cs="Arial"/>
                <w:sz w:val="24"/>
                <w:szCs w:val="24"/>
                <w:lang w:val="uk-UA"/>
              </w:rPr>
              <w:t xml:space="preserve">ння планів реагування на спекотну погоду та інші надзвичайні ситуації природного та техногенного характеру, включаючи переведення швидкої допомоги та інших служб реагування у стан підвищеної готовності в періоди сильної спеки та інших надзвичайних ситуацій</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Забезпечення служб реагування на надзвичайні ситуації необхідною технікою та ресурсами</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r>
        <w:trPr/>
        <w:tc>
          <w:tcPr>
            <w:shd w:val="clear" w:color="auto" w:fill="FFFFFF" w:themeFill="background1"/>
            <w:tcW w:w="1838" w:type="dxa"/>
            <w:vMerge w:val="continue"/>
            <w:textDirection w:val="lrTb"/>
            <w:noWrap w:val="false"/>
          </w:tcPr>
          <w:p>
            <w:pPr>
              <w:pStyle w:val="558"/>
              <w:jc w:val="both"/>
              <w:rPr>
                <w:rFonts w:ascii="Arial" w:hAnsi="Arial" w:cs="Arial"/>
                <w:sz w:val="24"/>
                <w:szCs w:val="24"/>
                <w:lang w:val="ru-RU"/>
              </w:rPr>
            </w:pPr>
            <w:r>
              <w:rPr>
                <w:rFonts w:ascii="Arial" w:hAnsi="Arial" w:cs="Arial"/>
                <w:sz w:val="24"/>
                <w:szCs w:val="24"/>
                <w:lang w:val="ru-RU"/>
              </w:rPr>
            </w:r>
            <w:r/>
          </w:p>
        </w:tc>
        <w:tc>
          <w:tcPr>
            <w:shd w:val="clear" w:color="auto" w:fill="FFFFFF" w:themeFill="background1"/>
            <w:tcW w:w="10915" w:type="dxa"/>
            <w:textDirection w:val="lrTb"/>
            <w:noWrap w:val="false"/>
          </w:tcPr>
          <w:p>
            <w:pPr>
              <w:pStyle w:val="558"/>
              <w:jc w:val="both"/>
              <w:rPr>
                <w:rFonts w:ascii="Arial" w:hAnsi="Arial" w:cs="Arial"/>
                <w:sz w:val="24"/>
                <w:szCs w:val="24"/>
                <w:lang w:val="uk-UA"/>
              </w:rPr>
            </w:pPr>
            <w:r>
              <w:rPr>
                <w:rFonts w:ascii="Arial" w:hAnsi="Arial" w:cs="Arial"/>
                <w:sz w:val="24"/>
                <w:szCs w:val="24"/>
                <w:lang w:val="uk-UA"/>
              </w:rPr>
              <w:t xml:space="preserve">Посилення готовності протипоже</w:t>
            </w:r>
            <w:r>
              <w:rPr>
                <w:rFonts w:ascii="Arial" w:hAnsi="Arial" w:cs="Arial"/>
                <w:sz w:val="24"/>
                <w:szCs w:val="24"/>
                <w:lang w:val="uk-UA"/>
              </w:rPr>
              <w:t xml:space="preserve">жної служби у посушливі періоди</w:t>
            </w:r>
            <w:r/>
          </w:p>
        </w:tc>
        <w:tc>
          <w:tcPr>
            <w:shd w:val="clear" w:color="auto" w:fill="FFFFFF" w:themeFill="background1"/>
            <w:tcW w:w="1417" w:type="dxa"/>
            <w:vMerge w:val="continue"/>
            <w:textDirection w:val="lrTb"/>
            <w:noWrap w:val="false"/>
          </w:tcPr>
          <w:p>
            <w:pPr>
              <w:pStyle w:val="558"/>
              <w:jc w:val="both"/>
              <w:rPr>
                <w:rFonts w:ascii="Arial" w:hAnsi="Arial" w:cs="Arial"/>
                <w:sz w:val="24"/>
                <w:szCs w:val="24"/>
                <w:lang w:val="uk-UA"/>
              </w:rPr>
            </w:pPr>
            <w:r>
              <w:rPr>
                <w:rFonts w:ascii="Arial" w:hAnsi="Arial" w:cs="Arial"/>
                <w:sz w:val="24"/>
                <w:szCs w:val="24"/>
                <w:lang w:val="uk-UA"/>
              </w:rPr>
            </w:r>
            <w:r/>
          </w:p>
        </w:tc>
      </w:tr>
    </w:tbl>
    <w:p>
      <w:pPr>
        <w:pStyle w:val="558"/>
        <w:jc w:val="both"/>
        <w:rPr>
          <w:rFonts w:ascii="Arial" w:hAnsi="Arial" w:cs="Arial"/>
          <w:sz w:val="24"/>
          <w:szCs w:val="24"/>
          <w:lang w:val="uk-UA"/>
        </w:rPr>
      </w:pPr>
      <w:r>
        <w:rPr>
          <w:rFonts w:ascii="Arial" w:hAnsi="Arial" w:cs="Arial"/>
          <w:sz w:val="24"/>
          <w:szCs w:val="24"/>
          <w:lang w:val="uk-UA"/>
        </w:rPr>
        <w:tab/>
        <w:t xml:space="preserve"> </w:t>
      </w:r>
      <w:r/>
    </w:p>
    <w:p>
      <w:pPr>
        <w:pStyle w:val="548"/>
        <w:ind w:firstLine="720"/>
        <w:jc w:val="both"/>
        <w:rPr>
          <w:b/>
          <w:bCs/>
          <w:color w:val="auto"/>
          <w:lang w:val="uk-UA"/>
        </w:rPr>
        <w:sectPr>
          <w:footnotePr/>
          <w:type w:val="continuous"/>
          <w:pgSz w:w="16839" w:h="11907" w:orient="landscape"/>
          <w:pgMar w:top="1440" w:right="1104" w:bottom="1170" w:left="1440" w:header="720" w:footer="720"/>
          <w:cols w:num="1" w:sep="0" w:space="720" w:equalWidth="1"/>
          <w:docGrid w:linePitch="360"/>
        </w:sectPr>
      </w:pPr>
      <w:r>
        <w:rPr>
          <w:b/>
          <w:bCs/>
          <w:color w:val="auto"/>
          <w:lang w:val="uk-UA"/>
        </w:rPr>
      </w:r>
      <w:r/>
    </w:p>
    <w:p>
      <w:pPr>
        <w:pStyle w:val="548"/>
        <w:ind w:firstLine="720"/>
        <w:jc w:val="both"/>
        <w:rPr>
          <w:bCs/>
          <w:color w:val="auto"/>
          <w:lang w:val="uk-UA"/>
        </w:rPr>
      </w:pPr>
      <w:r>
        <w:rPr>
          <w:b/>
          <w:bCs/>
          <w:color w:val="auto"/>
          <w:lang w:val="uk-UA"/>
        </w:rPr>
        <w:t xml:space="preserve">В цілому, вразливість </w:t>
      </w:r>
      <w:r>
        <w:rPr>
          <w:b/>
          <w:lang w:val="uk-UA"/>
        </w:rPr>
        <w:t xml:space="preserve">Менської міської </w:t>
      </w:r>
      <w:r>
        <w:rPr>
          <w:b/>
          <w:lang w:val="uk-UA"/>
        </w:rPr>
        <w:t xml:space="preserve">територіальної громади</w:t>
      </w:r>
      <w:r>
        <w:rPr>
          <w:b/>
          <w:lang w:val="uk-UA"/>
        </w:rPr>
        <w:t xml:space="preserve"> </w:t>
      </w:r>
      <w:r>
        <w:rPr>
          <w:b/>
          <w:bCs/>
          <w:color w:val="auto"/>
          <w:lang w:val="uk-UA"/>
        </w:rPr>
        <w:t xml:space="preserve">до зміни клімату та його наслідків оцінюється як помірна. Підвищеною для </w:t>
      </w:r>
      <w:r>
        <w:rPr>
          <w:b/>
          <w:bCs/>
          <w:color w:val="auto"/>
          <w:lang w:val="uk-UA"/>
        </w:rPr>
        <w:t xml:space="preserve">деяких секторів залишається вразливість до екстремальних температур, надмірних опадів, паводків і надзвичайних погодних явищ. </w:t>
      </w:r>
      <w:r>
        <w:rPr>
          <w:bCs/>
          <w:color w:val="auto"/>
          <w:lang w:val="uk-UA"/>
        </w:rPr>
        <w:t xml:space="preserve"> </w:t>
      </w:r>
      <w:r/>
    </w:p>
    <w:p>
      <w:pPr>
        <w:jc w:val="both"/>
        <w:spacing w:lineRule="auto" w:line="240" w:after="0"/>
        <w:rPr>
          <w:rFonts w:ascii="Arial" w:hAnsi="Arial" w:cs="Arial"/>
          <w:sz w:val="24"/>
          <w:szCs w:val="24"/>
          <w:lang w:val="uk-UA" w:eastAsia="ru-RU"/>
        </w:rPr>
        <w:sectPr>
          <w:footnotePr/>
          <w:type w:val="continuous"/>
          <w:pgSz w:w="16839" w:h="11907" w:orient="landscape"/>
          <w:pgMar w:top="1440" w:right="1104" w:bottom="1170" w:left="1440" w:header="720" w:footer="720"/>
          <w:cols w:num="2" w:sep="0" w:space="720" w:equalWidth="1"/>
          <w:docGrid w:linePitch="360"/>
        </w:sectPr>
      </w:pPr>
      <w:r>
        <w:rPr>
          <w:rFonts w:ascii="Arial" w:hAnsi="Arial" w:cs="Arial"/>
          <w:sz w:val="24"/>
          <w:szCs w:val="24"/>
          <w:lang w:val="uk-UA" w:eastAsia="ru-RU"/>
        </w:rPr>
      </w:r>
      <w:r/>
    </w:p>
    <w:p>
      <w:pPr>
        <w:pStyle w:val="548"/>
        <w:jc w:val="both"/>
        <w:rPr>
          <w:b/>
          <w:bCs/>
          <w:color w:val="auto"/>
          <w:lang w:val="uk-UA"/>
        </w:rPr>
        <w:sectPr>
          <w:footnotePr/>
          <w:type w:val="continuous"/>
          <w:pgSz w:w="16839" w:h="11907" w:orient="landscape"/>
          <w:pgMar w:top="1440" w:right="1104" w:bottom="1170" w:left="1440" w:header="720" w:footer="720"/>
          <w:cols w:num="1" w:sep="0" w:space="720" w:equalWidth="1"/>
          <w:docGrid w:linePitch="360"/>
        </w:sectPr>
      </w:pPr>
      <w:r>
        <w:rPr>
          <w:b/>
          <w:bCs/>
          <w:color w:val="auto"/>
          <w:lang w:val="uk-UA"/>
        </w:rPr>
      </w:r>
      <w:r/>
    </w:p>
    <w:p>
      <w:pPr>
        <w:ind w:right="-1"/>
        <w:spacing w:lineRule="auto" w:line="240" w:after="0"/>
        <w:rPr>
          <w:rFonts w:ascii="Arial" w:hAnsi="Arial" w:cs="Arial"/>
          <w:b/>
          <w:color w:val="0099FF"/>
          <w:sz w:val="40"/>
          <w:szCs w:val="40"/>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color w:val="0099FF"/>
          <w:sz w:val="40"/>
          <w:szCs w:val="40"/>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t xml:space="preserve">РОЗДІЛ </w:t>
      </w:r>
      <w:r>
        <w:rPr>
          <w:rFonts w:ascii="Arial" w:hAnsi="Arial" w:cs="Arial"/>
          <w:b/>
          <w:sz w:val="40"/>
          <w:szCs w:val="40"/>
          <w:lang w:val="uk-UA"/>
        </w:rPr>
        <w:t xml:space="preserve">6</w:t>
      </w:r>
      <w:r>
        <w:rPr>
          <w:rFonts w:ascii="Arial" w:hAnsi="Arial" w:cs="Arial"/>
          <w:b/>
          <w:sz w:val="40"/>
          <w:szCs w:val="40"/>
          <w:lang w:val="uk-UA"/>
        </w:rPr>
        <w:t xml:space="preserve">. МОНІТОРИНГ ТА ЗВІТНІСТЬ</w:t>
      </w:r>
      <w:r/>
    </w:p>
    <w:p>
      <w:pPr>
        <w:ind w:right="-1" w:firstLine="720"/>
        <w:jc w:val="center"/>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sz w:val="24"/>
          <w:szCs w:val="24"/>
          <w:lang w:val="uk-UA"/>
        </w:rPr>
      </w:r>
      <w:r/>
    </w:p>
    <w:p>
      <w:pPr>
        <w:ind w:right="-1" w:firstLine="720"/>
        <w:jc w:val="both"/>
        <w:spacing w:lineRule="auto" w:line="240" w:after="0"/>
        <w:rPr>
          <w:rFonts w:ascii="Arial" w:hAnsi="Arial" w:cs="Arial"/>
          <w:b/>
          <w:sz w:val="24"/>
          <w:szCs w:val="24"/>
          <w:lang w:val="uk-UA"/>
        </w:rPr>
      </w:pPr>
      <w:r>
        <w:rPr>
          <w:rFonts w:ascii="Arial" w:hAnsi="Arial" w:cs="Arial"/>
          <w:b/>
          <w:sz w:val="24"/>
          <w:szCs w:val="24"/>
          <w:lang w:val="uk-UA"/>
        </w:rPr>
      </w:r>
      <w:r/>
    </w:p>
    <w:p>
      <w:pPr>
        <w:ind w:right="-1" w:firstLine="720"/>
        <w:jc w:val="both"/>
        <w:spacing w:lineRule="auto" w:line="240" w:after="0"/>
        <w:rPr>
          <w:rFonts w:ascii="Arial" w:hAnsi="Arial" w:cs="Arial"/>
          <w:b/>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b/>
          <w:sz w:val="24"/>
          <w:szCs w:val="24"/>
          <w:lang w:val="uk-UA"/>
        </w:rPr>
      </w:r>
      <w:r/>
    </w:p>
    <w:p>
      <w:pPr>
        <w:ind w:right="-1" w:firstLine="720"/>
        <w:jc w:val="both"/>
        <w:spacing w:lineRule="auto" w:line="240" w:after="0"/>
        <w:rPr>
          <w:rFonts w:ascii="Arial" w:hAnsi="Arial" w:cs="Arial"/>
          <w:b/>
          <w:sz w:val="24"/>
          <w:szCs w:val="24"/>
          <w:lang w:val="uk-UA"/>
        </w:rPr>
      </w:pPr>
      <w:r>
        <w:rPr>
          <w:rFonts w:ascii="Arial" w:hAnsi="Arial" w:cs="Arial"/>
          <w:b/>
          <w:sz w:val="24"/>
          <w:szCs w:val="24"/>
          <w:lang w:val="uk-UA"/>
        </w:rPr>
        <w:t xml:space="preserve">6</w:t>
      </w:r>
      <w:r>
        <w:rPr>
          <w:rFonts w:ascii="Arial" w:hAnsi="Arial" w:cs="Arial"/>
          <w:b/>
          <w:sz w:val="24"/>
          <w:szCs w:val="24"/>
          <w:lang w:val="uk-UA"/>
        </w:rPr>
        <w:t xml:space="preserve">.1. Моніторинг ПДСЕРК</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Регулярний моніторинг ПДСЕРК з використанням відповідних індикаторів дозволяє оцінити імовірність до</w:t>
      </w:r>
      <w:r>
        <w:rPr>
          <w:rFonts w:ascii="Arial" w:hAnsi="Arial" w:cs="Arial"/>
          <w:sz w:val="24"/>
          <w:szCs w:val="24"/>
          <w:lang w:val="uk-UA"/>
        </w:rPr>
        <w:t xml:space="preserve">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та проведення моніторингу» передбачено наступні етапи моніторингу: звіт </w:t>
      </w:r>
      <w:r>
        <w:rPr>
          <w:rFonts w:ascii="Arial" w:hAnsi="Arial" w:cs="Arial"/>
          <w:sz w:val="24"/>
          <w:szCs w:val="24"/>
          <w:lang w:val="uk-UA"/>
        </w:rPr>
        <w:t xml:space="preserve">про діяльність та повний звіт. </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Звіт про діяльність подається що два роки після прийняття ПДСЕРК та скерований на Загальну стратегію ПДСЕРК та на виконання запланованих заходів, перед</w:t>
      </w:r>
      <w:r>
        <w:rPr>
          <w:rFonts w:ascii="Arial" w:hAnsi="Arial" w:cs="Arial"/>
          <w:sz w:val="24"/>
          <w:szCs w:val="24"/>
          <w:lang w:val="uk-UA"/>
        </w:rPr>
        <w:t xml:space="preserve">-</w:t>
      </w:r>
      <w:r>
        <w:rPr>
          <w:rFonts w:ascii="Arial" w:hAnsi="Arial" w:cs="Arial"/>
          <w:sz w:val="24"/>
          <w:szCs w:val="24"/>
          <w:lang w:val="uk-UA"/>
        </w:rPr>
        <w:t xml:space="preserve">бачених ПДСЕРК. </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Зокрема, моніторинг Загальної стратегії передбачає будь-які зміни в загальній стратегії та подає оновлені дані щодо перерозподілу співробітників та фінансових ресурсів. Моніторин</w:t>
      </w:r>
      <w:r>
        <w:rPr>
          <w:rFonts w:ascii="Arial" w:hAnsi="Arial" w:cs="Arial"/>
          <w:sz w:val="24"/>
          <w:szCs w:val="24"/>
          <w:lang w:val="uk-UA"/>
        </w:rPr>
        <w:t xml:space="preserve">г запланованих заходів описує стан їх реалізації, проблеми, котрі при цьому виникали та відповідно їх вплив на досягнення цілей ПДСЕРК. Повний звіт, що подається через чотири роки з дати прийняття ПДСЕРК передбачає, окрім вище зазначених дій, підготовку Мо</w:t>
      </w:r>
      <w:r>
        <w:rPr>
          <w:rFonts w:ascii="Arial" w:hAnsi="Arial" w:cs="Arial"/>
          <w:sz w:val="24"/>
          <w:szCs w:val="24"/>
          <w:lang w:val="uk-UA"/>
        </w:rPr>
        <w:t xml:space="preserve">ніторингового кадастру викидів.</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w:t>
      </w:r>
      <w:r>
        <w:rPr>
          <w:rFonts w:ascii="Arial" w:hAnsi="Arial" w:cs="Arial"/>
          <w:sz w:val="24"/>
          <w:szCs w:val="24"/>
          <w:lang w:val="uk-UA"/>
        </w:rPr>
        <w:t xml:space="preserve">ється на енергоменеджера міста (інспектора з питань енергоменеджменту). Система моніторингу споживання ПЕР відповідає завдання визначеним в Угоді Мерів, а також є елементом системи енергоменеджменту. Зокрема, моніторинг споживання ПЕР у секторі транспорту </w:t>
      </w:r>
      <w:r>
        <w:rPr>
          <w:rFonts w:ascii="Arial" w:hAnsi="Arial" w:cs="Arial"/>
          <w:sz w:val="24"/>
          <w:szCs w:val="24"/>
          <w:lang w:val="uk-UA"/>
        </w:rPr>
        <w:t xml:space="preserve">здійснюється щорічно, споживання ПЕР у бюджетній сфері, громадському освітленні та на комунальних підприємств здійснюється щомісячно.</w:t>
      </w:r>
      <w:r>
        <w:rPr>
          <w:rFonts w:ascii="Arial" w:hAnsi="Arial" w:cs="Arial"/>
          <w:sz w:val="24"/>
          <w:szCs w:val="24"/>
          <w:lang w:val="uk-UA"/>
        </w:rPr>
        <w:t xml:space="preserve"> </w:t>
      </w:r>
      <w:r>
        <w:rPr>
          <w:rFonts w:ascii="Arial" w:hAnsi="Arial" w:cs="Arial"/>
          <w:sz w:val="24"/>
          <w:szCs w:val="24"/>
          <w:lang w:val="uk-UA"/>
        </w:rPr>
        <w:t xml:space="preserve">З метою контролю енергоспо</w:t>
      </w:r>
      <w:r>
        <w:rPr>
          <w:rFonts w:ascii="Arial" w:hAnsi="Arial" w:cs="Arial"/>
          <w:sz w:val="24"/>
          <w:szCs w:val="24"/>
          <w:lang w:val="uk-UA"/>
        </w:rPr>
        <w:t xml:space="preserve">живання на об’єктах</w:t>
      </w:r>
      <w:r>
        <w:rPr>
          <w:rFonts w:ascii="Arial" w:hAnsi="Arial" w:cs="Arial"/>
          <w:sz w:val="24"/>
          <w:szCs w:val="24"/>
          <w:lang w:val="uk-UA"/>
        </w:rPr>
        <w:t xml:space="preserve">, що підпорядковані міській раді, встановлюються річні ліміти на споживання всіх видів енергоресурсів. В тому числі, для установ, котрі фінансуються з міського бюджету, встановлені щомісячні ліміти споживання енергоресурсів. </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Загалом запровадження системи енергомоніторингу використання ПЕР разом з системою енергоменеджменту дозволить:</w:t>
      </w:r>
      <w:r/>
    </w:p>
    <w:p>
      <w:pPr>
        <w:ind w:firstLine="720"/>
        <w:jc w:val="both"/>
        <w:spacing w:lineRule="auto" w:line="240" w:after="80"/>
        <w:rPr>
          <w:rFonts w:ascii="Arial" w:hAnsi="Arial" w:cs="Arial"/>
          <w:sz w:val="24"/>
          <w:szCs w:val="24"/>
          <w:lang w:val="uk-UA"/>
        </w:rPr>
      </w:pPr>
      <w:r>
        <w:rPr>
          <w:rFonts w:ascii="Arial" w:hAnsi="Arial" w:cs="Arial"/>
          <w:sz w:val="24"/>
          <w:szCs w:val="24"/>
          <w:lang w:val="uk-UA"/>
        </w:rPr>
        <w:t xml:space="preserve">- визначати результативність енергоефективних за</w:t>
      </w:r>
      <w:r>
        <w:rPr>
          <w:rFonts w:ascii="Arial" w:hAnsi="Arial" w:cs="Arial"/>
          <w:sz w:val="24"/>
          <w:szCs w:val="24"/>
          <w:lang w:val="uk-UA"/>
        </w:rPr>
        <w:t xml:space="preserve">-</w:t>
      </w:r>
      <w:r>
        <w:rPr>
          <w:rFonts w:ascii="Arial" w:hAnsi="Arial" w:cs="Arial"/>
          <w:sz w:val="24"/>
          <w:szCs w:val="24"/>
          <w:lang w:val="uk-UA"/>
        </w:rPr>
        <w:t xml:space="preserve">ходів;</w:t>
      </w:r>
      <w:r/>
    </w:p>
    <w:p>
      <w:pPr>
        <w:ind w:firstLine="720"/>
        <w:jc w:val="both"/>
        <w:spacing w:lineRule="auto" w:line="240" w:after="80"/>
        <w:rPr>
          <w:rFonts w:ascii="Arial" w:hAnsi="Arial" w:cs="Arial"/>
          <w:sz w:val="24"/>
          <w:szCs w:val="24"/>
          <w:lang w:val="uk-UA"/>
        </w:rPr>
      </w:pPr>
      <w:r>
        <w:rPr>
          <w:rFonts w:ascii="Arial" w:hAnsi="Arial" w:cs="Arial"/>
          <w:sz w:val="24"/>
          <w:szCs w:val="24"/>
          <w:lang w:val="uk-UA"/>
        </w:rPr>
        <w:t xml:space="preserve">- проводити ефективний аналіз даних енергоспоживання та розробки відповідних заходів;</w:t>
      </w:r>
      <w:r/>
    </w:p>
    <w:p>
      <w:pPr>
        <w:ind w:firstLine="720"/>
        <w:jc w:val="both"/>
        <w:spacing w:lineRule="auto" w:line="240" w:after="80"/>
        <w:rPr>
          <w:rFonts w:ascii="Arial" w:hAnsi="Arial" w:cs="Arial"/>
          <w:sz w:val="24"/>
          <w:szCs w:val="24"/>
          <w:lang w:val="uk-UA"/>
        </w:rPr>
      </w:pPr>
      <w:r>
        <w:rPr>
          <w:rFonts w:ascii="Arial" w:hAnsi="Arial" w:cs="Arial"/>
          <w:sz w:val="24"/>
          <w:szCs w:val="24"/>
          <w:lang w:val="uk-UA"/>
        </w:rPr>
        <w:t xml:space="preserve">- вдосконалити систему зв’язків</w:t>
      </w:r>
      <w:r>
        <w:rPr>
          <w:rFonts w:ascii="Arial" w:hAnsi="Arial" w:cs="Arial"/>
          <w:sz w:val="24"/>
          <w:szCs w:val="24"/>
          <w:lang w:val="uk-UA"/>
        </w:rPr>
        <w:t xml:space="preserve"> та інформаційного обміну з хауз майстрами комунальних підприємств міста задля досягнення узгодженої енергетичної політики у місті;</w:t>
      </w:r>
      <w:r/>
    </w:p>
    <w:p>
      <w:pPr>
        <w:ind w:firstLine="720"/>
        <w:jc w:val="both"/>
        <w:spacing w:lineRule="auto" w:line="240" w:after="80"/>
        <w:rPr>
          <w:rFonts w:ascii="Arial" w:hAnsi="Arial" w:cs="Arial"/>
          <w:sz w:val="24"/>
          <w:szCs w:val="24"/>
          <w:lang w:val="uk-UA"/>
        </w:rPr>
      </w:pPr>
      <w:r>
        <w:rPr>
          <w:rFonts w:ascii="Arial" w:hAnsi="Arial" w:cs="Arial"/>
          <w:sz w:val="24"/>
          <w:szCs w:val="24"/>
          <w:lang w:val="uk-UA"/>
        </w:rPr>
        <w:t xml:space="preserve">- сформувати єдиний міський реєстр проектів, п</w:t>
      </w:r>
      <w:r>
        <w:rPr>
          <w:rFonts w:ascii="Arial" w:hAnsi="Arial" w:cs="Arial"/>
          <w:sz w:val="24"/>
          <w:szCs w:val="24"/>
          <w:lang w:val="uk-UA"/>
        </w:rPr>
        <w:t xml:space="preserve">ов’</w:t>
      </w:r>
      <w:r>
        <w:rPr>
          <w:rFonts w:ascii="Arial" w:hAnsi="Arial" w:cs="Arial"/>
          <w:sz w:val="24"/>
          <w:szCs w:val="24"/>
          <w:lang w:val="uk-UA"/>
        </w:rPr>
        <w:t xml:space="preserve">язаних з енергоефективністю, проводити постійний моніторинг їх виконання;</w:t>
      </w:r>
      <w:r/>
    </w:p>
    <w:p>
      <w:pPr>
        <w:ind w:firstLine="720"/>
        <w:jc w:val="both"/>
        <w:spacing w:lineRule="auto" w:line="240" w:after="80"/>
        <w:rPr>
          <w:rFonts w:ascii="Arial" w:hAnsi="Arial" w:cs="Arial"/>
          <w:sz w:val="24"/>
          <w:szCs w:val="24"/>
          <w:lang w:val="uk-UA"/>
        </w:rPr>
      </w:pPr>
      <w:r>
        <w:rPr>
          <w:rFonts w:ascii="Arial" w:hAnsi="Arial" w:cs="Arial"/>
          <w:sz w:val="24"/>
          <w:szCs w:val="24"/>
          <w:lang w:val="uk-UA"/>
        </w:rPr>
        <w:t xml:space="preserve">- здійснювати моніторинг витрат на закупівлю ПЕР з міського бюджету;</w:t>
      </w:r>
      <w:r/>
    </w:p>
    <w:p>
      <w:pPr>
        <w:ind w:firstLine="720"/>
        <w:jc w:val="both"/>
        <w:spacing w:lineRule="auto" w:line="240" w:after="80"/>
        <w:rPr>
          <w:rFonts w:ascii="Arial" w:hAnsi="Arial" w:cs="Arial"/>
          <w:sz w:val="24"/>
          <w:szCs w:val="24"/>
          <w:lang w:val="uk-UA"/>
        </w:rPr>
      </w:pPr>
      <w:r>
        <w:rPr>
          <w:rFonts w:ascii="Arial" w:hAnsi="Arial" w:cs="Arial"/>
          <w:sz w:val="24"/>
          <w:szCs w:val="24"/>
          <w:lang w:val="uk-UA"/>
        </w:rPr>
        <w:t xml:space="preserve">- проведення інформаційно-просвітницької діяльності, спрямованої на зміну свідомості населення щодо споживання ПЕР, а також роз`яснювальної роботи щодо ефективності тих чи інших заходів, спрямованих на зменшення використання енергетичних ресурсів;</w:t>
      </w:r>
      <w:r/>
    </w:p>
    <w:p>
      <w:pPr>
        <w:ind w:firstLine="720"/>
        <w:jc w:val="both"/>
        <w:spacing w:lineRule="auto" w:line="240" w:after="80"/>
        <w:rPr>
          <w:rFonts w:ascii="Arial" w:hAnsi="Arial" w:cs="Arial"/>
          <w:sz w:val="24"/>
          <w:szCs w:val="24"/>
          <w:lang w:val="uk-UA"/>
        </w:rPr>
      </w:pPr>
      <w:r>
        <w:rPr>
          <w:rFonts w:ascii="Arial" w:hAnsi="Arial" w:cs="Arial"/>
          <w:sz w:val="24"/>
          <w:szCs w:val="24"/>
          <w:lang w:val="uk-UA"/>
        </w:rPr>
        <w:t xml:space="preserve">- впровадити с</w:t>
      </w:r>
      <w:r>
        <w:rPr>
          <w:rFonts w:ascii="Arial" w:hAnsi="Arial" w:cs="Arial"/>
          <w:sz w:val="24"/>
          <w:szCs w:val="24"/>
          <w:lang w:val="uk-UA"/>
        </w:rPr>
        <w:t xml:space="preserve">истему щорічного моніторингу СО</w:t>
      </w:r>
      <w:r>
        <w:rPr>
          <w:rFonts w:ascii="Arial" w:hAnsi="Arial" w:cs="Arial"/>
          <w:sz w:val="24"/>
          <w:szCs w:val="24"/>
          <w:vertAlign w:val="subscript"/>
          <w:lang w:val="uk-UA"/>
        </w:rPr>
        <w:t xml:space="preserve">2</w:t>
      </w:r>
      <w:r>
        <w:rPr>
          <w:rFonts w:ascii="Arial" w:hAnsi="Arial" w:cs="Arial"/>
          <w:sz w:val="24"/>
          <w:szCs w:val="24"/>
          <w:lang w:val="uk-UA"/>
        </w:rPr>
        <w:t xml:space="preserve">.</w:t>
      </w:r>
      <w:r/>
    </w:p>
    <w:p>
      <w:pPr>
        <w:ind w:right="-1" w:firstLine="720"/>
        <w:jc w:val="both"/>
        <w:spacing w:lineRule="auto" w:line="240" w:after="0"/>
        <w:rPr>
          <w:rFonts w:ascii="Arial" w:hAnsi="Arial" w:cs="Arial"/>
          <w:b/>
          <w:sz w:val="24"/>
          <w:szCs w:val="24"/>
          <w:lang w:val="uk-UA"/>
        </w:rPr>
      </w:pPr>
      <w:r>
        <w:rPr>
          <w:rFonts w:ascii="Arial" w:hAnsi="Arial" w:cs="Arial"/>
          <w:b/>
          <w:sz w:val="24"/>
          <w:szCs w:val="24"/>
          <w:lang w:val="uk-UA"/>
        </w:rPr>
        <w:t xml:space="preserve">6</w:t>
      </w:r>
      <w:r>
        <w:rPr>
          <w:rFonts w:ascii="Arial" w:hAnsi="Arial" w:cs="Arial"/>
          <w:b/>
          <w:sz w:val="24"/>
          <w:szCs w:val="24"/>
          <w:lang w:val="uk-UA"/>
        </w:rPr>
        <w:t xml:space="preserve">.2. Звіт про впровадження ПДСЕРК до Об'єднаного дослідницького центру Єврокомісії</w:t>
      </w:r>
      <w:r/>
    </w:p>
    <w:p>
      <w:pPr>
        <w:ind w:right="-1" w:firstLine="720"/>
        <w:jc w:val="both"/>
        <w:spacing w:lineRule="auto" w:line="240" w:after="0"/>
        <w:rPr>
          <w:rFonts w:ascii="Arial" w:hAnsi="Arial" w:cs="Arial"/>
          <w:b/>
          <w:i/>
          <w:sz w:val="24"/>
          <w:szCs w:val="24"/>
          <w:lang w:val="uk-UA"/>
        </w:rPr>
      </w:pPr>
      <w:r>
        <w:rPr>
          <w:rFonts w:ascii="Arial" w:hAnsi="Arial" w:cs="Arial"/>
          <w:b/>
          <w:i/>
          <w:sz w:val="24"/>
          <w:szCs w:val="24"/>
          <w:lang w:val="uk-UA"/>
        </w:rPr>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Менська громада</w:t>
      </w:r>
      <w:r>
        <w:rPr>
          <w:rFonts w:ascii="Arial" w:hAnsi="Arial" w:cs="Arial"/>
          <w:sz w:val="24"/>
          <w:szCs w:val="24"/>
          <w:lang w:val="uk-UA"/>
        </w:rPr>
        <w:t xml:space="preserve">, як учасник Угоди мерів, за її правилами зобов’язане кожні 2 роки після подання ПДСЕРК подавати Звіт про впровадження плану Об'єднаному дослідницькому центру Єврокомісії. Звіт подається з метою перевірки відповідності проміжних результатів передбач</w:t>
      </w:r>
      <w:r>
        <w:rPr>
          <w:rFonts w:ascii="Arial" w:hAnsi="Arial" w:cs="Arial"/>
          <w:sz w:val="24"/>
          <w:szCs w:val="24"/>
          <w:lang w:val="uk-UA"/>
        </w:rPr>
        <w:t xml:space="preserve">еним цілям зменшення викидів CO</w:t>
      </w:r>
      <w:r>
        <w:rPr>
          <w:rFonts w:ascii="Arial" w:hAnsi="Arial" w:cs="Arial"/>
          <w:sz w:val="24"/>
          <w:szCs w:val="24"/>
          <w:vertAlign w:val="subscript"/>
          <w:lang w:val="uk-UA"/>
        </w:rPr>
        <w:t xml:space="preserve">2</w:t>
      </w:r>
      <w:r>
        <w:rPr>
          <w:rFonts w:ascii="Arial" w:hAnsi="Arial" w:cs="Arial"/>
          <w:sz w:val="24"/>
          <w:szCs w:val="24"/>
          <w:lang w:val="uk-UA"/>
        </w:rPr>
        <w:t xml:space="preserve">. Окрім того, кожні чотири роки після подання ПДСЕРК подається звіт про проведені заходи разом із  моніторингом Базового кадастру викидів.</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Місцева уповноважена особа, що відповідає за моніторинг виконання заходів ПДСЕРК і формування звіту згідно з вимогами Є</w:t>
      </w:r>
      <w:r>
        <w:rPr>
          <w:rFonts w:ascii="Arial" w:hAnsi="Arial" w:cs="Arial"/>
          <w:sz w:val="24"/>
          <w:szCs w:val="24"/>
          <w:lang w:val="uk-UA"/>
        </w:rPr>
        <w:t xml:space="preserve">врокомісії, це інспектор з питань енергоменеджменту міської ради. Вони повинні систематично збирати інформацію про реалізацію запланованих у ПДСЕРК заходів, включаючи аналіз ситуації, що склалася і, якщо необхідно, проводити відповідні коригувальні заходи.</w:t>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t xml:space="preserve">Для подання такого звіту буде заповнено шаблон із моніторингу ПДСЕРК у профілі підписанта на офіційному сайті Угоди мерів </w:t>
      </w:r>
      <w:hyperlink r:id="rId44" w:history="1">
        <w:r>
          <w:rPr>
            <w:rStyle w:val="522"/>
            <w:rFonts w:ascii="Arial" w:hAnsi="Arial" w:cs="Arial"/>
            <w:sz w:val="24"/>
            <w:szCs w:val="24"/>
            <w:lang w:val="uk-UA"/>
          </w:rPr>
          <w:t xml:space="preserve">http://www.uhodameriv.eu</w:t>
        </w:r>
      </w:hyperlink>
      <w:r>
        <w:rPr>
          <w:rFonts w:ascii="Arial" w:hAnsi="Arial" w:cs="Arial"/>
          <w:sz w:val="24"/>
          <w:szCs w:val="24"/>
          <w:lang w:val="uk-UA"/>
        </w:rPr>
        <w:t xml:space="preserve">.</w:t>
      </w:r>
      <w:r/>
    </w:p>
    <w:p>
      <w:pPr>
        <w:ind w:right="-1" w:firstLine="720"/>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2" w:sep="0" w:space="708" w:equalWidth="0">
            <w:col w:w="6789" w:space="708"/>
            <w:col w:w="6789" w:space="0"/>
          </w:cols>
          <w:docGrid w:linePitch="360"/>
          <w:titlePg/>
        </w:sectPr>
      </w:pPr>
      <w:r>
        <w:rPr>
          <w:rFonts w:ascii="Arial" w:hAnsi="Arial" w:cs="Arial"/>
          <w:sz w:val="24"/>
          <w:szCs w:val="24"/>
          <w:lang w:val="uk-UA"/>
        </w:rPr>
      </w:r>
      <w:r/>
    </w:p>
    <w:p>
      <w:pPr>
        <w:ind w:right="-1" w:firstLine="720"/>
        <w:jc w:val="both"/>
        <w:spacing w:lineRule="auto" w:line="240" w:after="0"/>
        <w:rPr>
          <w:rFonts w:ascii="Arial" w:hAnsi="Arial" w:cs="Arial"/>
          <w:sz w:val="24"/>
          <w:szCs w:val="24"/>
          <w:lang w:val="uk-UA"/>
        </w:rPr>
      </w:pPr>
      <w:r>
        <w:rPr>
          <w:rFonts w:ascii="Arial" w:hAnsi="Arial" w:cs="Arial"/>
          <w:sz w:val="24"/>
          <w:szCs w:val="24"/>
          <w:lang w:val="uk-UA"/>
        </w:rPr>
      </w:r>
      <w:r/>
    </w:p>
    <w:p>
      <w:pPr>
        <w:ind w:right="-1"/>
        <w:spacing w:lineRule="auto" w:line="240" w:after="0"/>
        <w:rPr>
          <w:rFonts w:ascii="Arial" w:hAnsi="Arial" w:cs="Arial"/>
          <w:sz w:val="24"/>
          <w:szCs w:val="24"/>
          <w:lang w:val="uk-UA"/>
        </w:rPr>
      </w:pPr>
      <w:r>
        <w:rPr>
          <w:rFonts w:ascii="Arial" w:hAnsi="Arial" w:cs="Arial"/>
          <w:sz w:val="24"/>
          <w:szCs w:val="24"/>
          <w:lang w:val="uk-UA"/>
        </w:rPr>
      </w:r>
      <w:r/>
    </w:p>
    <w:p>
      <w:pPr>
        <w:ind w:right="-1"/>
        <w:jc w:val="center"/>
        <w:spacing w:lineRule="auto" w:line="240" w:after="0"/>
        <w:rPr>
          <w:rFonts w:ascii="Arial" w:hAnsi="Arial" w:cs="Arial"/>
          <w:sz w:val="24"/>
          <w:szCs w:val="24"/>
          <w:lang w:val="uk-UA"/>
        </w:rPr>
      </w:pPr>
      <w:r>
        <w:rPr>
          <w:rFonts w:ascii="Arial" w:hAnsi="Arial" w:cs="Arial"/>
          <w:sz w:val="24"/>
          <w:szCs w:val="24"/>
          <w:lang w:val="uk-UA" w:eastAsia="uk-UA"/>
        </w:rPr>
        <mc:AlternateContent>
          <mc:Choice Requires="wpg">
            <w:drawing>
              <wp:inline xmlns:wp="http://schemas.openxmlformats.org/drawingml/2006/wordprocessingDrawing" distT="0" distB="0" distL="0" distR="0">
                <wp:extent cx="6880860" cy="3070860"/>
                <wp:effectExtent l="0" t="0" r="0" b="0"/>
                <wp:docPr id="36" name="Рисунок 2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Рисунок 21" hidden="0"/>
                        <pic:cNvPicPr>
                          <a:picLocks noChangeAspect="1"/>
                        </pic:cNvPicPr>
                      </pic:nvPicPr>
                      <pic:blipFill>
                        <a:blip r:embed="rId45"/>
                        <a:stretch/>
                      </pic:blipFill>
                      <pic:spPr bwMode="auto">
                        <a:xfrm>
                          <a:off x="0" y="0"/>
                          <a:ext cx="6880860" cy="30708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541.8pt;height:241.8pt;">
                <v:path textboxrect="0,0,0,0"/>
                <v:imagedata r:id="rId45" o:title=""/>
              </v:shape>
            </w:pict>
          </mc:Fallback>
        </mc:AlternateContent>
      </w:r>
      <w:r/>
    </w:p>
    <w:p>
      <w:pPr>
        <w:ind w:right="-1"/>
        <w:spacing w:lineRule="auto" w:line="240" w:after="0"/>
        <w:rPr>
          <w:rFonts w:ascii="Arial" w:hAnsi="Arial" w:cs="Arial"/>
          <w:b/>
          <w:sz w:val="24"/>
          <w:szCs w:val="24"/>
          <w:lang w:val="uk-UA"/>
        </w:rPr>
      </w:pPr>
      <w:r>
        <w:rPr>
          <w:rFonts w:ascii="Arial" w:hAnsi="Arial" w:cs="Arial"/>
          <w:b/>
          <w:sz w:val="24"/>
          <w:szCs w:val="24"/>
          <w:lang w:val="uk-UA"/>
        </w:rPr>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t xml:space="preserve">Висновок</w:t>
      </w:r>
      <w:r/>
    </w:p>
    <w:p>
      <w:pPr>
        <w:ind w:right="-1"/>
        <w:jc w:val="center"/>
        <w:spacing w:lineRule="auto" w:line="240" w:after="0"/>
        <w:rPr>
          <w:rFonts w:ascii="Arial" w:hAnsi="Arial" w:cs="Arial"/>
          <w:b/>
          <w:sz w:val="24"/>
          <w:szCs w:val="24"/>
          <w:lang w:val="uk-UA"/>
        </w:rPr>
      </w:pPr>
      <w:r>
        <w:rPr>
          <w:rFonts w:ascii="Arial" w:hAnsi="Arial" w:cs="Arial"/>
          <w:b/>
          <w:sz w:val="24"/>
          <w:szCs w:val="24"/>
          <w:lang w:val="uk-UA"/>
        </w:rPr>
      </w:r>
      <w:r/>
    </w:p>
    <w:p>
      <w:pPr>
        <w:ind w:right="-1" w:firstLine="708"/>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1" w:sep="0" w:space="708" w:equalWidth="1"/>
          <w:docGrid w:linePitch="360"/>
          <w:titlePg/>
        </w:sectPr>
      </w:pPr>
      <w:r>
        <w:rPr>
          <w:rFonts w:ascii="Arial" w:hAnsi="Arial" w:cs="Arial"/>
          <w:sz w:val="24"/>
          <w:szCs w:val="24"/>
          <w:lang w:val="uk-UA"/>
        </w:rPr>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План дій сталого енергетичного розвитку</w:t>
      </w:r>
      <w:r>
        <w:rPr>
          <w:rFonts w:ascii="Arial" w:hAnsi="Arial" w:cs="Arial"/>
          <w:sz w:val="24"/>
          <w:szCs w:val="24"/>
          <w:lang w:val="uk-UA"/>
        </w:rPr>
        <w:t xml:space="preserve"> та адаптації до змін клімату</w:t>
      </w:r>
      <w:r>
        <w:rPr>
          <w:rFonts w:ascii="Arial" w:hAnsi="Arial" w:cs="Arial"/>
          <w:sz w:val="24"/>
          <w:szCs w:val="24"/>
          <w:lang w:val="uk-UA"/>
        </w:rPr>
        <w:t xml:space="preserve"> </w:t>
      </w:r>
      <w:r>
        <w:rPr>
          <w:rFonts w:ascii="Arial" w:hAnsi="Arial" w:cs="Arial"/>
          <w:sz w:val="24"/>
          <w:szCs w:val="24"/>
          <w:lang w:val="uk-UA"/>
        </w:rPr>
        <w:t xml:space="preserve">Менської громади</w:t>
      </w:r>
      <w:r>
        <w:rPr>
          <w:rFonts w:ascii="Arial" w:hAnsi="Arial" w:cs="Arial"/>
          <w:sz w:val="24"/>
          <w:szCs w:val="24"/>
          <w:lang w:val="uk-UA"/>
        </w:rPr>
        <w:t xml:space="preserve"> на період до 2030 року</w:t>
      </w:r>
      <w:r>
        <w:rPr>
          <w:rFonts w:ascii="Arial" w:hAnsi="Arial" w:cs="Arial"/>
          <w:sz w:val="24"/>
          <w:szCs w:val="24"/>
          <w:lang w:val="uk-UA"/>
        </w:rPr>
        <w:t xml:space="preserve"> є стратегічним документом, який спрямований на підвищення енергоефективності у бюджетних закладах та установах, житлових будівлях, громадському транспорті, муніципальному громадському освітленні та у комунальних підприємствах </w:t>
      </w:r>
      <w:r>
        <w:rPr>
          <w:rFonts w:ascii="Arial" w:hAnsi="Arial" w:cs="Arial"/>
          <w:sz w:val="24"/>
          <w:szCs w:val="24"/>
          <w:lang w:val="uk-UA"/>
        </w:rPr>
        <w:t xml:space="preserve">громади</w:t>
      </w:r>
      <w:r>
        <w:rPr>
          <w:rFonts w:ascii="Arial" w:hAnsi="Arial" w:cs="Arial"/>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За результатами розробки ПДСЕРК проведений аналіз та оцінка поточного стану у сферах виробництва та споживання ПЕР у </w:t>
      </w:r>
      <w:r>
        <w:rPr>
          <w:rFonts w:ascii="Arial" w:hAnsi="Arial" w:cs="Arial"/>
          <w:sz w:val="24"/>
          <w:szCs w:val="24"/>
          <w:lang w:val="uk-UA"/>
        </w:rPr>
        <w:t xml:space="preserve">громаді</w:t>
      </w:r>
      <w:r>
        <w:rPr>
          <w:rFonts w:ascii="Arial" w:hAnsi="Arial" w:cs="Arial"/>
          <w:sz w:val="24"/>
          <w:szCs w:val="24"/>
          <w:lang w:val="uk-UA"/>
        </w:rPr>
        <w:t xml:space="preserve">. Проаналізована динаміка споживання енергети</w:t>
      </w:r>
      <w:r>
        <w:rPr>
          <w:rFonts w:ascii="Arial" w:hAnsi="Arial" w:cs="Arial"/>
          <w:sz w:val="24"/>
          <w:szCs w:val="24"/>
          <w:lang w:val="uk-UA"/>
        </w:rPr>
        <w:t xml:space="preserve">чних ре</w:t>
      </w:r>
      <w:r>
        <w:rPr>
          <w:rFonts w:ascii="Arial" w:hAnsi="Arial" w:cs="Arial"/>
          <w:sz w:val="24"/>
          <w:szCs w:val="24"/>
          <w:lang w:val="uk-UA"/>
        </w:rPr>
        <w:t xml:space="preserve">сурсів за 3 роки (з 2017 - 2019</w:t>
      </w:r>
      <w:r>
        <w:rPr>
          <w:rFonts w:ascii="Arial" w:hAnsi="Arial" w:cs="Arial"/>
          <w:sz w:val="24"/>
          <w:szCs w:val="24"/>
          <w:lang w:val="uk-UA"/>
        </w:rPr>
        <w:t xml:space="preserve"> рр.) у розрізі основних секторів (муніципальні будівлі, житлові будинки, муніципальне громадське освітлення, транспорт, промисловість</w:t>
      </w:r>
      <w:r>
        <w:rPr>
          <w:rFonts w:ascii="Arial" w:hAnsi="Arial" w:cs="Arial"/>
          <w:sz w:val="24"/>
          <w:szCs w:val="24"/>
          <w:lang w:val="uk-UA"/>
        </w:rPr>
        <w:t xml:space="preserve">, третинний сектор, інші споживачі)</w:t>
      </w:r>
      <w:r>
        <w:rPr>
          <w:rFonts w:ascii="Arial" w:hAnsi="Arial" w:cs="Arial"/>
          <w:sz w:val="24"/>
          <w:szCs w:val="24"/>
          <w:lang w:val="uk-UA"/>
        </w:rPr>
        <w:t xml:space="preserve">.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На жаль, показники, які вдалося зібрати, мають диференційований характер по причині особистого підходу енергопостачальників у власному обліку ресурсів.</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На основі отриманих даних побудований кад</w:t>
      </w:r>
      <w:r>
        <w:rPr>
          <w:rFonts w:ascii="Arial" w:hAnsi="Arial" w:cs="Arial"/>
          <w:sz w:val="24"/>
          <w:szCs w:val="24"/>
          <w:lang w:val="uk-UA"/>
        </w:rPr>
        <w:t xml:space="preserve">астр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з обранням 2019</w:t>
      </w:r>
      <w:r>
        <w:rPr>
          <w:rFonts w:ascii="Arial" w:hAnsi="Arial" w:cs="Arial"/>
          <w:sz w:val="24"/>
          <w:szCs w:val="24"/>
          <w:lang w:val="uk-UA"/>
        </w:rPr>
        <w:t xml:space="preserve"> року, як базового, відносно до якого у 2030 році планується</w:t>
      </w:r>
      <w:r>
        <w:rPr>
          <w:rFonts w:ascii="Arial" w:hAnsi="Arial" w:cs="Arial"/>
          <w:sz w:val="24"/>
          <w:szCs w:val="24"/>
          <w:lang w:val="uk-UA"/>
        </w:rPr>
        <w:t xml:space="preserve"> досягнути зменшення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на </w:t>
      </w:r>
      <w:r>
        <w:rPr>
          <w:rFonts w:ascii="Arial" w:hAnsi="Arial" w:cs="Arial"/>
          <w:sz w:val="24"/>
          <w:szCs w:val="24"/>
          <w:lang w:val="uk-UA"/>
        </w:rPr>
        <w:t xml:space="preserve">11 430</w:t>
      </w:r>
      <w:r>
        <w:rPr>
          <w:rFonts w:ascii="Arial" w:hAnsi="Arial" w:cs="Arial"/>
          <w:sz w:val="24"/>
          <w:szCs w:val="24"/>
          <w:lang w:val="uk-UA"/>
        </w:rPr>
        <w:t xml:space="preserve"> </w:t>
      </w:r>
      <w:r>
        <w:rPr>
          <w:rFonts w:ascii="Arial" w:hAnsi="Arial" w:cs="Arial"/>
          <w:sz w:val="24"/>
          <w:szCs w:val="24"/>
          <w:lang w:val="uk-UA"/>
        </w:rPr>
        <w:t xml:space="preserve">т/рік</w:t>
      </w:r>
      <w:r>
        <w:rPr>
          <w:rFonts w:ascii="Arial" w:hAnsi="Arial" w:cs="Arial"/>
          <w:b/>
          <w:sz w:val="24"/>
          <w:szCs w:val="24"/>
          <w:lang w:val="uk-UA"/>
        </w:rPr>
        <w:t xml:space="preserve">,</w:t>
      </w:r>
      <w:r>
        <w:rPr>
          <w:rFonts w:ascii="Arial" w:hAnsi="Arial" w:cs="Arial"/>
          <w:sz w:val="24"/>
          <w:szCs w:val="24"/>
          <w:lang w:val="uk-UA"/>
        </w:rPr>
        <w:t xml:space="preserve"> або на </w:t>
      </w:r>
      <w:r>
        <w:rPr>
          <w:rFonts w:ascii="Arial" w:hAnsi="Arial" w:cs="Arial"/>
          <w:b/>
          <w:sz w:val="24"/>
          <w:szCs w:val="24"/>
          <w:lang w:val="uk-UA"/>
        </w:rPr>
        <w:t xml:space="preserve">31,78</w:t>
      </w:r>
      <w:r>
        <w:rPr>
          <w:rFonts w:ascii="Arial" w:hAnsi="Arial" w:cs="Arial"/>
          <w:b/>
          <w:sz w:val="24"/>
          <w:szCs w:val="24"/>
          <w:lang w:val="uk-UA"/>
        </w:rPr>
        <w:t xml:space="preserve">%</w:t>
      </w:r>
      <w:r>
        <w:rPr>
          <w:rFonts w:ascii="Arial" w:hAnsi="Arial" w:cs="Arial"/>
          <w:sz w:val="24"/>
          <w:szCs w:val="24"/>
          <w:lang w:val="uk-UA"/>
        </w:rPr>
        <w:t xml:space="preserve">.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Крім того, планується на </w:t>
      </w:r>
      <w:r>
        <w:rPr>
          <w:rFonts w:ascii="Arial" w:hAnsi="Arial" w:cs="Arial"/>
          <w:sz w:val="24"/>
          <w:szCs w:val="24"/>
          <w:lang w:val="uk-UA"/>
        </w:rPr>
        <w:t xml:space="preserve">33 009 </w:t>
      </w:r>
      <w:r>
        <w:rPr>
          <w:rFonts w:ascii="Arial" w:hAnsi="Arial" w:cs="Arial"/>
          <w:sz w:val="24"/>
          <w:szCs w:val="24"/>
          <w:lang w:val="uk-UA"/>
        </w:rPr>
        <w:t xml:space="preserve">МВт*</w:t>
      </w:r>
      <w:r>
        <w:rPr>
          <w:rFonts w:ascii="Arial" w:hAnsi="Arial" w:cs="Arial"/>
          <w:sz w:val="24"/>
          <w:szCs w:val="24"/>
          <w:lang w:val="uk-UA"/>
        </w:rPr>
        <w:t xml:space="preserve">год./рік зменшити споживання всіх основних видів енергетичних ресурсів та довести використання ВДЕ до </w:t>
      </w:r>
      <w:r>
        <w:rPr>
          <w:rFonts w:ascii="Arial" w:hAnsi="Arial" w:cs="Arial"/>
          <w:sz w:val="24"/>
          <w:szCs w:val="24"/>
          <w:lang w:val="uk-UA"/>
        </w:rPr>
        <w:t xml:space="preserve">7081</w:t>
      </w:r>
      <w:r>
        <w:rPr>
          <w:rFonts w:ascii="Arial" w:hAnsi="Arial" w:cs="Arial"/>
          <w:b/>
          <w:sz w:val="24"/>
          <w:szCs w:val="24"/>
          <w:lang w:val="uk-UA"/>
        </w:rPr>
        <w:t xml:space="preserve"> </w:t>
      </w:r>
      <w:r>
        <w:rPr>
          <w:rFonts w:ascii="Arial" w:hAnsi="Arial" w:cs="Arial"/>
          <w:sz w:val="24"/>
          <w:szCs w:val="24"/>
          <w:lang w:val="uk-UA"/>
        </w:rPr>
        <w:t xml:space="preserve">МВт*</w:t>
      </w:r>
      <w:r>
        <w:rPr>
          <w:rFonts w:ascii="Arial" w:hAnsi="Arial" w:cs="Arial"/>
          <w:sz w:val="24"/>
          <w:szCs w:val="24"/>
          <w:lang w:val="uk-UA"/>
        </w:rPr>
        <w:t xml:space="preserve">год./рік, що відповід</w:t>
      </w:r>
      <w:r>
        <w:rPr>
          <w:rFonts w:ascii="Arial" w:hAnsi="Arial" w:cs="Arial"/>
          <w:sz w:val="24"/>
          <w:szCs w:val="24"/>
          <w:lang w:val="uk-UA"/>
        </w:rPr>
        <w:t xml:space="preserve">но до плану повинно скласти 5,04</w:t>
      </w:r>
      <w:r>
        <w:rPr>
          <w:rFonts w:ascii="Arial" w:hAnsi="Arial" w:cs="Arial"/>
          <w:sz w:val="24"/>
          <w:szCs w:val="24"/>
          <w:lang w:val="uk-UA"/>
        </w:rPr>
        <w:t xml:space="preserve">% від загального споживання енергії.</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Проведена оцінк</w:t>
      </w:r>
      <w:r>
        <w:rPr>
          <w:rFonts w:ascii="Arial" w:hAnsi="Arial" w:cs="Arial"/>
          <w:sz w:val="24"/>
          <w:szCs w:val="24"/>
          <w:lang w:val="uk-UA"/>
        </w:rPr>
        <w:t xml:space="preserve">а </w:t>
      </w:r>
      <w:r>
        <w:rPr>
          <w:rFonts w:ascii="Arial" w:hAnsi="Arial" w:cs="Arial"/>
          <w:sz w:val="24"/>
          <w:szCs w:val="24"/>
          <w:lang w:val="uk-UA"/>
        </w:rPr>
        <w:t xml:space="preserve">Менської</w:t>
      </w:r>
      <w:r>
        <w:rPr>
          <w:rFonts w:ascii="Arial" w:hAnsi="Arial" w:cs="Arial"/>
          <w:sz w:val="24"/>
          <w:szCs w:val="24"/>
          <w:lang w:val="uk-UA"/>
        </w:rPr>
        <w:t xml:space="preserve"> міської ради до </w:t>
      </w:r>
      <w:r>
        <w:rPr>
          <w:rFonts w:ascii="Arial" w:hAnsi="Arial" w:cs="Arial"/>
          <w:sz w:val="24"/>
          <w:szCs w:val="24"/>
          <w:lang w:val="uk-UA"/>
        </w:rPr>
        <w:t xml:space="preserve">впровад</w:t>
      </w:r>
      <w:r>
        <w:rPr>
          <w:rFonts w:ascii="Arial" w:hAnsi="Arial" w:cs="Arial"/>
          <w:sz w:val="24"/>
          <w:szCs w:val="24"/>
          <w:lang w:val="uk-UA"/>
        </w:rPr>
        <w:t xml:space="preserve">ження та моніторингу стану виконання ПДСЕРК, </w:t>
      </w:r>
      <w:r>
        <w:rPr>
          <w:rFonts w:ascii="Arial" w:hAnsi="Arial" w:cs="Arial"/>
          <w:sz w:val="24"/>
          <w:szCs w:val="24"/>
          <w:lang w:val="uk-UA"/>
        </w:rPr>
        <w:t xml:space="preserve">ефективності роботи системи е</w:t>
      </w:r>
      <w:r>
        <w:rPr>
          <w:rFonts w:ascii="Arial" w:hAnsi="Arial" w:cs="Arial"/>
          <w:sz w:val="24"/>
          <w:szCs w:val="24"/>
          <w:lang w:val="uk-UA"/>
        </w:rPr>
        <w:t xml:space="preserve">нергетичного менеджменту у громаді</w:t>
      </w:r>
      <w:r>
        <w:rPr>
          <w:rFonts w:ascii="Arial" w:hAnsi="Arial" w:cs="Arial"/>
          <w:sz w:val="24"/>
          <w:szCs w:val="24"/>
          <w:lang w:val="uk-UA"/>
        </w:rPr>
        <w:t xml:space="preserve">.</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Надані пропозиції щодо удосконалення системи</w:t>
      </w:r>
      <w:r>
        <w:rPr>
          <w:rFonts w:ascii="Arial" w:hAnsi="Arial" w:cs="Arial"/>
          <w:sz w:val="24"/>
          <w:szCs w:val="24"/>
          <w:lang w:val="uk-UA"/>
        </w:rPr>
        <w:t xml:space="preserve"> енергетичного менеджменту</w:t>
      </w:r>
      <w:r>
        <w:rPr>
          <w:rFonts w:ascii="Arial" w:hAnsi="Arial" w:cs="Arial"/>
          <w:sz w:val="24"/>
          <w:szCs w:val="24"/>
          <w:lang w:val="uk-UA"/>
        </w:rPr>
        <w:t xml:space="preserve">, залученні до енергоменеджменту представників громадянського суспільства і професійних експертів.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Враховуючи специфіку організаційної структури, найбільш ефективним бачиться пряма спільна взаємодія влади (інспектор з питань енергомене</w:t>
      </w:r>
      <w:r>
        <w:rPr>
          <w:rFonts w:ascii="Arial" w:hAnsi="Arial" w:cs="Arial"/>
          <w:sz w:val="24"/>
          <w:szCs w:val="24"/>
          <w:lang w:val="uk-UA"/>
        </w:rPr>
        <w:t xml:space="preserve">джменту) і громади (Громадська р</w:t>
      </w:r>
      <w:r>
        <w:rPr>
          <w:rFonts w:ascii="Arial" w:hAnsi="Arial" w:cs="Arial"/>
          <w:sz w:val="24"/>
          <w:szCs w:val="24"/>
          <w:lang w:val="uk-UA"/>
        </w:rPr>
        <w:t xml:space="preserve">ада), з поділом зобов’язань і сегментів відповідальності за ефективне впровадження на довгострокову перспективу планів подібного характеру.</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У контексті запропонованих заходів та фінансових ресурсів необхідних на їх реалізацію розглянуто можливості міського бюджету м. </w:t>
      </w:r>
      <w:r>
        <w:rPr>
          <w:rFonts w:ascii="Arial" w:hAnsi="Arial" w:cs="Arial"/>
          <w:sz w:val="24"/>
          <w:szCs w:val="24"/>
          <w:lang w:val="uk-UA"/>
        </w:rPr>
        <w:t xml:space="preserve">Мена</w:t>
      </w:r>
      <w:r>
        <w:rPr>
          <w:rFonts w:ascii="Arial" w:hAnsi="Arial" w:cs="Arial"/>
          <w:sz w:val="24"/>
          <w:szCs w:val="24"/>
          <w:lang w:val="uk-UA"/>
        </w:rPr>
        <w:t xml:space="preserve"> щодо фінансування (співфінансування) заходів, спрям</w:t>
      </w:r>
      <w:r>
        <w:rPr>
          <w:rFonts w:ascii="Arial" w:hAnsi="Arial" w:cs="Arial"/>
          <w:sz w:val="24"/>
          <w:szCs w:val="24"/>
          <w:lang w:val="uk-UA"/>
        </w:rPr>
        <w:t xml:space="preserve">ованих на скорочення викидів СО</w:t>
      </w:r>
      <w:r>
        <w:rPr>
          <w:rFonts w:ascii="Arial" w:hAnsi="Arial" w:cs="Arial"/>
          <w:sz w:val="24"/>
          <w:szCs w:val="24"/>
          <w:vertAlign w:val="subscript"/>
          <w:lang w:val="uk-UA"/>
        </w:rPr>
        <w:t xml:space="preserve">2</w:t>
      </w:r>
      <w:r>
        <w:rPr>
          <w:rFonts w:ascii="Arial" w:hAnsi="Arial" w:cs="Arial"/>
          <w:sz w:val="24"/>
          <w:szCs w:val="24"/>
          <w:lang w:val="uk-UA"/>
        </w:rPr>
        <w:t xml:space="preserve">. </w:t>
      </w:r>
      <w:r/>
    </w:p>
    <w:p>
      <w:pPr>
        <w:ind w:right="-1" w:firstLine="708"/>
        <w:jc w:val="both"/>
        <w:spacing w:lineRule="auto" w:line="240" w:after="0"/>
        <w:rPr>
          <w:rFonts w:ascii="Arial" w:hAnsi="Arial" w:cs="Arial"/>
          <w:sz w:val="24"/>
          <w:szCs w:val="24"/>
          <w:lang w:val="uk-UA"/>
        </w:rPr>
      </w:pPr>
      <w:r>
        <w:rPr>
          <w:rFonts w:ascii="Arial" w:hAnsi="Arial" w:cs="Arial"/>
          <w:sz w:val="24"/>
          <w:szCs w:val="24"/>
          <w:lang w:val="uk-UA"/>
        </w:rPr>
        <w:t xml:space="preserve">Визначено, що основними джерелами фінансування енергоефективних про</w:t>
      </w:r>
      <w:r>
        <w:rPr>
          <w:rFonts w:ascii="Arial" w:hAnsi="Arial" w:cs="Arial"/>
          <w:sz w:val="24"/>
          <w:szCs w:val="24"/>
          <w:lang w:val="uk-UA"/>
        </w:rPr>
        <w:t xml:space="preserve">ектів необхідно розглядати кредитні, грантові кошти та інші, не заборонені чинним законодавством джерела фінансування, кошти міського бюджету, здебільшого, краще використовувати для фінансування м’яких заходів і співфінансування заходів з енергозбереження.</w:t>
      </w:r>
      <w:r/>
    </w:p>
    <w:p>
      <w:pPr>
        <w:ind w:right="-1" w:firstLine="708"/>
        <w:jc w:val="both"/>
        <w:spacing w:lineRule="auto" w:line="240" w:after="0"/>
        <w:rPr>
          <w:rFonts w:ascii="Arial" w:hAnsi="Arial" w:cs="Arial"/>
          <w:sz w:val="24"/>
          <w:szCs w:val="24"/>
          <w:lang w:val="uk-UA"/>
        </w:rPr>
        <w:sectPr>
          <w:footnotePr/>
          <w:type w:val="continuous"/>
          <w:pgSz w:w="16838" w:h="11906" w:orient="landscape"/>
          <w:pgMar w:top="1134" w:right="1134" w:bottom="851" w:left="1418" w:header="709" w:footer="709"/>
          <w:cols w:num="2" w:sep="0" w:space="708" w:equalWidth="0">
            <w:col w:w="6789" w:space="708"/>
            <w:col w:w="6789" w:space="0"/>
          </w:cols>
          <w:docGrid w:linePitch="360"/>
          <w:titlePg/>
        </w:sectPr>
      </w:pPr>
      <w:r>
        <w:rPr>
          <w:rFonts w:ascii="Arial" w:hAnsi="Arial" w:cs="Arial"/>
          <w:sz w:val="24"/>
          <w:szCs w:val="24"/>
          <w:lang w:val="uk-UA"/>
        </w:rPr>
        <w:t xml:space="preserve">Перелік заходів, реалізація яких запропонована для скорочення викидів парникових газів та їх вартість, можуть на протязі виконання ПДСЕРК переглядатися та </w:t>
      </w:r>
      <w:r>
        <w:rPr>
          <w:rFonts w:ascii="Arial" w:hAnsi="Arial" w:cs="Arial"/>
          <w:sz w:val="24"/>
          <w:szCs w:val="24"/>
          <w:lang w:val="uk-UA"/>
        </w:rPr>
        <w:t xml:space="preserve">актуалізуватись</w:t>
      </w:r>
      <w:r>
        <w:rPr>
          <w:rFonts w:ascii="Arial" w:hAnsi="Arial" w:cs="Arial"/>
          <w:sz w:val="24"/>
          <w:szCs w:val="24"/>
          <w:lang w:val="uk-UA"/>
        </w:rPr>
        <w:t xml:space="preserve"> у зв’язку з появою нових технологій, потреб, зміною ринкової кон’юнктури, прийнятих у</w:t>
      </w:r>
      <w:r>
        <w:rPr>
          <w:rFonts w:ascii="Arial" w:hAnsi="Arial" w:cs="Arial"/>
          <w:sz w:val="24"/>
          <w:szCs w:val="24"/>
          <w:lang w:val="uk-UA"/>
        </w:rPr>
        <w:t xml:space="preserve">правлінських рішень тощо</w:t>
      </w:r>
      <w:r/>
    </w:p>
    <w:p>
      <w:pPr>
        <w:ind w:right="-1"/>
        <w:jc w:val="center"/>
        <w:spacing w:lineRule="auto" w:line="240" w:after="0"/>
        <w:rPr>
          <w:rFonts w:ascii="Arial" w:hAnsi="Arial" w:cs="Arial"/>
          <w:b/>
          <w:sz w:val="40"/>
          <w:szCs w:val="40"/>
          <w:lang w:val="uk-UA"/>
        </w:rPr>
      </w:pPr>
      <w:r>
        <w:rPr>
          <w:rFonts w:ascii="Arial" w:hAnsi="Arial" w:cs="Arial"/>
          <w:b/>
          <w:sz w:val="40"/>
          <w:szCs w:val="40"/>
          <w:lang w:val="uk-UA"/>
        </w:rPr>
        <w:t xml:space="preserve">Додатки</w:t>
      </w:r>
      <w:r/>
    </w:p>
    <w:p>
      <w:pPr>
        <w:jc w:val="right"/>
        <w:rPr>
          <w:rFonts w:ascii="Arial" w:hAnsi="Arial" w:cs="Arial"/>
          <w:b/>
          <w:i/>
          <w:sz w:val="24"/>
          <w:szCs w:val="24"/>
          <w:lang w:val="uk-UA"/>
        </w:rPr>
      </w:pPr>
      <w:r>
        <w:rPr>
          <w:rFonts w:ascii="Arial" w:hAnsi="Arial" w:cs="Arial"/>
          <w:b/>
          <w:color w:val="0099FF"/>
          <w:sz w:val="40"/>
          <w:szCs w:val="40"/>
          <w:lang w:val="uk-UA" w:eastAsia="uk-UA"/>
        </w:rPr>
        <mc:AlternateContent>
          <mc:Choice Requires="wpg">
            <w:drawing>
              <wp:anchor xmlns:wp="http://schemas.openxmlformats.org/drawingml/2006/wordprocessingDrawing" distT="0" distB="0" distL="114300" distR="114300" simplePos="0" relativeHeight="251660288" behindDoc="0" locked="0" layoutInCell="1" allowOverlap="1">
                <wp:simplePos x="0" y="0"/>
                <wp:positionH relativeFrom="margin">
                  <wp:align>left</wp:align>
                </wp:positionH>
                <wp:positionV relativeFrom="paragraph">
                  <wp:posOffset>290830</wp:posOffset>
                </wp:positionV>
                <wp:extent cx="9326880" cy="5814060"/>
                <wp:effectExtent l="0" t="0" r="7620" b="0"/>
                <wp:wrapNone/>
                <wp:docPr id="37" name="Text Box 26"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9326880" cy="5814060"/>
                        </a:xfrm>
                        <a:prstGeom prst="rect">
                          <a:avLst/>
                        </a:prstGeom>
                        <a:solidFill>
                          <a:srgbClr val="FFFFFF"/>
                        </a:solidFill>
                        <a:ln>
                          <a:noFill/>
                        </a:ln>
                      </wps:spPr>
                      <wps:txbx>
                        <w:txbxContent>
                          <w:tbl>
                            <w:tblPr>
                              <w:tblW w:w="14157"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A0" w:firstRow="1" w:lastRow="0" w:firstColumn="1" w:lastColumn="0" w:noHBand="0" w:noVBand="0"/>
                            </w:tblPr>
                            <w:tblGrid>
                              <w:gridCol w:w="1830"/>
                              <w:gridCol w:w="978"/>
                              <w:gridCol w:w="731"/>
                              <w:gridCol w:w="960"/>
                              <w:gridCol w:w="989"/>
                              <w:gridCol w:w="565"/>
                              <w:gridCol w:w="899"/>
                              <w:gridCol w:w="840"/>
                              <w:gridCol w:w="567"/>
                              <w:gridCol w:w="645"/>
                              <w:gridCol w:w="710"/>
                              <w:gridCol w:w="487"/>
                              <w:gridCol w:w="851"/>
                              <w:gridCol w:w="620"/>
                              <w:gridCol w:w="704"/>
                              <w:gridCol w:w="664"/>
                              <w:gridCol w:w="1117"/>
                            </w:tblGrid>
                            <w:tr>
                              <w:trPr>
                                <w:trHeight w:val="169"/>
                              </w:trPr>
                              <w:tc>
                                <w:tcPr>
                                  <w:shd w:val="clear" w:color="auto" w:fill="D9E2F3"/>
                                  <w:tcW w:w="1830" w:type="dxa"/>
                                  <w:vAlign w:val="center"/>
                                  <w:vMerge w:val="restart"/>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Сектор</w:t>
                                  </w:r>
                                  <w:r/>
                                </w:p>
                              </w:tc>
                              <w:tc>
                                <w:tcPr>
                                  <w:gridSpan w:val="16"/>
                                  <w:shd w:val="clear" w:color="auto" w:fill="FFE599"/>
                                  <w:tcW w:w="1232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ЗАГАЛЬНЕ СПОЖИ</w:t>
                                  </w:r>
                                  <w:r>
                                    <w:rPr>
                                      <w:rFonts w:ascii="Arial" w:hAnsi="Arial" w:cs="Arial"/>
                                      <w:b/>
                                      <w:sz w:val="18"/>
                                      <w:szCs w:val="18"/>
                                      <w:lang w:val="uk-UA"/>
                                    </w:rPr>
                                    <w:t xml:space="preserve">ВАННЯ ЕНЕРГІЇ (МВт*год)  за 2019 р.               </w:t>
                                  </w:r>
                                  <w:r/>
                                </w:p>
                              </w:tc>
                            </w:tr>
                            <w:tr>
                              <w:trPr>
                                <w:trHeight w:val="320"/>
                              </w:trPr>
                              <w:tc>
                                <w:tcPr>
                                  <w:shd w:val="clear" w:color="auto" w:fill="D9E2F3"/>
                                  <w:tcW w:w="1830"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c>
                                <w:tcPr>
                                  <w:shd w:val="clear" w:color="auto" w:fill="DBDBDB"/>
                                  <w:tcW w:w="978" w:type="dxa"/>
                                  <w:vAlign w:val="center"/>
                                  <w:vMerge w:val="restart"/>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Електроенергія</w:t>
                                  </w:r>
                                  <w:r/>
                                </w:p>
                              </w:tc>
                              <w:tc>
                                <w:tcPr>
                                  <w:shd w:val="clear" w:color="auto" w:fill="DBDBDB"/>
                                  <w:tcW w:w="731" w:type="dxa"/>
                                  <w:vAlign w:val="center"/>
                                  <w:vMerge w:val="restart"/>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Теплоенергія/Холод</w:t>
                                  </w:r>
                                  <w:r/>
                                </w:p>
                              </w:tc>
                              <w:tc>
                                <w:tcPr>
                                  <w:gridSpan w:val="8"/>
                                  <w:shd w:val="clear" w:color="auto" w:fill="BDD6EE"/>
                                  <w:tcW w:w="617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Викопне паливо</w:t>
                                  </w:r>
                                  <w:r/>
                                </w:p>
                              </w:tc>
                              <w:tc>
                                <w:tcPr>
                                  <w:gridSpan w:val="5"/>
                                  <w:shd w:val="clear" w:color="auto" w:fill="BDD6EE"/>
                                  <w:tcW w:w="3326"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Енергія з відновлювальних джерел</w:t>
                                  </w:r>
                                  <w:r/>
                                </w:p>
                              </w:tc>
                              <w:tc>
                                <w:tcPr>
                                  <w:shd w:val="clear" w:color="auto" w:fill="F4B083"/>
                                  <w:tcW w:w="1117" w:type="dxa"/>
                                  <w:vAlign w:val="center"/>
                                  <w:vMerge w:val="restart"/>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Загалом</w:t>
                                  </w:r>
                                  <w:r/>
                                </w:p>
                              </w:tc>
                            </w:tr>
                            <w:tr>
                              <w:trPr>
                                <w:cantSplit/>
                                <w:trHeight w:val="1333"/>
                              </w:trPr>
                              <w:tc>
                                <w:tcPr>
                                  <w:shd w:val="clear" w:color="auto" w:fill="D9E2F3"/>
                                  <w:tcW w:w="1830"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c>
                                <w:tcPr>
                                  <w:shd w:val="clear" w:color="auto" w:fill="DBDBDB"/>
                                  <w:tcW w:w="978"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c>
                                <w:tcPr>
                                  <w:shd w:val="clear" w:color="auto" w:fill="DBDBDB"/>
                                  <w:tcW w:w="731"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c>
                                <w:tcPr>
                                  <w:shd w:val="clear" w:color="auto" w:fill="D9D9D9"/>
                                  <w:tcW w:w="960"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Природний газ</w:t>
                                  </w:r>
                                  <w:r/>
                                </w:p>
                              </w:tc>
                              <w:tc>
                                <w:tcPr>
                                  <w:shd w:val="clear" w:color="auto" w:fill="D9D9D9"/>
                                  <w:tcW w:w="989"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Зріджений газ</w:t>
                                  </w:r>
                                  <w:r/>
                                </w:p>
                              </w:tc>
                              <w:tc>
                                <w:tcPr>
                                  <w:shd w:val="clear" w:color="auto" w:fill="D9D9D9"/>
                                  <w:tcW w:w="565"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Топковий мазут</w:t>
                                  </w:r>
                                  <w:r/>
                                </w:p>
                              </w:tc>
                              <w:tc>
                                <w:tcPr>
                                  <w:shd w:val="clear" w:color="auto" w:fill="D9D9D9"/>
                                  <w:tcW w:w="899"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Дизель</w:t>
                                  </w:r>
                                  <w:r/>
                                </w:p>
                              </w:tc>
                              <w:tc>
                                <w:tcPr>
                                  <w:shd w:val="clear" w:color="auto" w:fill="D9D9D9"/>
                                  <w:tcW w:w="840"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Бензин</w:t>
                                  </w:r>
                                  <w:r/>
                                </w:p>
                              </w:tc>
                              <w:tc>
                                <w:tcPr>
                                  <w:shd w:val="clear" w:color="auto" w:fill="D9D9D9"/>
                                  <w:tcW w:w="567"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Буре вугілля</w:t>
                                  </w:r>
                                  <w:r/>
                                </w:p>
                              </w:tc>
                              <w:tc>
                                <w:tcPr>
                                  <w:shd w:val="clear" w:color="auto" w:fill="D9D9D9"/>
                                  <w:tcW w:w="645"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Вугілля</w:t>
                                  </w:r>
                                  <w:r/>
                                </w:p>
                              </w:tc>
                              <w:tc>
                                <w:tcPr>
                                  <w:shd w:val="clear" w:color="auto" w:fill="D9D9D9"/>
                                  <w:tcW w:w="710"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Інше викопне паливо</w:t>
                                  </w:r>
                                  <w:r/>
                                </w:p>
                              </w:tc>
                              <w:tc>
                                <w:tcPr>
                                  <w:shd w:val="clear" w:color="auto" w:fill="D9D9D9"/>
                                  <w:tcW w:w="487"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Рослинні масла</w:t>
                                  </w:r>
                                  <w:r/>
                                </w:p>
                              </w:tc>
                              <w:tc>
                                <w:tcPr>
                                  <w:shd w:val="clear" w:color="auto" w:fill="D9D9D9"/>
                                  <w:tcW w:w="851"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Біопаливо</w:t>
                                  </w:r>
                                  <w:r/>
                                </w:p>
                              </w:tc>
                              <w:tc>
                                <w:tcPr>
                                  <w:shd w:val="clear" w:color="auto" w:fill="D9D9D9"/>
                                  <w:tcW w:w="620"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Інша біомаса</w:t>
                                  </w:r>
                                  <w:r/>
                                </w:p>
                              </w:tc>
                              <w:tc>
                                <w:tcPr>
                                  <w:shd w:val="clear" w:color="auto" w:fill="D9D9D9"/>
                                  <w:tcW w:w="704"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Теплова сонячна енергія</w:t>
                                  </w:r>
                                  <w:r/>
                                </w:p>
                              </w:tc>
                              <w:tc>
                                <w:tcPr>
                                  <w:shd w:val="clear" w:color="auto" w:fill="D9D9D9"/>
                                  <w:tcW w:w="664"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Геотермальна енергія</w:t>
                                  </w:r>
                                  <w:r/>
                                </w:p>
                              </w:tc>
                              <w:tc>
                                <w:tcPr>
                                  <w:shd w:val="clear" w:color="auto" w:fill="F4B083"/>
                                  <w:tcW w:w="1117"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r>
                            <w:tr>
                              <w:trPr>
                                <w:trHeight w:val="343"/>
                              </w:trPr>
                              <w:tc>
                                <w:tcPr>
                                  <w:gridSpan w:val="17"/>
                                  <w:shd w:val="clear" w:color="auto" w:fill="FFFF00"/>
                                  <w:tcW w:w="1415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БУДІВЛІ, ОБЛАДНАННЯ ТА ПРОМИСЛОВІ ПІДПРИЄМСТВА</w:t>
                                  </w:r>
                                  <w:r/>
                                </w:p>
                              </w:tc>
                            </w:tr>
                            <w:tr>
                              <w:trPr>
                                <w:trHeight w:val="887"/>
                              </w:trPr>
                              <w:tc>
                                <w:tcPr>
                                  <w:shd w:val="clear" w:color="auto" w:fill="E2EFD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Муніципальні будівлі, обладнання/</w:t>
                                  </w:r>
                                  <w:r/>
                                </w:p>
                                <w:p>
                                  <w:pPr>
                                    <w:pStyle w:val="544"/>
                                    <w:rPr>
                                      <w:rFonts w:ascii="Arial" w:hAnsi="Arial" w:cs="Arial"/>
                                      <w:b/>
                                      <w:sz w:val="18"/>
                                      <w:szCs w:val="18"/>
                                      <w:lang w:val="uk-UA"/>
                                    </w:rPr>
                                  </w:pPr>
                                  <w:r>
                                    <w:rPr>
                                      <w:rFonts w:ascii="Arial" w:hAnsi="Arial" w:cs="Arial"/>
                                      <w:b/>
                                      <w:sz w:val="18"/>
                                      <w:szCs w:val="18"/>
                                      <w:lang w:val="uk-UA"/>
                                    </w:rPr>
                                    <w:t xml:space="preserve">об’єкти</w:t>
                                  </w:r>
                                  <w:r/>
                                </w:p>
                              </w:tc>
                              <w:tc>
                                <w:tcPr>
                                  <w:shd w:val="clear" w:color="auto" w:fill="E2EFD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885</w:t>
                                  </w:r>
                                  <w:r/>
                                </w:p>
                              </w:tc>
                              <w:tc>
                                <w:tcPr>
                                  <w:shd w:val="clear" w:color="auto" w:fill="E2EFD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2477</w:t>
                                  </w:r>
                                  <w:r/>
                                </w:p>
                              </w:tc>
                              <w:tc>
                                <w:tcPr>
                                  <w:shd w:val="clear" w:color="auto" w:fill="E2EFD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8835</w:t>
                                  </w:r>
                                  <w:r/>
                                </w:p>
                              </w:tc>
                              <w:tc>
                                <w:tcPr>
                                  <w:shd w:val="clear" w:color="auto" w:fill="E2EFD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2234</w:t>
                                  </w:r>
                                  <w:r/>
                                </w:p>
                              </w:tc>
                              <w:tc>
                                <w:tcPr>
                                  <w:shd w:val="clear" w:color="auto" w:fill="E2EFD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4744</w:t>
                                  </w:r>
                                  <w:r/>
                                </w:p>
                              </w:tc>
                              <w:tc>
                                <w:tcPr>
                                  <w:shd w:val="clear" w:color="auto" w:fill="E2EFD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19175</w:t>
                                  </w:r>
                                  <w:r/>
                                </w:p>
                              </w:tc>
                            </w:tr>
                            <w:tr>
                              <w:trPr>
                                <w:trHeight w:val="437"/>
                              </w:trPr>
                              <w:tc>
                                <w:tcPr>
                                  <w:shd w:val="clear" w:color="auto" w:fill="C5E0B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Житлові</w:t>
                                  </w:r>
                                  <w:r/>
                                </w:p>
                                <w:p>
                                  <w:pPr>
                                    <w:pStyle w:val="544"/>
                                    <w:rPr>
                                      <w:rFonts w:ascii="Arial" w:hAnsi="Arial" w:cs="Arial"/>
                                      <w:b/>
                                      <w:sz w:val="18"/>
                                      <w:szCs w:val="18"/>
                                      <w:lang w:val="uk-UA"/>
                                    </w:rPr>
                                  </w:pPr>
                                  <w:r>
                                    <w:rPr>
                                      <w:rFonts w:ascii="Arial" w:hAnsi="Arial" w:cs="Arial"/>
                                      <w:b/>
                                      <w:sz w:val="18"/>
                                      <w:szCs w:val="18"/>
                                      <w:lang w:val="uk-UA"/>
                                    </w:rPr>
                                    <w:t xml:space="preserve">будівлі</w:t>
                                  </w:r>
                                  <w:r/>
                                </w:p>
                              </w:tc>
                              <w:tc>
                                <w:tcPr>
                                  <w:shd w:val="clear" w:color="auto" w:fill="C5E0B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7706</w:t>
                                  </w:r>
                                  <w:r/>
                                </w:p>
                              </w:tc>
                              <w:tc>
                                <w:tcPr>
                                  <w:shd w:val="clear" w:color="auto" w:fill="C5E0B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1654</w:t>
                                  </w:r>
                                  <w:r/>
                                </w:p>
                              </w:tc>
                              <w:tc>
                                <w:tcPr>
                                  <w:shd w:val="clear" w:color="auto" w:fill="C5E0B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45352</w:t>
                                  </w:r>
                                  <w:r/>
                                </w:p>
                              </w:tc>
                              <w:tc>
                                <w:tcPr>
                                  <w:shd w:val="clear" w:color="auto" w:fill="C5E0B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54712</w:t>
                                  </w:r>
                                  <w:r/>
                                </w:p>
                              </w:tc>
                            </w:tr>
                            <w:tr>
                              <w:trPr>
                                <w:trHeight w:val="668"/>
                              </w:trPr>
                              <w:tc>
                                <w:tcPr>
                                  <w:shd w:val="clear" w:color="auto" w:fill="E2EFD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Муніципальне </w:t>
                                  </w:r>
                                  <w:r/>
                                </w:p>
                                <w:p>
                                  <w:pPr>
                                    <w:pStyle w:val="544"/>
                                    <w:rPr>
                                      <w:rFonts w:ascii="Arial" w:hAnsi="Arial" w:cs="Arial"/>
                                      <w:b/>
                                      <w:sz w:val="18"/>
                                      <w:szCs w:val="18"/>
                                      <w:lang w:val="uk-UA"/>
                                    </w:rPr>
                                  </w:pPr>
                                  <w:r>
                                    <w:rPr>
                                      <w:rFonts w:ascii="Arial" w:hAnsi="Arial" w:cs="Arial"/>
                                      <w:b/>
                                      <w:sz w:val="18"/>
                                      <w:szCs w:val="18"/>
                                      <w:lang w:val="uk-UA"/>
                                    </w:rPr>
                                    <w:t xml:space="preserve">громадське</w:t>
                                  </w:r>
                                  <w:r/>
                                </w:p>
                                <w:p>
                                  <w:pPr>
                                    <w:pStyle w:val="544"/>
                                    <w:rPr>
                                      <w:rFonts w:ascii="Arial" w:hAnsi="Arial" w:cs="Arial"/>
                                      <w:b/>
                                      <w:sz w:val="18"/>
                                      <w:szCs w:val="18"/>
                                      <w:lang w:val="uk-UA"/>
                                    </w:rPr>
                                  </w:pPr>
                                  <w:r>
                                    <w:rPr>
                                      <w:rFonts w:ascii="Arial" w:hAnsi="Arial" w:cs="Arial"/>
                                      <w:b/>
                                      <w:sz w:val="18"/>
                                      <w:szCs w:val="18"/>
                                      <w:lang w:val="uk-UA"/>
                                    </w:rPr>
                                    <w:t xml:space="preserve">освітлення</w:t>
                                  </w:r>
                                  <w:r/>
                                </w:p>
                              </w:tc>
                              <w:tc>
                                <w:tcPr>
                                  <w:shd w:val="clear" w:color="auto" w:fill="E2EFD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278</w:t>
                                  </w:r>
                                  <w:r/>
                                </w:p>
                              </w:tc>
                              <w:tc>
                                <w:tcPr>
                                  <w:shd w:val="clear" w:color="auto" w:fill="E2EFD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278</w:t>
                                  </w:r>
                                  <w:r/>
                                </w:p>
                              </w:tc>
                            </w:tr>
                            <w:tr>
                              <w:trPr>
                                <w:trHeight w:val="411"/>
                              </w:trPr>
                              <w:tc>
                                <w:tcPr>
                                  <w:shd w:val="clear" w:color="auto" w:fill="C5E0B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Промисловість</w:t>
                                  </w:r>
                                  <w:r/>
                                </w:p>
                              </w:tc>
                              <w:tc>
                                <w:tcPr>
                                  <w:shd w:val="clear" w:color="auto" w:fill="C5E0B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8015</w:t>
                                  </w:r>
                                  <w:r/>
                                </w:p>
                              </w:tc>
                              <w:tc>
                                <w:tcPr>
                                  <w:shd w:val="clear" w:color="auto" w:fill="C5E0B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34038</w:t>
                                  </w:r>
                                  <w:r/>
                                </w:p>
                              </w:tc>
                              <w:tc>
                                <w:tcPr>
                                  <w:shd w:val="clear" w:color="auto" w:fill="C5E0B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42053</w:t>
                                  </w:r>
                                  <w:r/>
                                </w:p>
                              </w:tc>
                            </w:tr>
                            <w:tr>
                              <w:trPr>
                                <w:trHeight w:val="411"/>
                              </w:trPr>
                              <w:tc>
                                <w:tcPr>
                                  <w:shd w:val="clear" w:color="auto" w:fill="C5E0B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Третинний сектор</w:t>
                                  </w:r>
                                  <w:r/>
                                </w:p>
                              </w:tc>
                              <w:tc>
                                <w:tcPr>
                                  <w:shd w:val="clear" w:color="auto" w:fill="C5E0B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2268</w:t>
                                  </w:r>
                                  <w:r/>
                                </w:p>
                              </w:tc>
                              <w:tc>
                                <w:tcPr>
                                  <w:shd w:val="clear" w:color="auto" w:fill="C5E0B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465</w:t>
                                  </w:r>
                                  <w:r/>
                                </w:p>
                              </w:tc>
                              <w:tc>
                                <w:tcPr>
                                  <w:shd w:val="clear" w:color="auto" w:fill="C5E0B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460</w:t>
                                  </w:r>
                                  <w:r/>
                                </w:p>
                              </w:tc>
                              <w:tc>
                                <w:tcPr>
                                  <w:shd w:val="clear" w:color="auto" w:fill="C5E0B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0" w:type="dxa"/>
                                  <w:vAlign w:val="center"/>
                                  <w:textDirection w:val="lrTb"/>
                                  <w:noWrap w:val="false"/>
                                </w:tcPr>
                                <w:p>
                                  <w:pPr>
                                    <w:jc w:val="center"/>
                                    <w:spacing w:lineRule="auto" w:line="240" w:after="0"/>
                                    <w:rPr>
                                      <w:rFonts w:ascii="Arial" w:hAnsi="Arial" w:cs="Arial"/>
                                      <w:sz w:val="18"/>
                                      <w:szCs w:val="18"/>
                                      <w:lang w:val="uk-UA"/>
                                    </w:rPr>
                                  </w:pPr>
                                  <w:r>
                                    <w:rPr>
                                      <w:rFonts w:ascii="Arial" w:hAnsi="Arial" w:cs="Arial"/>
                                      <w:b/>
                                      <w:sz w:val="18"/>
                                      <w:szCs w:val="18"/>
                                      <w:lang w:val="uk-UA"/>
                                    </w:rPr>
                                    <w:t xml:space="preserve">0,0</w:t>
                                  </w:r>
                                  <w:r/>
                                </w:p>
                              </w:tc>
                              <w:tc>
                                <w:tcPr>
                                  <w:shd w:val="clear" w:color="auto" w:fill="C5E0B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3193</w:t>
                                  </w:r>
                                  <w:r/>
                                </w:p>
                              </w:tc>
                            </w:tr>
                            <w:tr>
                              <w:trPr>
                                <w:trHeight w:val="399"/>
                              </w:trPr>
                              <w:tc>
                                <w:tcPr>
                                  <w:shd w:val="clear" w:color="auto" w:fill="E2EFD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Інші об’єкти</w:t>
                                  </w:r>
                                  <w:r/>
                                </w:p>
                              </w:tc>
                              <w:tc>
                                <w:tcPr>
                                  <w:shd w:val="clear" w:color="auto" w:fill="E2EFD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2269</w:t>
                                  </w:r>
                                  <w:r/>
                                </w:p>
                              </w:tc>
                              <w:tc>
                                <w:tcPr>
                                  <w:shd w:val="clear" w:color="auto" w:fill="E2EFD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6055</w:t>
                                  </w:r>
                                  <w:r/>
                                </w:p>
                              </w:tc>
                              <w:tc>
                                <w:tcPr>
                                  <w:shd w:val="clear" w:color="auto" w:fill="E2EFD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8324</w:t>
                                  </w:r>
                                  <w:r/>
                                </w:p>
                              </w:tc>
                            </w:tr>
                            <w:tr>
                              <w:trPr>
                                <w:trHeight w:val="411"/>
                              </w:trPr>
                              <w:tc>
                                <w:tcPr>
                                  <w:shd w:val="clear" w:color="auto" w:fill="FFE59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Всього</w:t>
                                  </w:r>
                                  <w:r/>
                                </w:p>
                              </w:tc>
                              <w:tc>
                                <w:tcPr>
                                  <w:shd w:val="clear" w:color="auto" w:fill="FFE59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21421</w:t>
                                  </w:r>
                                  <w:r/>
                                </w:p>
                              </w:tc>
                              <w:tc>
                                <w:tcPr>
                                  <w:shd w:val="clear" w:color="auto" w:fill="FFE59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4596</w:t>
                                  </w:r>
                                  <w:r/>
                                </w:p>
                              </w:tc>
                              <w:tc>
                                <w:tcPr>
                                  <w:shd w:val="clear" w:color="auto" w:fill="FFE59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94740</w:t>
                                  </w:r>
                                  <w:r/>
                                </w:p>
                              </w:tc>
                              <w:tc>
                                <w:tcPr>
                                  <w:shd w:val="clear" w:color="auto" w:fill="FFE59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2234</w:t>
                                  </w:r>
                                  <w:r/>
                                </w:p>
                              </w:tc>
                              <w:tc>
                                <w:tcPr>
                                  <w:shd w:val="clear" w:color="auto" w:fill="FFE59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4744</w:t>
                                  </w:r>
                                  <w:r/>
                                </w:p>
                              </w:tc>
                              <w:tc>
                                <w:tcPr>
                                  <w:shd w:val="clear" w:color="auto" w:fill="FFE59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127 735</w:t>
                                  </w:r>
                                  <w:r/>
                                </w:p>
                              </w:tc>
                            </w:tr>
                            <w:tr>
                              <w:trPr>
                                <w:trHeight w:val="343"/>
                              </w:trPr>
                              <w:tc>
                                <w:tcPr>
                                  <w:gridSpan w:val="17"/>
                                  <w:shd w:val="clear" w:color="auto" w:fill="FFFF00"/>
                                  <w:tcW w:w="1415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ТРАНСПОРТ</w:t>
                                  </w:r>
                                  <w:r/>
                                </w:p>
                              </w:tc>
                            </w:tr>
                            <w:tr>
                              <w:trPr>
                                <w:trHeight w:val="656"/>
                              </w:trPr>
                              <w:tc>
                                <w:tcPr>
                                  <w:shd w:val="clear" w:color="auto" w:fill="C5E0B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Приватний</w:t>
                                  </w:r>
                                  <w:r>
                                    <w:rPr>
                                      <w:rFonts w:ascii="Arial" w:hAnsi="Arial" w:cs="Arial"/>
                                      <w:b/>
                                      <w:sz w:val="18"/>
                                      <w:szCs w:val="18"/>
                                      <w:lang w:val="uk-UA"/>
                                    </w:rPr>
                                    <w:t xml:space="preserve"> </w:t>
                                  </w:r>
                                  <w:r/>
                                </w:p>
                              </w:tc>
                              <w:tc>
                                <w:tcPr>
                                  <w:shd w:val="clear" w:color="auto" w:fill="C5E0B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989" w:type="dxa"/>
                                  <w:vAlign w:val="center"/>
                                  <w:textDirection w:val="lrTb"/>
                                  <w:noWrap w:val="false"/>
                                </w:tcPr>
                                <w:p>
                                  <w:pPr>
                                    <w:jc w:val="center"/>
                                    <w:spacing w:lineRule="auto" w:line="240" w:after="0"/>
                                    <w:rPr>
                                      <w:rFonts w:ascii="Arial" w:hAnsi="Arial" w:cs="Arial"/>
                                      <w:b/>
                                      <w:color w:val="FF0000"/>
                                      <w:sz w:val="18"/>
                                      <w:szCs w:val="18"/>
                                      <w:lang w:val="uk-UA"/>
                                    </w:rPr>
                                  </w:pPr>
                                  <w:r>
                                    <w:rPr>
                                      <w:rFonts w:ascii="Arial" w:hAnsi="Arial" w:cs="Arial"/>
                                      <w:b/>
                                      <w:sz w:val="18"/>
                                      <w:szCs w:val="18"/>
                                      <w:lang w:val="uk-UA"/>
                                    </w:rPr>
                                    <w:t xml:space="preserve">5004</w:t>
                                  </w:r>
                                  <w:r/>
                                </w:p>
                              </w:tc>
                              <w:tc>
                                <w:tcPr>
                                  <w:shd w:val="clear" w:color="auto" w:fill="C5E0B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99" w:type="dxa"/>
                                  <w:vAlign w:val="center"/>
                                  <w:textDirection w:val="lrTb"/>
                                  <w:noWrap w:val="false"/>
                                </w:tcPr>
                                <w:p>
                                  <w:pPr>
                                    <w:jc w:val="center"/>
                                    <w:spacing w:lineRule="auto" w:line="240" w:after="0"/>
                                    <w:rPr>
                                      <w:rFonts w:ascii="Arial" w:hAnsi="Arial" w:cs="Arial"/>
                                      <w:b/>
                                      <w:color w:val="FF0000"/>
                                      <w:sz w:val="18"/>
                                      <w:szCs w:val="18"/>
                                      <w:lang w:val="uk-UA"/>
                                    </w:rPr>
                                  </w:pPr>
                                  <w:r>
                                    <w:rPr>
                                      <w:rFonts w:ascii="Arial" w:hAnsi="Arial" w:cs="Arial"/>
                                      <w:b/>
                                      <w:sz w:val="18"/>
                                      <w:szCs w:val="18"/>
                                      <w:lang w:val="uk-UA"/>
                                    </w:rPr>
                                    <w:t xml:space="preserve">2360</w:t>
                                  </w:r>
                                  <w:r/>
                                </w:p>
                              </w:tc>
                              <w:tc>
                                <w:tcPr>
                                  <w:shd w:val="clear" w:color="auto" w:fill="C5E0B3"/>
                                  <w:tcW w:w="840" w:type="dxa"/>
                                  <w:vAlign w:val="center"/>
                                  <w:textDirection w:val="lrTb"/>
                                  <w:noWrap w:val="false"/>
                                </w:tcPr>
                                <w:p>
                                  <w:pPr>
                                    <w:jc w:val="center"/>
                                    <w:spacing w:lineRule="auto" w:line="240" w:after="0"/>
                                    <w:rPr>
                                      <w:rFonts w:ascii="Arial" w:hAnsi="Arial" w:cs="Arial"/>
                                      <w:b/>
                                      <w:color w:val="FF0000"/>
                                      <w:sz w:val="18"/>
                                      <w:szCs w:val="18"/>
                                      <w:lang w:val="uk-UA"/>
                                    </w:rPr>
                                  </w:pPr>
                                  <w:r>
                                    <w:rPr>
                                      <w:rFonts w:ascii="Arial" w:hAnsi="Arial" w:cs="Arial"/>
                                      <w:b/>
                                      <w:sz w:val="18"/>
                                      <w:szCs w:val="18"/>
                                      <w:lang w:val="uk-UA"/>
                                    </w:rPr>
                                    <w:t xml:space="preserve">4185</w:t>
                                  </w:r>
                                  <w:r/>
                                </w:p>
                              </w:tc>
                              <w:tc>
                                <w:tcPr>
                                  <w:shd w:val="clear" w:color="auto" w:fill="C5E0B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11549</w:t>
                                  </w:r>
                                  <w:r/>
                                </w:p>
                              </w:tc>
                            </w:tr>
                            <w:tr>
                              <w:trPr>
                                <w:trHeight w:val="656"/>
                              </w:trPr>
                              <w:tc>
                                <w:tcPr>
                                  <w:shd w:val="clear" w:color="auto" w:fill="D6FEE8" w:themeFill="accent6" w:themeFillTint="3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Комунальний </w:t>
                                  </w:r>
                                  <w:r/>
                                </w:p>
                              </w:tc>
                              <w:tc>
                                <w:tcPr>
                                  <w:shd w:val="clear" w:color="auto" w:fill="D6FEE8" w:themeFill="accent6" w:themeFillTint="3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205</w:t>
                                  </w:r>
                                  <w:r/>
                                </w:p>
                              </w:tc>
                              <w:tc>
                                <w:tcPr>
                                  <w:shd w:val="clear" w:color="auto" w:fill="D6FEE8" w:themeFill="accent6" w:themeFillTint="3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177</w:t>
                                  </w:r>
                                  <w:r/>
                                </w:p>
                              </w:tc>
                              <w:tc>
                                <w:tcPr>
                                  <w:shd w:val="clear" w:color="auto" w:fill="D6FEE8" w:themeFill="accent6" w:themeFillTint="3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113</w:t>
                                  </w:r>
                                  <w:r/>
                                </w:p>
                              </w:tc>
                              <w:tc>
                                <w:tcPr>
                                  <w:shd w:val="clear" w:color="auto" w:fill="D6FEE8" w:themeFill="accent6" w:themeFillTint="3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495</w:t>
                                  </w:r>
                                  <w:r/>
                                </w:p>
                              </w:tc>
                            </w:tr>
                            <w:tr>
                              <w:trPr>
                                <w:trHeight w:val="500"/>
                              </w:trPr>
                              <w:tc>
                                <w:tcPr>
                                  <w:shd w:val="clear" w:color="auto" w:fill="D6FEE8" w:themeFill="accent6" w:themeFillTint="3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Пасажирський</w:t>
                                  </w:r>
                                  <w:r/>
                                </w:p>
                              </w:tc>
                              <w:tc>
                                <w:tcPr>
                                  <w:shd w:val="clear" w:color="auto" w:fill="D6FEE8" w:themeFill="accent6" w:themeFillTint="3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608</w:t>
                                  </w:r>
                                  <w:r/>
                                </w:p>
                              </w:tc>
                              <w:tc>
                                <w:tcPr>
                                  <w:shd w:val="clear" w:color="auto" w:fill="D6FEE8" w:themeFill="accent6" w:themeFillTint="3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608</w:t>
                                  </w:r>
                                  <w:r/>
                                </w:p>
                              </w:tc>
                            </w:tr>
                            <w:tr>
                              <w:trPr>
                                <w:trHeight w:val="343"/>
                              </w:trPr>
                              <w:tc>
                                <w:tcPr>
                                  <w:shd w:val="clear" w:color="auto" w:fill="FFE59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Всього</w:t>
                                  </w:r>
                                  <w:r/>
                                </w:p>
                              </w:tc>
                              <w:tc>
                                <w:tcPr>
                                  <w:shd w:val="clear" w:color="auto" w:fill="FFE59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5209</w:t>
                                  </w:r>
                                  <w:r/>
                                </w:p>
                              </w:tc>
                              <w:tc>
                                <w:tcPr>
                                  <w:shd w:val="clear" w:color="auto" w:fill="FFE59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3145</w:t>
                                  </w:r>
                                  <w:r/>
                                </w:p>
                              </w:tc>
                              <w:tc>
                                <w:tcPr>
                                  <w:shd w:val="clear" w:color="auto" w:fill="FFE59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4298</w:t>
                                  </w:r>
                                  <w:r/>
                                </w:p>
                              </w:tc>
                              <w:tc>
                                <w:tcPr>
                                  <w:shd w:val="clear" w:color="auto" w:fill="FFE59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12652</w:t>
                                  </w:r>
                                  <w:r/>
                                </w:p>
                              </w:tc>
                            </w:tr>
                            <w:tr>
                              <w:trPr>
                                <w:trHeight w:val="343"/>
                              </w:trPr>
                              <w:tc>
                                <w:tcPr>
                                  <w:shd w:val="clear" w:color="auto" w:fill="F4B08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РАЗОМ</w:t>
                                  </w:r>
                                  <w:r/>
                                </w:p>
                              </w:tc>
                              <w:tc>
                                <w:tcPr>
                                  <w:shd w:val="clear" w:color="auto" w:fill="F4B08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21421</w:t>
                                  </w:r>
                                  <w:r/>
                                </w:p>
                              </w:tc>
                              <w:tc>
                                <w:tcPr>
                                  <w:shd w:val="clear" w:color="auto" w:fill="F4B08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4596</w:t>
                                  </w:r>
                                  <w:r/>
                                </w:p>
                              </w:tc>
                              <w:tc>
                                <w:tcPr>
                                  <w:shd w:val="clear" w:color="auto" w:fill="F4B08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94740</w:t>
                                  </w:r>
                                  <w:r/>
                                </w:p>
                              </w:tc>
                              <w:tc>
                                <w:tcPr>
                                  <w:shd w:val="clear" w:color="auto" w:fill="F4B08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5209</w:t>
                                  </w:r>
                                  <w:r/>
                                </w:p>
                              </w:tc>
                              <w:tc>
                                <w:tcPr>
                                  <w:shd w:val="clear" w:color="auto" w:fill="F4B08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3145</w:t>
                                  </w:r>
                                  <w:r/>
                                </w:p>
                              </w:tc>
                              <w:tc>
                                <w:tcPr>
                                  <w:shd w:val="clear" w:color="auto" w:fill="F4B08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4298</w:t>
                                  </w:r>
                                  <w:r/>
                                </w:p>
                              </w:tc>
                              <w:tc>
                                <w:tcPr>
                                  <w:shd w:val="clear" w:color="auto" w:fill="F4B08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2234</w:t>
                                  </w:r>
                                  <w:r/>
                                </w:p>
                              </w:tc>
                              <w:tc>
                                <w:tcPr>
                                  <w:shd w:val="clear" w:color="auto" w:fill="F4B08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4744</w:t>
                                  </w:r>
                                  <w:r/>
                                </w:p>
                              </w:tc>
                              <w:tc>
                                <w:tcPr>
                                  <w:shd w:val="clear" w:color="auto" w:fill="F4B08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002060"/>
                                  <w:tcW w:w="1117" w:type="dxa"/>
                                  <w:vAlign w:val="center"/>
                                  <w:textDirection w:val="lrTb"/>
                                  <w:noWrap w:val="false"/>
                                </w:tcPr>
                                <w:p>
                                  <w:pPr>
                                    <w:jc w:val="center"/>
                                    <w:spacing w:lineRule="auto" w:line="240" w:after="0"/>
                                    <w:rPr>
                                      <w:rFonts w:ascii="Arial" w:hAnsi="Arial" w:cs="Arial"/>
                                      <w:b/>
                                      <w:color w:val="FFFFFF"/>
                                      <w:sz w:val="18"/>
                                      <w:szCs w:val="18"/>
                                      <w:lang w:val="uk-UA"/>
                                    </w:rPr>
                                  </w:pPr>
                                  <w:r>
                                    <w:rPr>
                                      <w:rFonts w:ascii="Arial" w:hAnsi="Arial" w:cs="Arial"/>
                                      <w:b/>
                                      <w:color w:val="FFFFFF"/>
                                      <w:sz w:val="18"/>
                                      <w:szCs w:val="18"/>
                                      <w:lang w:val="uk-UA"/>
                                    </w:rPr>
                                    <w:t xml:space="preserve">140 387</w:t>
                                  </w:r>
                                  <w:r/>
                                </w:p>
                              </w:tc>
                            </w:tr>
                          </w:tbl>
                          <w:p>
                            <w: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5" o:spid="_x0000_s15" o:spt="1" style="position:absolute;mso-wrap-distance-left:9.0pt;mso-wrap-distance-top:0.0pt;mso-wrap-distance-right:9.0pt;mso-wrap-distance-bottom:0.0pt;z-index:251660288;o:allowoverlap:true;o:allowincell:true;mso-position-horizontal-relative:margin;mso-position-horizontal:left;mso-position-vertical-relative:text;margin-top:22.9pt;mso-position-vertical:absolute;width:734.4pt;height:457.8pt;v-text-anchor:top;" coordsize="100000,100000" path="" fillcolor="#FFFFFF">
                <v:path textboxrect="0,0,0,0"/>
                <v:textbox>
                  <w:txbxContent>
                    <w:tbl>
                      <w:tblPr>
                        <w:tblW w:w="14157"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A0" w:firstRow="1" w:lastRow="0" w:firstColumn="1" w:lastColumn="0" w:noHBand="0" w:noVBand="0"/>
                      </w:tblPr>
                      <w:tblGrid>
                        <w:gridCol w:w="1830"/>
                        <w:gridCol w:w="978"/>
                        <w:gridCol w:w="731"/>
                        <w:gridCol w:w="960"/>
                        <w:gridCol w:w="989"/>
                        <w:gridCol w:w="565"/>
                        <w:gridCol w:w="899"/>
                        <w:gridCol w:w="840"/>
                        <w:gridCol w:w="567"/>
                        <w:gridCol w:w="645"/>
                        <w:gridCol w:w="710"/>
                        <w:gridCol w:w="487"/>
                        <w:gridCol w:w="851"/>
                        <w:gridCol w:w="620"/>
                        <w:gridCol w:w="704"/>
                        <w:gridCol w:w="664"/>
                        <w:gridCol w:w="1117"/>
                      </w:tblGrid>
                      <w:tr>
                        <w:trPr>
                          <w:trHeight w:val="169"/>
                        </w:trPr>
                        <w:tc>
                          <w:tcPr>
                            <w:shd w:val="clear" w:color="auto" w:fill="D9E2F3"/>
                            <w:tcW w:w="1830" w:type="dxa"/>
                            <w:vAlign w:val="center"/>
                            <w:vMerge w:val="restart"/>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Сектор</w:t>
                            </w:r>
                            <w:r/>
                          </w:p>
                        </w:tc>
                        <w:tc>
                          <w:tcPr>
                            <w:gridSpan w:val="16"/>
                            <w:shd w:val="clear" w:color="auto" w:fill="FFE599"/>
                            <w:tcW w:w="1232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ЗАГАЛЬНЕ СПОЖИ</w:t>
                            </w:r>
                            <w:r>
                              <w:rPr>
                                <w:rFonts w:ascii="Arial" w:hAnsi="Arial" w:cs="Arial"/>
                                <w:b/>
                                <w:sz w:val="18"/>
                                <w:szCs w:val="18"/>
                                <w:lang w:val="uk-UA"/>
                              </w:rPr>
                              <w:t xml:space="preserve">ВАННЯ ЕНЕРГІЇ (МВт*год)  за 2019 р.               </w:t>
                            </w:r>
                            <w:r/>
                          </w:p>
                        </w:tc>
                      </w:tr>
                      <w:tr>
                        <w:trPr>
                          <w:trHeight w:val="320"/>
                        </w:trPr>
                        <w:tc>
                          <w:tcPr>
                            <w:shd w:val="clear" w:color="auto" w:fill="D9E2F3"/>
                            <w:tcW w:w="1830"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c>
                          <w:tcPr>
                            <w:shd w:val="clear" w:color="auto" w:fill="DBDBDB"/>
                            <w:tcW w:w="978" w:type="dxa"/>
                            <w:vAlign w:val="center"/>
                            <w:vMerge w:val="restart"/>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Електроенергія</w:t>
                            </w:r>
                            <w:r/>
                          </w:p>
                        </w:tc>
                        <w:tc>
                          <w:tcPr>
                            <w:shd w:val="clear" w:color="auto" w:fill="DBDBDB"/>
                            <w:tcW w:w="731" w:type="dxa"/>
                            <w:vAlign w:val="center"/>
                            <w:vMerge w:val="restart"/>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Теплоенергія/Холод</w:t>
                            </w:r>
                            <w:r/>
                          </w:p>
                        </w:tc>
                        <w:tc>
                          <w:tcPr>
                            <w:gridSpan w:val="8"/>
                            <w:shd w:val="clear" w:color="auto" w:fill="BDD6EE"/>
                            <w:tcW w:w="617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Викопне паливо</w:t>
                            </w:r>
                            <w:r/>
                          </w:p>
                        </w:tc>
                        <w:tc>
                          <w:tcPr>
                            <w:gridSpan w:val="5"/>
                            <w:shd w:val="clear" w:color="auto" w:fill="BDD6EE"/>
                            <w:tcW w:w="3326"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Енергія з відновлювальних джерел</w:t>
                            </w:r>
                            <w:r/>
                          </w:p>
                        </w:tc>
                        <w:tc>
                          <w:tcPr>
                            <w:shd w:val="clear" w:color="auto" w:fill="F4B083"/>
                            <w:tcW w:w="1117" w:type="dxa"/>
                            <w:vAlign w:val="center"/>
                            <w:vMerge w:val="restart"/>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Загалом</w:t>
                            </w:r>
                            <w:r/>
                          </w:p>
                        </w:tc>
                      </w:tr>
                      <w:tr>
                        <w:trPr>
                          <w:cantSplit/>
                          <w:trHeight w:val="1333"/>
                        </w:trPr>
                        <w:tc>
                          <w:tcPr>
                            <w:shd w:val="clear" w:color="auto" w:fill="D9E2F3"/>
                            <w:tcW w:w="1830"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c>
                          <w:tcPr>
                            <w:shd w:val="clear" w:color="auto" w:fill="DBDBDB"/>
                            <w:tcW w:w="978"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c>
                          <w:tcPr>
                            <w:shd w:val="clear" w:color="auto" w:fill="DBDBDB"/>
                            <w:tcW w:w="731"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c>
                          <w:tcPr>
                            <w:shd w:val="clear" w:color="auto" w:fill="D9D9D9"/>
                            <w:tcW w:w="960"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Природний газ</w:t>
                            </w:r>
                            <w:r/>
                          </w:p>
                        </w:tc>
                        <w:tc>
                          <w:tcPr>
                            <w:shd w:val="clear" w:color="auto" w:fill="D9D9D9"/>
                            <w:tcW w:w="989"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Зріджений газ</w:t>
                            </w:r>
                            <w:r/>
                          </w:p>
                        </w:tc>
                        <w:tc>
                          <w:tcPr>
                            <w:shd w:val="clear" w:color="auto" w:fill="D9D9D9"/>
                            <w:tcW w:w="565"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Топковий мазут</w:t>
                            </w:r>
                            <w:r/>
                          </w:p>
                        </w:tc>
                        <w:tc>
                          <w:tcPr>
                            <w:shd w:val="clear" w:color="auto" w:fill="D9D9D9"/>
                            <w:tcW w:w="899"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Дизель</w:t>
                            </w:r>
                            <w:r/>
                          </w:p>
                        </w:tc>
                        <w:tc>
                          <w:tcPr>
                            <w:shd w:val="clear" w:color="auto" w:fill="D9D9D9"/>
                            <w:tcW w:w="840"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Бензин</w:t>
                            </w:r>
                            <w:r/>
                          </w:p>
                        </w:tc>
                        <w:tc>
                          <w:tcPr>
                            <w:shd w:val="clear" w:color="auto" w:fill="D9D9D9"/>
                            <w:tcW w:w="567"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Буре вугілля</w:t>
                            </w:r>
                            <w:r/>
                          </w:p>
                        </w:tc>
                        <w:tc>
                          <w:tcPr>
                            <w:shd w:val="clear" w:color="auto" w:fill="D9D9D9"/>
                            <w:tcW w:w="645"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Вугілля</w:t>
                            </w:r>
                            <w:r/>
                          </w:p>
                        </w:tc>
                        <w:tc>
                          <w:tcPr>
                            <w:shd w:val="clear" w:color="auto" w:fill="D9D9D9"/>
                            <w:tcW w:w="710"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Інше викопне паливо</w:t>
                            </w:r>
                            <w:r/>
                          </w:p>
                        </w:tc>
                        <w:tc>
                          <w:tcPr>
                            <w:shd w:val="clear" w:color="auto" w:fill="D9D9D9"/>
                            <w:tcW w:w="487"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Рослинні масла</w:t>
                            </w:r>
                            <w:r/>
                          </w:p>
                        </w:tc>
                        <w:tc>
                          <w:tcPr>
                            <w:shd w:val="clear" w:color="auto" w:fill="D9D9D9"/>
                            <w:tcW w:w="851"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Біопаливо</w:t>
                            </w:r>
                            <w:r/>
                          </w:p>
                        </w:tc>
                        <w:tc>
                          <w:tcPr>
                            <w:shd w:val="clear" w:color="auto" w:fill="D9D9D9"/>
                            <w:tcW w:w="620"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Інша біомаса</w:t>
                            </w:r>
                            <w:r/>
                          </w:p>
                        </w:tc>
                        <w:tc>
                          <w:tcPr>
                            <w:shd w:val="clear" w:color="auto" w:fill="D9D9D9"/>
                            <w:tcW w:w="704"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Теплова сонячна енергія</w:t>
                            </w:r>
                            <w:r/>
                          </w:p>
                        </w:tc>
                        <w:tc>
                          <w:tcPr>
                            <w:shd w:val="clear" w:color="auto" w:fill="D9D9D9"/>
                            <w:tcW w:w="664" w:type="dxa"/>
                            <w:vAlign w:val="center"/>
                            <w:textDirection w:val="btLr"/>
                            <w:noWrap w:val="false"/>
                          </w:tcPr>
                          <w:p>
                            <w:pPr>
                              <w:ind w:left="113" w:right="113"/>
                              <w:spacing w:lineRule="auto" w:line="240" w:after="0"/>
                              <w:rPr>
                                <w:rFonts w:ascii="Arial" w:hAnsi="Arial" w:cs="Arial"/>
                                <w:b/>
                                <w:sz w:val="18"/>
                                <w:szCs w:val="18"/>
                                <w:lang w:val="uk-UA"/>
                              </w:rPr>
                            </w:pPr>
                            <w:r>
                              <w:rPr>
                                <w:rFonts w:ascii="Arial" w:hAnsi="Arial" w:cs="Arial"/>
                                <w:b/>
                                <w:sz w:val="18"/>
                                <w:szCs w:val="18"/>
                                <w:lang w:val="uk-UA"/>
                              </w:rPr>
                              <w:t xml:space="preserve">Геотермальна енергія</w:t>
                            </w:r>
                            <w:r/>
                          </w:p>
                        </w:tc>
                        <w:tc>
                          <w:tcPr>
                            <w:shd w:val="clear" w:color="auto" w:fill="F4B083"/>
                            <w:tcW w:w="1117" w:type="dxa"/>
                            <w:vMerge w:val="continue"/>
                            <w:textDirection w:val="lrTb"/>
                            <w:noWrap w:val="false"/>
                          </w:tcPr>
                          <w:p>
                            <w:pPr>
                              <w:spacing w:lineRule="auto" w:line="240" w:after="0"/>
                              <w:rPr>
                                <w:rFonts w:ascii="Arial" w:hAnsi="Arial" w:cs="Arial"/>
                                <w:b/>
                                <w:sz w:val="18"/>
                                <w:szCs w:val="18"/>
                                <w:lang w:val="uk-UA"/>
                              </w:rPr>
                            </w:pPr>
                            <w:r>
                              <w:rPr>
                                <w:rFonts w:ascii="Arial" w:hAnsi="Arial" w:cs="Arial"/>
                                <w:b/>
                                <w:sz w:val="18"/>
                                <w:szCs w:val="18"/>
                                <w:lang w:val="uk-UA"/>
                              </w:rPr>
                            </w:r>
                            <w:r/>
                          </w:p>
                        </w:tc>
                      </w:tr>
                      <w:tr>
                        <w:trPr>
                          <w:trHeight w:val="343"/>
                        </w:trPr>
                        <w:tc>
                          <w:tcPr>
                            <w:gridSpan w:val="17"/>
                            <w:shd w:val="clear" w:color="auto" w:fill="FFFF00"/>
                            <w:tcW w:w="1415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БУДІВЛІ, ОБЛАДНАННЯ ТА ПРОМИСЛОВІ ПІДПРИЄМСТВА</w:t>
                            </w:r>
                            <w:r/>
                          </w:p>
                        </w:tc>
                      </w:tr>
                      <w:tr>
                        <w:trPr>
                          <w:trHeight w:val="887"/>
                        </w:trPr>
                        <w:tc>
                          <w:tcPr>
                            <w:shd w:val="clear" w:color="auto" w:fill="E2EFD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Муніципальні будівлі, обладнання/</w:t>
                            </w:r>
                            <w:r/>
                          </w:p>
                          <w:p>
                            <w:pPr>
                              <w:pStyle w:val="544"/>
                              <w:rPr>
                                <w:rFonts w:ascii="Arial" w:hAnsi="Arial" w:cs="Arial"/>
                                <w:b/>
                                <w:sz w:val="18"/>
                                <w:szCs w:val="18"/>
                                <w:lang w:val="uk-UA"/>
                              </w:rPr>
                            </w:pPr>
                            <w:r>
                              <w:rPr>
                                <w:rFonts w:ascii="Arial" w:hAnsi="Arial" w:cs="Arial"/>
                                <w:b/>
                                <w:sz w:val="18"/>
                                <w:szCs w:val="18"/>
                                <w:lang w:val="uk-UA"/>
                              </w:rPr>
                              <w:t xml:space="preserve">об’єкти</w:t>
                            </w:r>
                            <w:r/>
                          </w:p>
                        </w:tc>
                        <w:tc>
                          <w:tcPr>
                            <w:shd w:val="clear" w:color="auto" w:fill="E2EFD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885</w:t>
                            </w:r>
                            <w:r/>
                          </w:p>
                        </w:tc>
                        <w:tc>
                          <w:tcPr>
                            <w:shd w:val="clear" w:color="auto" w:fill="E2EFD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2477</w:t>
                            </w:r>
                            <w:r/>
                          </w:p>
                        </w:tc>
                        <w:tc>
                          <w:tcPr>
                            <w:shd w:val="clear" w:color="auto" w:fill="E2EFD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8835</w:t>
                            </w:r>
                            <w:r/>
                          </w:p>
                        </w:tc>
                        <w:tc>
                          <w:tcPr>
                            <w:shd w:val="clear" w:color="auto" w:fill="E2EFD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2234</w:t>
                            </w:r>
                            <w:r/>
                          </w:p>
                        </w:tc>
                        <w:tc>
                          <w:tcPr>
                            <w:shd w:val="clear" w:color="auto" w:fill="E2EFD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4744</w:t>
                            </w:r>
                            <w:r/>
                          </w:p>
                        </w:tc>
                        <w:tc>
                          <w:tcPr>
                            <w:shd w:val="clear" w:color="auto" w:fill="E2EFD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19175</w:t>
                            </w:r>
                            <w:r/>
                          </w:p>
                        </w:tc>
                      </w:tr>
                      <w:tr>
                        <w:trPr>
                          <w:trHeight w:val="437"/>
                        </w:trPr>
                        <w:tc>
                          <w:tcPr>
                            <w:shd w:val="clear" w:color="auto" w:fill="C5E0B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Житлові</w:t>
                            </w:r>
                            <w:r/>
                          </w:p>
                          <w:p>
                            <w:pPr>
                              <w:pStyle w:val="544"/>
                              <w:rPr>
                                <w:rFonts w:ascii="Arial" w:hAnsi="Arial" w:cs="Arial"/>
                                <w:b/>
                                <w:sz w:val="18"/>
                                <w:szCs w:val="18"/>
                                <w:lang w:val="uk-UA"/>
                              </w:rPr>
                            </w:pPr>
                            <w:r>
                              <w:rPr>
                                <w:rFonts w:ascii="Arial" w:hAnsi="Arial" w:cs="Arial"/>
                                <w:b/>
                                <w:sz w:val="18"/>
                                <w:szCs w:val="18"/>
                                <w:lang w:val="uk-UA"/>
                              </w:rPr>
                              <w:t xml:space="preserve">будівлі</w:t>
                            </w:r>
                            <w:r/>
                          </w:p>
                        </w:tc>
                        <w:tc>
                          <w:tcPr>
                            <w:shd w:val="clear" w:color="auto" w:fill="C5E0B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7706</w:t>
                            </w:r>
                            <w:r/>
                          </w:p>
                        </w:tc>
                        <w:tc>
                          <w:tcPr>
                            <w:shd w:val="clear" w:color="auto" w:fill="C5E0B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1654</w:t>
                            </w:r>
                            <w:r/>
                          </w:p>
                        </w:tc>
                        <w:tc>
                          <w:tcPr>
                            <w:shd w:val="clear" w:color="auto" w:fill="C5E0B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45352</w:t>
                            </w:r>
                            <w:r/>
                          </w:p>
                        </w:tc>
                        <w:tc>
                          <w:tcPr>
                            <w:shd w:val="clear" w:color="auto" w:fill="C5E0B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54712</w:t>
                            </w:r>
                            <w:r/>
                          </w:p>
                        </w:tc>
                      </w:tr>
                      <w:tr>
                        <w:trPr>
                          <w:trHeight w:val="668"/>
                        </w:trPr>
                        <w:tc>
                          <w:tcPr>
                            <w:shd w:val="clear" w:color="auto" w:fill="E2EFD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Муніципальне </w:t>
                            </w:r>
                            <w:r/>
                          </w:p>
                          <w:p>
                            <w:pPr>
                              <w:pStyle w:val="544"/>
                              <w:rPr>
                                <w:rFonts w:ascii="Arial" w:hAnsi="Arial" w:cs="Arial"/>
                                <w:b/>
                                <w:sz w:val="18"/>
                                <w:szCs w:val="18"/>
                                <w:lang w:val="uk-UA"/>
                              </w:rPr>
                            </w:pPr>
                            <w:r>
                              <w:rPr>
                                <w:rFonts w:ascii="Arial" w:hAnsi="Arial" w:cs="Arial"/>
                                <w:b/>
                                <w:sz w:val="18"/>
                                <w:szCs w:val="18"/>
                                <w:lang w:val="uk-UA"/>
                              </w:rPr>
                              <w:t xml:space="preserve">громадське</w:t>
                            </w:r>
                            <w:r/>
                          </w:p>
                          <w:p>
                            <w:pPr>
                              <w:pStyle w:val="544"/>
                              <w:rPr>
                                <w:rFonts w:ascii="Arial" w:hAnsi="Arial" w:cs="Arial"/>
                                <w:b/>
                                <w:sz w:val="18"/>
                                <w:szCs w:val="18"/>
                                <w:lang w:val="uk-UA"/>
                              </w:rPr>
                            </w:pPr>
                            <w:r>
                              <w:rPr>
                                <w:rFonts w:ascii="Arial" w:hAnsi="Arial" w:cs="Arial"/>
                                <w:b/>
                                <w:sz w:val="18"/>
                                <w:szCs w:val="18"/>
                                <w:lang w:val="uk-UA"/>
                              </w:rPr>
                              <w:t xml:space="preserve">освітлення</w:t>
                            </w:r>
                            <w:r/>
                          </w:p>
                        </w:tc>
                        <w:tc>
                          <w:tcPr>
                            <w:shd w:val="clear" w:color="auto" w:fill="E2EFD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278</w:t>
                            </w:r>
                            <w:r/>
                          </w:p>
                        </w:tc>
                        <w:tc>
                          <w:tcPr>
                            <w:shd w:val="clear" w:color="auto" w:fill="E2EFD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278</w:t>
                            </w:r>
                            <w:r/>
                          </w:p>
                        </w:tc>
                      </w:tr>
                      <w:tr>
                        <w:trPr>
                          <w:trHeight w:val="411"/>
                        </w:trPr>
                        <w:tc>
                          <w:tcPr>
                            <w:shd w:val="clear" w:color="auto" w:fill="C5E0B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Промисловість</w:t>
                            </w:r>
                            <w:r/>
                          </w:p>
                        </w:tc>
                        <w:tc>
                          <w:tcPr>
                            <w:shd w:val="clear" w:color="auto" w:fill="C5E0B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8015</w:t>
                            </w:r>
                            <w:r/>
                          </w:p>
                        </w:tc>
                        <w:tc>
                          <w:tcPr>
                            <w:shd w:val="clear" w:color="auto" w:fill="C5E0B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34038</w:t>
                            </w:r>
                            <w:r/>
                          </w:p>
                        </w:tc>
                        <w:tc>
                          <w:tcPr>
                            <w:shd w:val="clear" w:color="auto" w:fill="C5E0B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42053</w:t>
                            </w:r>
                            <w:r/>
                          </w:p>
                        </w:tc>
                      </w:tr>
                      <w:tr>
                        <w:trPr>
                          <w:trHeight w:val="411"/>
                        </w:trPr>
                        <w:tc>
                          <w:tcPr>
                            <w:shd w:val="clear" w:color="auto" w:fill="C5E0B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Третинний сектор</w:t>
                            </w:r>
                            <w:r/>
                          </w:p>
                        </w:tc>
                        <w:tc>
                          <w:tcPr>
                            <w:shd w:val="clear" w:color="auto" w:fill="C5E0B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2268</w:t>
                            </w:r>
                            <w:r/>
                          </w:p>
                        </w:tc>
                        <w:tc>
                          <w:tcPr>
                            <w:shd w:val="clear" w:color="auto" w:fill="C5E0B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465</w:t>
                            </w:r>
                            <w:r/>
                          </w:p>
                        </w:tc>
                        <w:tc>
                          <w:tcPr>
                            <w:shd w:val="clear" w:color="auto" w:fill="C5E0B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460</w:t>
                            </w:r>
                            <w:r/>
                          </w:p>
                        </w:tc>
                        <w:tc>
                          <w:tcPr>
                            <w:shd w:val="clear" w:color="auto" w:fill="C5E0B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0" w:type="dxa"/>
                            <w:vAlign w:val="center"/>
                            <w:textDirection w:val="lrTb"/>
                            <w:noWrap w:val="false"/>
                          </w:tcPr>
                          <w:p>
                            <w:pPr>
                              <w:jc w:val="center"/>
                              <w:spacing w:lineRule="auto" w:line="240" w:after="0"/>
                              <w:rPr>
                                <w:rFonts w:ascii="Arial" w:hAnsi="Arial" w:cs="Arial"/>
                                <w:sz w:val="18"/>
                                <w:szCs w:val="18"/>
                                <w:lang w:val="uk-UA"/>
                              </w:rPr>
                            </w:pPr>
                            <w:r>
                              <w:rPr>
                                <w:rFonts w:ascii="Arial" w:hAnsi="Arial" w:cs="Arial"/>
                                <w:b/>
                                <w:sz w:val="18"/>
                                <w:szCs w:val="18"/>
                                <w:lang w:val="uk-UA"/>
                              </w:rPr>
                              <w:t xml:space="preserve">0,0</w:t>
                            </w:r>
                            <w:r/>
                          </w:p>
                        </w:tc>
                        <w:tc>
                          <w:tcPr>
                            <w:shd w:val="clear" w:color="auto" w:fill="C5E0B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3193</w:t>
                            </w:r>
                            <w:r/>
                          </w:p>
                        </w:tc>
                      </w:tr>
                      <w:tr>
                        <w:trPr>
                          <w:trHeight w:val="399"/>
                        </w:trPr>
                        <w:tc>
                          <w:tcPr>
                            <w:shd w:val="clear" w:color="auto" w:fill="E2EFD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Інші об’єкти</w:t>
                            </w:r>
                            <w:r/>
                          </w:p>
                        </w:tc>
                        <w:tc>
                          <w:tcPr>
                            <w:shd w:val="clear" w:color="auto" w:fill="E2EFD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2269</w:t>
                            </w:r>
                            <w:r/>
                          </w:p>
                        </w:tc>
                        <w:tc>
                          <w:tcPr>
                            <w:shd w:val="clear" w:color="auto" w:fill="E2EFD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6055</w:t>
                            </w:r>
                            <w:r/>
                          </w:p>
                        </w:tc>
                        <w:tc>
                          <w:tcPr>
                            <w:shd w:val="clear" w:color="auto" w:fill="E2EFD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8324</w:t>
                            </w:r>
                            <w:r/>
                          </w:p>
                        </w:tc>
                      </w:tr>
                      <w:tr>
                        <w:trPr>
                          <w:trHeight w:val="411"/>
                        </w:trPr>
                        <w:tc>
                          <w:tcPr>
                            <w:shd w:val="clear" w:color="auto" w:fill="FFE59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Всього</w:t>
                            </w:r>
                            <w:r/>
                          </w:p>
                        </w:tc>
                        <w:tc>
                          <w:tcPr>
                            <w:shd w:val="clear" w:color="auto" w:fill="FFE59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21421</w:t>
                            </w:r>
                            <w:r/>
                          </w:p>
                        </w:tc>
                        <w:tc>
                          <w:tcPr>
                            <w:shd w:val="clear" w:color="auto" w:fill="FFE59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4596</w:t>
                            </w:r>
                            <w:r/>
                          </w:p>
                        </w:tc>
                        <w:tc>
                          <w:tcPr>
                            <w:shd w:val="clear" w:color="auto" w:fill="FFE59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94740</w:t>
                            </w:r>
                            <w:r/>
                          </w:p>
                        </w:tc>
                        <w:tc>
                          <w:tcPr>
                            <w:shd w:val="clear" w:color="auto" w:fill="FFE59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2234</w:t>
                            </w:r>
                            <w:r/>
                          </w:p>
                        </w:tc>
                        <w:tc>
                          <w:tcPr>
                            <w:shd w:val="clear" w:color="auto" w:fill="FFE59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4744</w:t>
                            </w:r>
                            <w:r/>
                          </w:p>
                        </w:tc>
                        <w:tc>
                          <w:tcPr>
                            <w:shd w:val="clear" w:color="auto" w:fill="FFE59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127 735</w:t>
                            </w:r>
                            <w:r/>
                          </w:p>
                        </w:tc>
                      </w:tr>
                      <w:tr>
                        <w:trPr>
                          <w:trHeight w:val="343"/>
                        </w:trPr>
                        <w:tc>
                          <w:tcPr>
                            <w:gridSpan w:val="17"/>
                            <w:shd w:val="clear" w:color="auto" w:fill="FFFF00"/>
                            <w:tcW w:w="1415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ТРАНСПОРТ</w:t>
                            </w:r>
                            <w:r/>
                          </w:p>
                        </w:tc>
                      </w:tr>
                      <w:tr>
                        <w:trPr>
                          <w:trHeight w:val="656"/>
                        </w:trPr>
                        <w:tc>
                          <w:tcPr>
                            <w:shd w:val="clear" w:color="auto" w:fill="C5E0B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Приватний</w:t>
                            </w:r>
                            <w:r>
                              <w:rPr>
                                <w:rFonts w:ascii="Arial" w:hAnsi="Arial" w:cs="Arial"/>
                                <w:b/>
                                <w:sz w:val="18"/>
                                <w:szCs w:val="18"/>
                                <w:lang w:val="uk-UA"/>
                              </w:rPr>
                              <w:t xml:space="preserve"> </w:t>
                            </w:r>
                            <w:r/>
                          </w:p>
                        </w:tc>
                        <w:tc>
                          <w:tcPr>
                            <w:shd w:val="clear" w:color="auto" w:fill="C5E0B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989" w:type="dxa"/>
                            <w:vAlign w:val="center"/>
                            <w:textDirection w:val="lrTb"/>
                            <w:noWrap w:val="false"/>
                          </w:tcPr>
                          <w:p>
                            <w:pPr>
                              <w:jc w:val="center"/>
                              <w:spacing w:lineRule="auto" w:line="240" w:after="0"/>
                              <w:rPr>
                                <w:rFonts w:ascii="Arial" w:hAnsi="Arial" w:cs="Arial"/>
                                <w:b/>
                                <w:color w:val="FF0000"/>
                                <w:sz w:val="18"/>
                                <w:szCs w:val="18"/>
                                <w:lang w:val="uk-UA"/>
                              </w:rPr>
                            </w:pPr>
                            <w:r>
                              <w:rPr>
                                <w:rFonts w:ascii="Arial" w:hAnsi="Arial" w:cs="Arial"/>
                                <w:b/>
                                <w:sz w:val="18"/>
                                <w:szCs w:val="18"/>
                                <w:lang w:val="uk-UA"/>
                              </w:rPr>
                              <w:t xml:space="preserve">5004</w:t>
                            </w:r>
                            <w:r/>
                          </w:p>
                        </w:tc>
                        <w:tc>
                          <w:tcPr>
                            <w:shd w:val="clear" w:color="auto" w:fill="C5E0B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99" w:type="dxa"/>
                            <w:vAlign w:val="center"/>
                            <w:textDirection w:val="lrTb"/>
                            <w:noWrap w:val="false"/>
                          </w:tcPr>
                          <w:p>
                            <w:pPr>
                              <w:jc w:val="center"/>
                              <w:spacing w:lineRule="auto" w:line="240" w:after="0"/>
                              <w:rPr>
                                <w:rFonts w:ascii="Arial" w:hAnsi="Arial" w:cs="Arial"/>
                                <w:b/>
                                <w:color w:val="FF0000"/>
                                <w:sz w:val="18"/>
                                <w:szCs w:val="18"/>
                                <w:lang w:val="uk-UA"/>
                              </w:rPr>
                            </w:pPr>
                            <w:r>
                              <w:rPr>
                                <w:rFonts w:ascii="Arial" w:hAnsi="Arial" w:cs="Arial"/>
                                <w:b/>
                                <w:sz w:val="18"/>
                                <w:szCs w:val="18"/>
                                <w:lang w:val="uk-UA"/>
                              </w:rPr>
                              <w:t xml:space="preserve">2360</w:t>
                            </w:r>
                            <w:r/>
                          </w:p>
                        </w:tc>
                        <w:tc>
                          <w:tcPr>
                            <w:shd w:val="clear" w:color="auto" w:fill="C5E0B3"/>
                            <w:tcW w:w="840" w:type="dxa"/>
                            <w:vAlign w:val="center"/>
                            <w:textDirection w:val="lrTb"/>
                            <w:noWrap w:val="false"/>
                          </w:tcPr>
                          <w:p>
                            <w:pPr>
                              <w:jc w:val="center"/>
                              <w:spacing w:lineRule="auto" w:line="240" w:after="0"/>
                              <w:rPr>
                                <w:rFonts w:ascii="Arial" w:hAnsi="Arial" w:cs="Arial"/>
                                <w:b/>
                                <w:color w:val="FF0000"/>
                                <w:sz w:val="18"/>
                                <w:szCs w:val="18"/>
                                <w:lang w:val="uk-UA"/>
                              </w:rPr>
                            </w:pPr>
                            <w:r>
                              <w:rPr>
                                <w:rFonts w:ascii="Arial" w:hAnsi="Arial" w:cs="Arial"/>
                                <w:b/>
                                <w:sz w:val="18"/>
                                <w:szCs w:val="18"/>
                                <w:lang w:val="uk-UA"/>
                              </w:rPr>
                              <w:t xml:space="preserve">4185</w:t>
                            </w:r>
                            <w:r/>
                          </w:p>
                        </w:tc>
                        <w:tc>
                          <w:tcPr>
                            <w:shd w:val="clear" w:color="auto" w:fill="C5E0B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11549</w:t>
                            </w:r>
                            <w:r/>
                          </w:p>
                        </w:tc>
                      </w:tr>
                      <w:tr>
                        <w:trPr>
                          <w:trHeight w:val="656"/>
                        </w:trPr>
                        <w:tc>
                          <w:tcPr>
                            <w:shd w:val="clear" w:color="auto" w:fill="D6FEE8" w:themeFill="accent6" w:themeFillTint="3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Комунальний </w:t>
                            </w:r>
                            <w:r/>
                          </w:p>
                        </w:tc>
                        <w:tc>
                          <w:tcPr>
                            <w:shd w:val="clear" w:color="auto" w:fill="D6FEE8" w:themeFill="accent6" w:themeFillTint="3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205</w:t>
                            </w:r>
                            <w:r/>
                          </w:p>
                        </w:tc>
                        <w:tc>
                          <w:tcPr>
                            <w:shd w:val="clear" w:color="auto" w:fill="D6FEE8" w:themeFill="accent6" w:themeFillTint="3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177</w:t>
                            </w:r>
                            <w:r/>
                          </w:p>
                        </w:tc>
                        <w:tc>
                          <w:tcPr>
                            <w:shd w:val="clear" w:color="auto" w:fill="D6FEE8" w:themeFill="accent6" w:themeFillTint="3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113</w:t>
                            </w:r>
                            <w:r/>
                          </w:p>
                        </w:tc>
                        <w:tc>
                          <w:tcPr>
                            <w:shd w:val="clear" w:color="auto" w:fill="D6FEE8" w:themeFill="accent6" w:themeFillTint="3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495</w:t>
                            </w:r>
                            <w:r/>
                          </w:p>
                        </w:tc>
                      </w:tr>
                      <w:tr>
                        <w:trPr>
                          <w:trHeight w:val="500"/>
                        </w:trPr>
                        <w:tc>
                          <w:tcPr>
                            <w:shd w:val="clear" w:color="auto" w:fill="D6FEE8" w:themeFill="accent6" w:themeFillTint="3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Пасажирський</w:t>
                            </w:r>
                            <w:r/>
                          </w:p>
                        </w:tc>
                        <w:tc>
                          <w:tcPr>
                            <w:shd w:val="clear" w:color="auto" w:fill="D6FEE8" w:themeFill="accent6" w:themeFillTint="3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608</w:t>
                            </w:r>
                            <w:r/>
                          </w:p>
                        </w:tc>
                        <w:tc>
                          <w:tcPr>
                            <w:shd w:val="clear" w:color="auto" w:fill="D6FEE8" w:themeFill="accent6" w:themeFillTint="3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608</w:t>
                            </w:r>
                            <w:r/>
                          </w:p>
                        </w:tc>
                      </w:tr>
                      <w:tr>
                        <w:trPr>
                          <w:trHeight w:val="343"/>
                        </w:trPr>
                        <w:tc>
                          <w:tcPr>
                            <w:shd w:val="clear" w:color="auto" w:fill="FFE599"/>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Всього</w:t>
                            </w:r>
                            <w:r/>
                          </w:p>
                        </w:tc>
                        <w:tc>
                          <w:tcPr>
                            <w:shd w:val="clear" w:color="auto" w:fill="FFE599"/>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5209</w:t>
                            </w:r>
                            <w:r/>
                          </w:p>
                        </w:tc>
                        <w:tc>
                          <w:tcPr>
                            <w:shd w:val="clear" w:color="auto" w:fill="FFE599"/>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3145</w:t>
                            </w:r>
                            <w:r/>
                          </w:p>
                        </w:tc>
                        <w:tc>
                          <w:tcPr>
                            <w:shd w:val="clear" w:color="auto" w:fill="FFE599"/>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4298</w:t>
                            </w:r>
                            <w:r/>
                          </w:p>
                        </w:tc>
                        <w:tc>
                          <w:tcPr>
                            <w:shd w:val="clear" w:color="auto" w:fill="FFE599"/>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FE599"/>
                            <w:tcW w:w="111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12652</w:t>
                            </w:r>
                            <w:r/>
                          </w:p>
                        </w:tc>
                      </w:tr>
                      <w:tr>
                        <w:trPr>
                          <w:trHeight w:val="343"/>
                        </w:trPr>
                        <w:tc>
                          <w:tcPr>
                            <w:shd w:val="clear" w:color="auto" w:fill="F4B083"/>
                            <w:tcW w:w="1830"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РАЗОМ</w:t>
                            </w:r>
                            <w:r/>
                          </w:p>
                        </w:tc>
                        <w:tc>
                          <w:tcPr>
                            <w:shd w:val="clear" w:color="auto" w:fill="F4B083"/>
                            <w:tcW w:w="978"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21421</w:t>
                            </w:r>
                            <w:r/>
                          </w:p>
                        </w:tc>
                        <w:tc>
                          <w:tcPr>
                            <w:shd w:val="clear" w:color="auto" w:fill="F4B083"/>
                            <w:tcW w:w="73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4596</w:t>
                            </w:r>
                            <w:r/>
                          </w:p>
                        </w:tc>
                        <w:tc>
                          <w:tcPr>
                            <w:shd w:val="clear" w:color="auto" w:fill="F4B083"/>
                            <w:tcW w:w="96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94740</w:t>
                            </w:r>
                            <w:r/>
                          </w:p>
                        </w:tc>
                        <w:tc>
                          <w:tcPr>
                            <w:shd w:val="clear" w:color="auto" w:fill="F4B083"/>
                            <w:tcW w:w="98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5209</w:t>
                            </w:r>
                            <w:r/>
                          </w:p>
                        </w:tc>
                        <w:tc>
                          <w:tcPr>
                            <w:shd w:val="clear" w:color="auto" w:fill="F4B083"/>
                            <w:tcW w:w="56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899"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3145</w:t>
                            </w:r>
                            <w:r/>
                          </w:p>
                        </w:tc>
                        <w:tc>
                          <w:tcPr>
                            <w:shd w:val="clear" w:color="auto" w:fill="F4B083"/>
                            <w:tcW w:w="84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4298</w:t>
                            </w:r>
                            <w:r/>
                          </w:p>
                        </w:tc>
                        <w:tc>
                          <w:tcPr>
                            <w:shd w:val="clear" w:color="auto" w:fill="F4B083"/>
                            <w:tcW w:w="56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645"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2234</w:t>
                            </w:r>
                            <w:r/>
                          </w:p>
                        </w:tc>
                        <w:tc>
                          <w:tcPr>
                            <w:shd w:val="clear" w:color="auto" w:fill="F4B083"/>
                            <w:tcW w:w="71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487"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851"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4744</w:t>
                            </w:r>
                            <w:r/>
                          </w:p>
                        </w:tc>
                        <w:tc>
                          <w:tcPr>
                            <w:shd w:val="clear" w:color="auto" w:fill="F4B083"/>
                            <w:tcW w:w="620"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70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664" w:type="dxa"/>
                            <w:vAlign w:val="center"/>
                            <w:textDirection w:val="lrTb"/>
                            <w:noWrap w:val="false"/>
                          </w:tcPr>
                          <w:p>
                            <w:pPr>
                              <w:jc w:val="center"/>
                              <w:spacing w:lineRule="auto" w:line="240" w:after="0"/>
                              <w:rPr>
                                <w:rFonts w:ascii="Arial" w:hAnsi="Arial" w:cs="Arial"/>
                                <w:b/>
                                <w:sz w:val="18"/>
                                <w:szCs w:val="18"/>
                                <w:lang w:val="uk-UA"/>
                              </w:rPr>
                            </w:pPr>
                            <w:r>
                              <w:rPr>
                                <w:rFonts w:ascii="Arial" w:hAnsi="Arial" w:cs="Arial"/>
                                <w:b/>
                                <w:sz w:val="18"/>
                                <w:szCs w:val="18"/>
                                <w:lang w:val="uk-UA"/>
                              </w:rPr>
                              <w:t xml:space="preserve">0,0</w:t>
                            </w:r>
                            <w:r/>
                          </w:p>
                        </w:tc>
                        <w:tc>
                          <w:tcPr>
                            <w:shd w:val="clear" w:color="auto" w:fill="002060"/>
                            <w:tcW w:w="1117" w:type="dxa"/>
                            <w:vAlign w:val="center"/>
                            <w:textDirection w:val="lrTb"/>
                            <w:noWrap w:val="false"/>
                          </w:tcPr>
                          <w:p>
                            <w:pPr>
                              <w:jc w:val="center"/>
                              <w:spacing w:lineRule="auto" w:line="240" w:after="0"/>
                              <w:rPr>
                                <w:rFonts w:ascii="Arial" w:hAnsi="Arial" w:cs="Arial"/>
                                <w:b/>
                                <w:color w:val="FFFFFF"/>
                                <w:sz w:val="18"/>
                                <w:szCs w:val="18"/>
                                <w:lang w:val="uk-UA"/>
                              </w:rPr>
                            </w:pPr>
                            <w:r>
                              <w:rPr>
                                <w:rFonts w:ascii="Arial" w:hAnsi="Arial" w:cs="Arial"/>
                                <w:b/>
                                <w:color w:val="FFFFFF"/>
                                <w:sz w:val="18"/>
                                <w:szCs w:val="18"/>
                                <w:lang w:val="uk-UA"/>
                              </w:rPr>
                              <w:t xml:space="preserve">140 387</w:t>
                            </w:r>
                            <w:r/>
                          </w:p>
                        </w:tc>
                      </w:tr>
                    </w:tbl>
                    <w:p>
                      <w:r/>
                      <w:r/>
                    </w:p>
                  </w:txbxContent>
                </v:textbox>
              </v:shape>
            </w:pict>
          </mc:Fallback>
        </mc:AlternateContent>
      </w:r>
      <w:r>
        <w:rPr>
          <w:rFonts w:ascii="Arial" w:hAnsi="Arial" w:cs="Arial"/>
          <w:b/>
          <w:i/>
          <w:sz w:val="24"/>
          <w:szCs w:val="24"/>
          <w:lang w:val="uk-UA"/>
        </w:rPr>
        <w:t xml:space="preserve">Додаток 1</w:t>
      </w:r>
      <w:r/>
    </w:p>
    <w:p>
      <w:pPr>
        <w:jc w:val="right"/>
        <w:rPr>
          <w:rFonts w:ascii="Arial" w:hAnsi="Arial" w:cs="Arial"/>
          <w:b/>
          <w:i/>
          <w:lang w:val="uk-UA"/>
        </w:rPr>
      </w:pPr>
      <w:r>
        <w:rPr>
          <w:rFonts w:ascii="Arial" w:hAnsi="Arial" w:cs="Arial"/>
          <w:b/>
          <w:i/>
          <w:lang w:val="uk-UA"/>
        </w:rPr>
      </w:r>
      <w:r/>
    </w:p>
    <w:p>
      <w:pPr>
        <w:jc w:val="right"/>
        <w:rPr>
          <w:rFonts w:ascii="Arial" w:hAnsi="Arial" w:cs="Arial"/>
          <w:b/>
          <w:i/>
          <w:lang w:val="uk-UA"/>
        </w:rPr>
      </w:pPr>
      <w:r>
        <w:rPr>
          <w:rFonts w:ascii="Arial" w:hAnsi="Arial" w:cs="Arial"/>
          <w:b/>
          <w:i/>
          <w:lang w:val="uk-UA"/>
        </w:rPr>
      </w:r>
      <w:r/>
    </w:p>
    <w:p>
      <w:pPr>
        <w:jc w:val="right"/>
        <w:rPr>
          <w:rFonts w:ascii="Arial" w:hAnsi="Arial" w:cs="Arial"/>
          <w:b/>
          <w:i/>
          <w:lang w:val="uk-UA"/>
        </w:rPr>
      </w:pPr>
      <w:r>
        <w:rPr>
          <w:rFonts w:ascii="Arial" w:hAnsi="Arial" w:cs="Arial"/>
          <w:b/>
          <w:i/>
          <w:lang w:val="uk-UA"/>
        </w:rPr>
      </w:r>
      <w:r/>
    </w:p>
    <w:p>
      <w:pPr>
        <w:jc w:val="right"/>
        <w:rPr>
          <w:rFonts w:ascii="Arial" w:hAnsi="Arial" w:cs="Arial"/>
          <w:b/>
          <w:i/>
          <w:lang w:val="uk-UA"/>
        </w:rPr>
      </w:pPr>
      <w:r>
        <w:rPr>
          <w:rFonts w:ascii="Arial" w:hAnsi="Arial" w:cs="Arial"/>
          <w:b/>
          <w:i/>
          <w:lang w:val="uk-UA"/>
        </w:rPr>
      </w:r>
      <w:r/>
    </w:p>
    <w:p>
      <w:pPr>
        <w:jc w:val="right"/>
        <w:rPr>
          <w:rFonts w:ascii="Arial" w:hAnsi="Arial" w:cs="Arial"/>
          <w:b/>
          <w:i/>
          <w:lang w:val="uk-UA"/>
        </w:rPr>
      </w:pPr>
      <w:r>
        <w:rPr>
          <w:rFonts w:ascii="Arial" w:hAnsi="Arial" w:cs="Arial"/>
          <w:b/>
          <w:i/>
          <w:lang w:val="uk-UA"/>
        </w:rPr>
      </w:r>
      <w:r/>
    </w:p>
    <w:p>
      <w:pPr>
        <w:jc w:val="right"/>
        <w:rPr>
          <w:rFonts w:ascii="Arial" w:hAnsi="Arial" w:cs="Arial"/>
          <w:b/>
          <w:i/>
          <w:lang w:val="uk-UA"/>
        </w:rPr>
      </w:pPr>
      <w:r>
        <w:rPr>
          <w:rFonts w:ascii="Arial" w:hAnsi="Arial" w:cs="Arial"/>
          <w:b/>
          <w:i/>
          <w:lang w:val="uk-UA"/>
        </w:rPr>
      </w:r>
      <w:r/>
    </w:p>
    <w:p>
      <w:pPr>
        <w:jc w:val="right"/>
        <w:rPr>
          <w:rFonts w:ascii="Arial" w:hAnsi="Arial" w:cs="Arial"/>
          <w:b/>
          <w:i/>
          <w:lang w:val="uk-UA"/>
        </w:rPr>
      </w:pPr>
      <w:r>
        <w:rPr>
          <w:rFonts w:ascii="Arial" w:hAnsi="Arial" w:cs="Arial"/>
          <w:b/>
          <w:i/>
          <w:lang w:val="uk-UA"/>
        </w:rPr>
      </w:r>
      <w:r/>
    </w:p>
    <w:p>
      <w:pPr>
        <w:jc w:val="right"/>
        <w:rPr>
          <w:rFonts w:ascii="Arial" w:hAnsi="Arial" w:cs="Arial"/>
          <w:b/>
          <w:i/>
          <w:lang w:val="uk-UA"/>
        </w:rPr>
      </w:pPr>
      <w:r>
        <w:rPr>
          <w:rFonts w:ascii="Arial" w:hAnsi="Arial" w:cs="Arial"/>
          <w:b/>
          <w:i/>
          <w:lang w:val="uk-UA"/>
        </w:rPr>
      </w:r>
      <w:r/>
    </w:p>
    <w:p>
      <w:pPr>
        <w:ind w:right="-1"/>
        <w:jc w:val="center"/>
        <w:spacing w:lineRule="auto" w:line="240" w:after="0"/>
        <w:rPr>
          <w:rFonts w:ascii="Arial" w:hAnsi="Arial" w:cs="Arial"/>
          <w:b/>
          <w:color w:val="0099FF"/>
          <w:sz w:val="40"/>
          <w:szCs w:val="40"/>
          <w:lang w:val="uk-UA"/>
        </w:rPr>
      </w:pPr>
      <w:r>
        <w:rPr>
          <w:rFonts w:ascii="Arial" w:hAnsi="Arial" w:cs="Arial"/>
          <w:b/>
          <w:color w:val="0099FF"/>
          <w:sz w:val="40"/>
          <w:szCs w:val="40"/>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ind w:right="-1"/>
        <w:jc w:val="both"/>
        <w:spacing w:lineRule="auto" w:line="240" w:after="0"/>
        <w:rPr>
          <w:rFonts w:ascii="Arial" w:hAnsi="Arial" w:cs="Arial"/>
          <w:sz w:val="24"/>
          <w:szCs w:val="24"/>
          <w:lang w:val="uk-UA"/>
        </w:rPr>
      </w:pPr>
      <w:r>
        <w:rPr>
          <w:rFonts w:ascii="Arial" w:hAnsi="Arial" w:cs="Arial"/>
          <w:sz w:val="24"/>
          <w:szCs w:val="24"/>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spacing w:lineRule="auto" w:line="240" w:after="0"/>
        <w:rPr>
          <w:rFonts w:cs="Arial"/>
          <w:b/>
          <w:sz w:val="18"/>
          <w:szCs w:val="18"/>
          <w:lang w:val="uk-UA"/>
        </w:rPr>
      </w:pPr>
      <w:r>
        <w:rPr>
          <w:rFonts w:cs="Arial"/>
          <w:b/>
          <w:sz w:val="18"/>
          <w:szCs w:val="18"/>
          <w:lang w:val="uk-UA"/>
        </w:rPr>
      </w:r>
      <w:r/>
    </w:p>
    <w:p>
      <w:pPr>
        <w:jc w:val="right"/>
        <w:spacing w:lineRule="auto" w:line="240" w:after="0"/>
        <w:rPr>
          <w:rFonts w:ascii="Arial" w:hAnsi="Arial" w:cs="Arial"/>
          <w:b/>
          <w:i/>
          <w:sz w:val="24"/>
          <w:szCs w:val="24"/>
          <w:lang w:val="uk-UA"/>
        </w:rPr>
      </w:pPr>
      <w:r>
        <w:rPr>
          <w:rFonts w:ascii="Arial" w:hAnsi="Arial" w:cs="Arial"/>
          <w:b/>
          <w:i/>
          <w:sz w:val="24"/>
          <w:szCs w:val="24"/>
          <w:lang w:val="uk-UA"/>
        </w:rPr>
        <w:t xml:space="preserve">Додаток 2</w:t>
      </w:r>
      <w:r/>
    </w:p>
    <w:tbl>
      <w:tblPr>
        <w:tblW w:w="14421" w:type="dxa"/>
        <w:tblInd w:w="-5"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0A0" w:firstRow="1" w:lastRow="0" w:firstColumn="1" w:lastColumn="0" w:noHBand="0" w:noVBand="0"/>
      </w:tblPr>
      <w:tblGrid>
        <w:gridCol w:w="1913"/>
        <w:gridCol w:w="893"/>
        <w:gridCol w:w="881"/>
        <w:gridCol w:w="849"/>
        <w:gridCol w:w="779"/>
        <w:gridCol w:w="644"/>
        <w:gridCol w:w="881"/>
        <w:gridCol w:w="880"/>
        <w:gridCol w:w="587"/>
        <w:gridCol w:w="624"/>
        <w:gridCol w:w="611"/>
        <w:gridCol w:w="777"/>
        <w:gridCol w:w="854"/>
        <w:gridCol w:w="709"/>
        <w:gridCol w:w="731"/>
        <w:gridCol w:w="691"/>
        <w:gridCol w:w="1117"/>
      </w:tblGrid>
      <w:tr>
        <w:trPr>
          <w:trHeight w:val="247"/>
        </w:trPr>
        <w:tc>
          <w:tcPr>
            <w:shd w:val="clear" w:color="auto" w:fill="9CC2E5"/>
            <w:tcW w:w="1913" w:type="dxa"/>
            <w:vAlign w:val="center"/>
            <w:vMerge w:val="restart"/>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Сектор</w:t>
            </w:r>
            <w:r/>
          </w:p>
        </w:tc>
        <w:tc>
          <w:tcPr>
            <w:gridSpan w:val="16"/>
            <w:shd w:val="clear" w:color="auto" w:fill="FFC000"/>
            <w:tcW w:w="12508"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БАЗОВИЙ КАДАСТР ВИКИДІВ (</w:t>
            </w:r>
            <w:r>
              <w:rPr>
                <w:rFonts w:ascii="Arial" w:hAnsi="Arial" w:cs="Arial"/>
                <w:b/>
                <w:sz w:val="18"/>
                <w:szCs w:val="18"/>
                <w:lang w:val="uk-UA"/>
              </w:rPr>
              <w:t xml:space="preserve">т</w:t>
            </w:r>
            <w:r>
              <w:rPr>
                <w:rFonts w:ascii="Arial" w:hAnsi="Arial" w:cs="Arial"/>
                <w:b/>
                <w:sz w:val="18"/>
                <w:szCs w:val="18"/>
                <w:lang w:val="uk-UA"/>
              </w:rPr>
              <w:t xml:space="preserve">н</w:t>
            </w:r>
            <w:r>
              <w:rPr>
                <w:rFonts w:ascii="Arial" w:hAnsi="Arial" w:cs="Arial"/>
                <w:b/>
                <w:sz w:val="18"/>
                <w:szCs w:val="18"/>
                <w:lang w:val="uk-UA"/>
              </w:rPr>
              <w:t xml:space="preserve">/</w:t>
            </w:r>
            <w:r>
              <w:rPr>
                <w:rFonts w:ascii="Arial" w:hAnsi="Arial" w:cs="Arial"/>
                <w:b/>
                <w:sz w:val="18"/>
                <w:szCs w:val="18"/>
                <w:lang w:val="uk-UA"/>
              </w:rPr>
              <w:t xml:space="preserve">СО</w:t>
            </w:r>
            <w:r>
              <w:rPr>
                <w:rFonts w:ascii="Arial" w:hAnsi="Arial" w:cs="Arial"/>
                <w:b/>
                <w:sz w:val="18"/>
                <w:szCs w:val="18"/>
                <w:vertAlign w:val="subscript"/>
                <w:lang w:val="uk-UA"/>
              </w:rPr>
              <w:t xml:space="preserve">2</w:t>
            </w:r>
            <w:r>
              <w:rPr>
                <w:rFonts w:ascii="Arial" w:hAnsi="Arial" w:cs="Arial"/>
                <w:b/>
                <w:sz w:val="18"/>
                <w:szCs w:val="18"/>
                <w:lang w:val="uk-UA"/>
              </w:rPr>
              <w:t xml:space="preserve">)    </w:t>
            </w:r>
            <w:r>
              <w:rPr>
                <w:rFonts w:ascii="Arial" w:hAnsi="Arial" w:cs="Arial"/>
                <w:b/>
                <w:sz w:val="18"/>
                <w:szCs w:val="18"/>
                <w:lang w:val="uk-UA"/>
              </w:rPr>
              <w:t xml:space="preserve">на  2019</w:t>
            </w:r>
            <w:r>
              <w:rPr>
                <w:rFonts w:ascii="Arial" w:hAnsi="Arial" w:cs="Arial"/>
                <w:b/>
                <w:sz w:val="18"/>
                <w:szCs w:val="18"/>
                <w:lang w:val="uk-UA"/>
              </w:rPr>
              <w:t xml:space="preserve"> р.</w:t>
            </w:r>
            <w:r/>
          </w:p>
        </w:tc>
      </w:tr>
      <w:tr>
        <w:trPr>
          <w:trHeight w:val="262"/>
        </w:trPr>
        <w:tc>
          <w:tcPr>
            <w:shd w:val="clear" w:color="auto" w:fill="9CC2E5"/>
            <w:tcW w:w="1913" w:type="dxa"/>
            <w:vMerge w:val="continue"/>
            <w:textDirection w:val="lrTb"/>
            <w:noWrap w:val="false"/>
          </w:tcPr>
          <w:p>
            <w:pPr>
              <w:pStyle w:val="544"/>
              <w:rPr>
                <w:rFonts w:ascii="Arial" w:hAnsi="Arial" w:cs="Arial"/>
                <w:b/>
                <w:sz w:val="18"/>
                <w:szCs w:val="18"/>
                <w:lang w:val="uk-UA"/>
              </w:rPr>
            </w:pPr>
            <w:r>
              <w:rPr>
                <w:rFonts w:ascii="Arial" w:hAnsi="Arial" w:cs="Arial"/>
                <w:b/>
                <w:sz w:val="18"/>
                <w:szCs w:val="18"/>
                <w:lang w:val="uk-UA"/>
              </w:rPr>
            </w:r>
            <w:r/>
          </w:p>
        </w:tc>
        <w:tc>
          <w:tcPr>
            <w:shd w:val="clear" w:color="auto" w:fill="D0CECE"/>
            <w:tcW w:w="893" w:type="dxa"/>
            <w:vAlign w:val="center"/>
            <w:vMerge w:val="restart"/>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Електроенергія</w:t>
            </w:r>
            <w:r/>
          </w:p>
        </w:tc>
        <w:tc>
          <w:tcPr>
            <w:shd w:val="clear" w:color="auto" w:fill="D0CECE"/>
            <w:tcW w:w="881" w:type="dxa"/>
            <w:vAlign w:val="center"/>
            <w:vMerge w:val="restart"/>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Теплоенергія/Холод</w:t>
            </w:r>
            <w:r/>
          </w:p>
        </w:tc>
        <w:tc>
          <w:tcPr>
            <w:gridSpan w:val="8"/>
            <w:shd w:val="clear" w:color="auto" w:fill="9CC2E5"/>
            <w:tcW w:w="5855"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Викопне паливо</w:t>
            </w:r>
            <w:r/>
          </w:p>
        </w:tc>
        <w:tc>
          <w:tcPr>
            <w:gridSpan w:val="5"/>
            <w:shd w:val="clear" w:color="auto" w:fill="9CC2E5"/>
            <w:tcW w:w="3762"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Енергія з відновлювальних джерел</w:t>
            </w:r>
            <w:r/>
          </w:p>
        </w:tc>
        <w:tc>
          <w:tcPr>
            <w:shd w:val="clear" w:color="auto" w:fill="F4B083"/>
            <w:tcW w:w="1117" w:type="dxa"/>
            <w:vAlign w:val="center"/>
            <w:vMerge w:val="restart"/>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Загалом</w:t>
            </w:r>
            <w:r/>
          </w:p>
        </w:tc>
      </w:tr>
      <w:tr>
        <w:trPr>
          <w:cantSplit/>
          <w:trHeight w:val="1513"/>
        </w:trPr>
        <w:tc>
          <w:tcPr>
            <w:shd w:val="clear" w:color="auto" w:fill="9CC2E5"/>
            <w:tcW w:w="1913" w:type="dxa"/>
            <w:vMerge w:val="continue"/>
            <w:textDirection w:val="lrTb"/>
            <w:noWrap w:val="false"/>
          </w:tcPr>
          <w:p>
            <w:pPr>
              <w:pStyle w:val="544"/>
              <w:rPr>
                <w:rFonts w:ascii="Arial" w:hAnsi="Arial" w:cs="Arial"/>
                <w:b/>
                <w:sz w:val="18"/>
                <w:szCs w:val="18"/>
                <w:lang w:val="uk-UA"/>
              </w:rPr>
            </w:pPr>
            <w:r>
              <w:rPr>
                <w:rFonts w:ascii="Arial" w:hAnsi="Arial" w:cs="Arial"/>
                <w:b/>
                <w:sz w:val="18"/>
                <w:szCs w:val="18"/>
                <w:lang w:val="uk-UA"/>
              </w:rPr>
            </w:r>
            <w:r/>
          </w:p>
        </w:tc>
        <w:tc>
          <w:tcPr>
            <w:shd w:val="clear" w:color="auto" w:fill="D0CECE"/>
            <w:tcW w:w="893" w:type="dxa"/>
            <w:vAlign w:val="center"/>
            <w:vMerge w:val="continue"/>
            <w:textDirection w:val="lrTb"/>
            <w:noWrap w:val="false"/>
          </w:tcPr>
          <w:p>
            <w:pPr>
              <w:pStyle w:val="544"/>
              <w:rPr>
                <w:rFonts w:ascii="Arial" w:hAnsi="Arial" w:cs="Arial"/>
                <w:b/>
                <w:sz w:val="18"/>
                <w:szCs w:val="18"/>
                <w:lang w:val="uk-UA"/>
              </w:rPr>
            </w:pPr>
            <w:r>
              <w:rPr>
                <w:rFonts w:ascii="Arial" w:hAnsi="Arial" w:cs="Arial"/>
                <w:b/>
                <w:sz w:val="18"/>
                <w:szCs w:val="18"/>
                <w:lang w:val="uk-UA"/>
              </w:rPr>
            </w:r>
            <w:r/>
          </w:p>
        </w:tc>
        <w:tc>
          <w:tcPr>
            <w:shd w:val="clear" w:color="auto" w:fill="D0CECE"/>
            <w:tcW w:w="881" w:type="dxa"/>
            <w:vAlign w:val="center"/>
            <w:vMerge w:val="continue"/>
            <w:textDirection w:val="lrTb"/>
            <w:noWrap w:val="false"/>
          </w:tcPr>
          <w:p>
            <w:pPr>
              <w:pStyle w:val="544"/>
              <w:rPr>
                <w:rFonts w:ascii="Arial" w:hAnsi="Arial" w:cs="Arial"/>
                <w:b/>
                <w:sz w:val="18"/>
                <w:szCs w:val="18"/>
                <w:lang w:val="uk-UA"/>
              </w:rPr>
            </w:pPr>
            <w:r>
              <w:rPr>
                <w:rFonts w:ascii="Arial" w:hAnsi="Arial" w:cs="Arial"/>
                <w:b/>
                <w:sz w:val="18"/>
                <w:szCs w:val="18"/>
                <w:lang w:val="uk-UA"/>
              </w:rPr>
            </w:r>
            <w:r/>
          </w:p>
        </w:tc>
        <w:tc>
          <w:tcPr>
            <w:shd w:val="clear" w:color="auto" w:fill="D0CECE"/>
            <w:tcW w:w="849"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Природний газ</w:t>
            </w:r>
            <w:r/>
          </w:p>
        </w:tc>
        <w:tc>
          <w:tcPr>
            <w:shd w:val="clear" w:color="auto" w:fill="D0CECE"/>
            <w:tcW w:w="779"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Зріджений газ</w:t>
            </w:r>
            <w:r/>
          </w:p>
        </w:tc>
        <w:tc>
          <w:tcPr>
            <w:shd w:val="clear" w:color="auto" w:fill="D0CECE"/>
            <w:tcW w:w="644"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Топковий мазут</w:t>
            </w:r>
            <w:r/>
          </w:p>
        </w:tc>
        <w:tc>
          <w:tcPr>
            <w:shd w:val="clear" w:color="auto" w:fill="D0CECE"/>
            <w:tcW w:w="881"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Дизель</w:t>
            </w:r>
            <w:r/>
          </w:p>
        </w:tc>
        <w:tc>
          <w:tcPr>
            <w:shd w:val="clear" w:color="auto" w:fill="D0CECE"/>
            <w:tcW w:w="880"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Бензин</w:t>
            </w:r>
            <w:r/>
          </w:p>
        </w:tc>
        <w:tc>
          <w:tcPr>
            <w:shd w:val="clear" w:color="auto" w:fill="D0CECE"/>
            <w:tcW w:w="587"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Буре вугілля</w:t>
            </w:r>
            <w:r/>
          </w:p>
        </w:tc>
        <w:tc>
          <w:tcPr>
            <w:shd w:val="clear" w:color="auto" w:fill="D0CECE"/>
            <w:tcW w:w="624"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Вугілля</w:t>
            </w:r>
            <w:r/>
          </w:p>
        </w:tc>
        <w:tc>
          <w:tcPr>
            <w:shd w:val="clear" w:color="auto" w:fill="D0CECE"/>
            <w:tcW w:w="611"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Інше викопне паливо</w:t>
            </w:r>
            <w:r/>
          </w:p>
        </w:tc>
        <w:tc>
          <w:tcPr>
            <w:shd w:val="clear" w:color="auto" w:fill="D0CECE"/>
            <w:tcW w:w="777"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Рослинні масла</w:t>
            </w:r>
            <w:r/>
          </w:p>
        </w:tc>
        <w:tc>
          <w:tcPr>
            <w:shd w:val="clear" w:color="auto" w:fill="D0CECE"/>
            <w:tcW w:w="854"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Біопаливо</w:t>
            </w:r>
            <w:r/>
          </w:p>
        </w:tc>
        <w:tc>
          <w:tcPr>
            <w:shd w:val="clear" w:color="auto" w:fill="D0CECE"/>
            <w:tcW w:w="709"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Інша біомаса</w:t>
            </w:r>
            <w:r/>
          </w:p>
        </w:tc>
        <w:tc>
          <w:tcPr>
            <w:shd w:val="clear" w:color="auto" w:fill="D0CECE"/>
            <w:tcW w:w="731"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Теплова сонячна енергія</w:t>
            </w:r>
            <w:r/>
          </w:p>
        </w:tc>
        <w:tc>
          <w:tcPr>
            <w:shd w:val="clear" w:color="auto" w:fill="D0CECE"/>
            <w:tcW w:w="691" w:type="dxa"/>
            <w:vAlign w:val="center"/>
            <w:textDirection w:val="btLr"/>
            <w:noWrap w:val="false"/>
          </w:tcPr>
          <w:p>
            <w:pPr>
              <w:pStyle w:val="544"/>
              <w:ind w:left="113" w:right="113"/>
              <w:rPr>
                <w:rFonts w:ascii="Arial" w:hAnsi="Arial" w:cs="Arial"/>
                <w:b/>
                <w:sz w:val="18"/>
                <w:szCs w:val="18"/>
                <w:lang w:val="uk-UA"/>
              </w:rPr>
            </w:pPr>
            <w:r>
              <w:rPr>
                <w:rFonts w:ascii="Arial" w:hAnsi="Arial" w:cs="Arial"/>
                <w:b/>
                <w:sz w:val="18"/>
                <w:szCs w:val="18"/>
                <w:lang w:val="uk-UA"/>
              </w:rPr>
              <w:t xml:space="preserve">Геотермальна енергія</w:t>
            </w:r>
            <w:r/>
          </w:p>
        </w:tc>
        <w:tc>
          <w:tcPr>
            <w:shd w:val="clear" w:color="auto" w:fill="F4B083"/>
            <w:tcW w:w="1117" w:type="dxa"/>
            <w:vAlign w:val="center"/>
            <w:vMerge w:val="continue"/>
            <w:textDirection w:val="lrTb"/>
            <w:noWrap w:val="false"/>
          </w:tcPr>
          <w:p>
            <w:pPr>
              <w:pStyle w:val="544"/>
              <w:rPr>
                <w:rFonts w:ascii="Arial" w:hAnsi="Arial" w:cs="Arial"/>
                <w:b/>
                <w:sz w:val="18"/>
                <w:szCs w:val="18"/>
                <w:lang w:val="uk-UA"/>
              </w:rPr>
            </w:pPr>
            <w:r>
              <w:rPr>
                <w:rFonts w:ascii="Arial" w:hAnsi="Arial" w:cs="Arial"/>
                <w:b/>
                <w:sz w:val="18"/>
                <w:szCs w:val="18"/>
                <w:lang w:val="uk-UA"/>
              </w:rPr>
            </w:r>
            <w:r/>
          </w:p>
        </w:tc>
      </w:tr>
      <w:tr>
        <w:trPr>
          <w:trHeight w:val="262"/>
        </w:trPr>
        <w:tc>
          <w:tcPr>
            <w:gridSpan w:val="17"/>
            <w:shd w:val="clear" w:color="auto" w:fill="FFFF00"/>
            <w:tcW w:w="1442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БУДІВЛІ, ОБЛАДНАННЯ ТА ПРОМИСЛОВІ ПІДПРИЄМСТВА</w:t>
            </w:r>
            <w:r/>
          </w:p>
        </w:tc>
      </w:tr>
      <w:tr>
        <w:trPr>
          <w:trHeight w:val="992"/>
        </w:trPr>
        <w:tc>
          <w:tcPr>
            <w:shd w:val="clear" w:color="auto" w:fill="C5E0B3"/>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Муніципальні будівлі, обладнання/</w:t>
            </w:r>
            <w:r/>
          </w:p>
          <w:p>
            <w:pPr>
              <w:pStyle w:val="544"/>
              <w:rPr>
                <w:rFonts w:ascii="Arial" w:hAnsi="Arial" w:cs="Arial"/>
                <w:b/>
                <w:sz w:val="18"/>
                <w:szCs w:val="18"/>
                <w:lang w:val="uk-UA"/>
              </w:rPr>
            </w:pPr>
            <w:r>
              <w:rPr>
                <w:rFonts w:ascii="Arial" w:hAnsi="Arial" w:cs="Arial"/>
                <w:b/>
                <w:sz w:val="18"/>
                <w:szCs w:val="18"/>
                <w:lang w:val="uk-UA"/>
              </w:rPr>
              <w:t xml:space="preserve">об’єкти</w:t>
            </w:r>
            <w:r/>
          </w:p>
        </w:tc>
        <w:tc>
          <w:tcPr>
            <w:shd w:val="clear" w:color="auto" w:fill="C5E0B3"/>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486</w:t>
            </w:r>
            <w:r/>
          </w:p>
        </w:tc>
        <w:tc>
          <w:tcPr>
            <w:shd w:val="clear" w:color="auto" w:fill="C5E0B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612</w:t>
            </w:r>
            <w:r/>
          </w:p>
        </w:tc>
        <w:tc>
          <w:tcPr>
            <w:shd w:val="clear" w:color="auto" w:fill="C5E0B3"/>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1785</w:t>
            </w:r>
            <w:r/>
          </w:p>
        </w:tc>
        <w:tc>
          <w:tcPr>
            <w:shd w:val="clear" w:color="auto" w:fill="C5E0B3"/>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762</w:t>
            </w:r>
            <w:r/>
          </w:p>
        </w:tc>
        <w:tc>
          <w:tcPr>
            <w:shd w:val="clear" w:color="auto" w:fill="C5E0B3"/>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BE4D5"/>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3645</w:t>
            </w:r>
            <w:r/>
          </w:p>
        </w:tc>
      </w:tr>
      <w:tr>
        <w:trPr>
          <w:trHeight w:val="510"/>
        </w:trPr>
        <w:tc>
          <w:tcPr>
            <w:shd w:val="clear" w:color="auto" w:fill="E2EFD9"/>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Житлові</w:t>
            </w:r>
            <w:r/>
          </w:p>
          <w:p>
            <w:pPr>
              <w:pStyle w:val="544"/>
              <w:rPr>
                <w:rFonts w:ascii="Arial" w:hAnsi="Arial" w:cs="Arial"/>
                <w:b/>
                <w:sz w:val="18"/>
                <w:szCs w:val="18"/>
                <w:lang w:val="uk-UA"/>
              </w:rPr>
            </w:pPr>
            <w:r>
              <w:rPr>
                <w:rFonts w:ascii="Arial" w:hAnsi="Arial" w:cs="Arial"/>
                <w:b/>
                <w:sz w:val="18"/>
                <w:szCs w:val="18"/>
                <w:lang w:val="uk-UA"/>
              </w:rPr>
              <w:t xml:space="preserve">будівлі</w:t>
            </w:r>
            <w:r/>
          </w:p>
        </w:tc>
        <w:tc>
          <w:tcPr>
            <w:shd w:val="clear" w:color="auto" w:fill="E2EFD9"/>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4231</w:t>
            </w:r>
            <w:r/>
          </w:p>
        </w:tc>
        <w:tc>
          <w:tcPr>
            <w:shd w:val="clear" w:color="auto" w:fill="E2EFD9"/>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409</w:t>
            </w:r>
            <w:r/>
          </w:p>
        </w:tc>
        <w:tc>
          <w:tcPr>
            <w:shd w:val="clear" w:color="auto" w:fill="E2EFD9"/>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9161</w:t>
            </w:r>
            <w:r/>
          </w:p>
        </w:tc>
        <w:tc>
          <w:tcPr>
            <w:shd w:val="clear" w:color="auto" w:fill="E2EFD9"/>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BE4D5"/>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13801</w:t>
            </w:r>
            <w:r/>
          </w:p>
        </w:tc>
      </w:tr>
      <w:tr>
        <w:trPr>
          <w:trHeight w:val="779"/>
        </w:trPr>
        <w:tc>
          <w:tcPr>
            <w:shd w:val="clear" w:color="auto" w:fill="C5E0B3"/>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Муніципальне</w:t>
            </w:r>
            <w:r/>
          </w:p>
          <w:p>
            <w:pPr>
              <w:pStyle w:val="544"/>
              <w:rPr>
                <w:rFonts w:ascii="Arial" w:hAnsi="Arial" w:cs="Arial"/>
                <w:b/>
                <w:sz w:val="18"/>
                <w:szCs w:val="18"/>
                <w:lang w:val="uk-UA"/>
              </w:rPr>
            </w:pPr>
            <w:r>
              <w:rPr>
                <w:rFonts w:ascii="Arial" w:hAnsi="Arial" w:cs="Arial"/>
                <w:b/>
                <w:sz w:val="18"/>
                <w:szCs w:val="18"/>
                <w:lang w:val="uk-UA"/>
              </w:rPr>
              <w:t xml:space="preserve">громадське</w:t>
            </w:r>
            <w:r/>
          </w:p>
          <w:p>
            <w:pPr>
              <w:pStyle w:val="544"/>
              <w:rPr>
                <w:rFonts w:ascii="Arial" w:hAnsi="Arial" w:cs="Arial"/>
                <w:b/>
                <w:sz w:val="18"/>
                <w:szCs w:val="18"/>
                <w:lang w:val="uk-UA"/>
              </w:rPr>
            </w:pPr>
            <w:r>
              <w:rPr>
                <w:rFonts w:ascii="Arial" w:hAnsi="Arial" w:cs="Arial"/>
                <w:b/>
                <w:sz w:val="18"/>
                <w:szCs w:val="18"/>
                <w:lang w:val="uk-UA"/>
              </w:rPr>
              <w:t xml:space="preserve">освітлення</w:t>
            </w:r>
            <w:r/>
          </w:p>
        </w:tc>
        <w:tc>
          <w:tcPr>
            <w:shd w:val="clear" w:color="auto" w:fill="C5E0B3"/>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153</w:t>
            </w:r>
            <w:r/>
          </w:p>
        </w:tc>
        <w:tc>
          <w:tcPr>
            <w:shd w:val="clear" w:color="auto" w:fill="C5E0B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BE4D5"/>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153</w:t>
            </w:r>
            <w:r/>
          </w:p>
        </w:tc>
      </w:tr>
      <w:tr>
        <w:trPr>
          <w:trHeight w:val="327"/>
        </w:trPr>
        <w:tc>
          <w:tcPr>
            <w:shd w:val="clear" w:color="auto" w:fill="E2EFD9"/>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Промисловість</w:t>
            </w:r>
            <w:r/>
          </w:p>
        </w:tc>
        <w:tc>
          <w:tcPr>
            <w:shd w:val="clear" w:color="auto" w:fill="E2EFD9"/>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4400</w:t>
            </w:r>
            <w:r/>
          </w:p>
        </w:tc>
        <w:tc>
          <w:tcPr>
            <w:shd w:val="clear" w:color="auto" w:fill="E2EFD9"/>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6876</w:t>
            </w:r>
            <w:r/>
          </w:p>
        </w:tc>
        <w:tc>
          <w:tcPr>
            <w:shd w:val="clear" w:color="auto" w:fill="E2EFD9"/>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BE4D5"/>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11276</w:t>
            </w:r>
            <w:r/>
          </w:p>
        </w:tc>
      </w:tr>
      <w:tr>
        <w:trPr>
          <w:trHeight w:val="327"/>
        </w:trPr>
        <w:tc>
          <w:tcPr>
            <w:shd w:val="clear" w:color="auto" w:fill="E2EFD9"/>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Третинний сектор</w:t>
            </w:r>
            <w:r/>
          </w:p>
        </w:tc>
        <w:tc>
          <w:tcPr>
            <w:shd w:val="clear" w:color="auto" w:fill="E2EFD9"/>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1245</w:t>
            </w:r>
            <w:r/>
          </w:p>
        </w:tc>
        <w:tc>
          <w:tcPr>
            <w:shd w:val="clear" w:color="auto" w:fill="E2EFD9"/>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93</w:t>
            </w:r>
            <w:r/>
          </w:p>
        </w:tc>
        <w:tc>
          <w:tcPr>
            <w:shd w:val="clear" w:color="auto" w:fill="E2EFD9"/>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92</w:t>
            </w:r>
            <w:r/>
          </w:p>
        </w:tc>
        <w:tc>
          <w:tcPr>
            <w:shd w:val="clear" w:color="auto" w:fill="E2EFD9"/>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E2EFD9"/>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BE4D5"/>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1430</w:t>
            </w:r>
            <w:r/>
          </w:p>
        </w:tc>
      </w:tr>
      <w:tr>
        <w:trPr>
          <w:trHeight w:val="327"/>
        </w:trPr>
        <w:tc>
          <w:tcPr>
            <w:shd w:val="clear" w:color="auto" w:fill="C5E0B3"/>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Інші об’єкти</w:t>
            </w:r>
            <w:r/>
          </w:p>
        </w:tc>
        <w:tc>
          <w:tcPr>
            <w:shd w:val="clear" w:color="auto" w:fill="C5E0B3"/>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1246</w:t>
            </w:r>
            <w:r/>
          </w:p>
        </w:tc>
        <w:tc>
          <w:tcPr>
            <w:shd w:val="clear" w:color="auto" w:fill="C5E0B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1223</w:t>
            </w:r>
            <w:r/>
          </w:p>
        </w:tc>
        <w:tc>
          <w:tcPr>
            <w:shd w:val="clear" w:color="auto" w:fill="C5E0B3"/>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BE4D5"/>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2469</w:t>
            </w:r>
            <w:r/>
          </w:p>
        </w:tc>
      </w:tr>
      <w:tr>
        <w:trPr>
          <w:trHeight w:val="327"/>
        </w:trPr>
        <w:tc>
          <w:tcPr>
            <w:shd w:val="clear" w:color="auto" w:fill="F7CAAC"/>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Всього</w:t>
            </w:r>
            <w:r/>
          </w:p>
        </w:tc>
        <w:tc>
          <w:tcPr>
            <w:shd w:val="clear" w:color="auto" w:fill="F7CAAC"/>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11761</w:t>
            </w:r>
            <w:r/>
          </w:p>
        </w:tc>
        <w:tc>
          <w:tcPr>
            <w:shd w:val="clear" w:color="auto" w:fill="F7CAAC"/>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1114</w:t>
            </w:r>
            <w:r/>
          </w:p>
        </w:tc>
        <w:tc>
          <w:tcPr>
            <w:shd w:val="clear" w:color="auto" w:fill="F7CAAC"/>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19137</w:t>
            </w:r>
            <w:r/>
          </w:p>
        </w:tc>
        <w:tc>
          <w:tcPr>
            <w:shd w:val="clear" w:color="auto" w:fill="F7CAAC"/>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762</w:t>
            </w:r>
            <w:r/>
          </w:p>
        </w:tc>
        <w:tc>
          <w:tcPr>
            <w:shd w:val="clear" w:color="auto" w:fill="F7CAAC"/>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32 774</w:t>
            </w:r>
            <w:r/>
          </w:p>
        </w:tc>
      </w:tr>
      <w:tr>
        <w:trPr>
          <w:trHeight w:val="247"/>
        </w:trPr>
        <w:tc>
          <w:tcPr>
            <w:gridSpan w:val="17"/>
            <w:shd w:val="clear" w:color="auto" w:fill="FFFF00"/>
            <w:tcW w:w="1442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ТРАНСПОРТ</w:t>
            </w:r>
            <w:r/>
          </w:p>
        </w:tc>
      </w:tr>
      <w:tr>
        <w:trPr>
          <w:trHeight w:val="621"/>
        </w:trPr>
        <w:tc>
          <w:tcPr>
            <w:shd w:val="clear" w:color="auto" w:fill="C5E0B3"/>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Приватний</w:t>
            </w:r>
            <w:r>
              <w:rPr>
                <w:rFonts w:ascii="Arial" w:hAnsi="Arial" w:cs="Arial"/>
                <w:b/>
                <w:sz w:val="18"/>
                <w:szCs w:val="18"/>
                <w:lang w:val="uk-UA"/>
              </w:rPr>
              <w:t xml:space="preserve"> </w:t>
            </w:r>
            <w:r/>
          </w:p>
        </w:tc>
        <w:tc>
          <w:tcPr>
            <w:shd w:val="clear" w:color="auto" w:fill="C5E0B3"/>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1156</w:t>
            </w:r>
            <w:r/>
          </w:p>
        </w:tc>
        <w:tc>
          <w:tcPr>
            <w:shd w:val="clear" w:color="auto" w:fill="C5E0B3"/>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81" w:type="dxa"/>
            <w:vAlign w:val="center"/>
            <w:textDirection w:val="lrTb"/>
            <w:noWrap w:val="false"/>
          </w:tcPr>
          <w:p>
            <w:pPr>
              <w:pStyle w:val="544"/>
              <w:jc w:val="center"/>
              <w:rPr>
                <w:rFonts w:ascii="Arial" w:hAnsi="Arial" w:cs="Arial"/>
                <w:b/>
                <w:color w:val="FF0000"/>
                <w:sz w:val="18"/>
                <w:szCs w:val="18"/>
                <w:lang w:val="uk-UA"/>
              </w:rPr>
            </w:pPr>
            <w:r>
              <w:rPr>
                <w:rFonts w:ascii="Arial" w:hAnsi="Arial" w:cs="Arial"/>
                <w:b/>
                <w:sz w:val="18"/>
                <w:szCs w:val="18"/>
                <w:lang w:val="uk-UA"/>
              </w:rPr>
              <w:t xml:space="preserve">630</w:t>
            </w:r>
            <w:r/>
          </w:p>
        </w:tc>
        <w:tc>
          <w:tcPr>
            <w:shd w:val="clear" w:color="auto" w:fill="C5E0B3"/>
            <w:tcW w:w="880" w:type="dxa"/>
            <w:vAlign w:val="center"/>
            <w:textDirection w:val="lrTb"/>
            <w:noWrap w:val="false"/>
          </w:tcPr>
          <w:p>
            <w:pPr>
              <w:pStyle w:val="544"/>
              <w:jc w:val="center"/>
              <w:rPr>
                <w:rFonts w:ascii="Arial" w:hAnsi="Arial" w:cs="Arial"/>
                <w:b/>
                <w:color w:val="FF0000"/>
                <w:sz w:val="18"/>
                <w:szCs w:val="18"/>
                <w:lang w:val="uk-UA"/>
              </w:rPr>
            </w:pPr>
            <w:r>
              <w:rPr>
                <w:rFonts w:ascii="Arial" w:hAnsi="Arial" w:cs="Arial"/>
                <w:b/>
                <w:sz w:val="18"/>
                <w:szCs w:val="18"/>
                <w:lang w:val="uk-UA"/>
              </w:rPr>
              <w:t xml:space="preserve">1042</w:t>
            </w:r>
            <w:r/>
          </w:p>
        </w:tc>
        <w:tc>
          <w:tcPr>
            <w:shd w:val="clear" w:color="auto" w:fill="C5E0B3"/>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C5E0B3"/>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BE4D5"/>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2828</w:t>
            </w:r>
            <w:r/>
          </w:p>
        </w:tc>
      </w:tr>
      <w:tr>
        <w:trPr>
          <w:trHeight w:val="559"/>
        </w:trPr>
        <w:tc>
          <w:tcPr>
            <w:shd w:val="clear" w:color="auto" w:fill="D6FEE8" w:themeFill="accent6" w:themeFillTint="33"/>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Комунальний </w:t>
            </w:r>
            <w:r/>
          </w:p>
        </w:tc>
        <w:tc>
          <w:tcPr>
            <w:shd w:val="clear" w:color="auto" w:fill="D6FEE8" w:themeFill="accent6" w:themeFillTint="33"/>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47</w:t>
            </w:r>
            <w:r/>
          </w:p>
        </w:tc>
        <w:tc>
          <w:tcPr>
            <w:shd w:val="clear" w:color="auto" w:fill="D6FEE8" w:themeFill="accent6" w:themeFillTint="33"/>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47</w:t>
            </w:r>
            <w:r/>
          </w:p>
        </w:tc>
        <w:tc>
          <w:tcPr>
            <w:shd w:val="clear" w:color="auto" w:fill="D6FEE8" w:themeFill="accent6" w:themeFillTint="33"/>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28</w:t>
            </w:r>
            <w:r/>
          </w:p>
        </w:tc>
        <w:tc>
          <w:tcPr>
            <w:shd w:val="clear" w:color="auto" w:fill="D6FEE8" w:themeFill="accent6" w:themeFillTint="33"/>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24" w:type="dxa"/>
            <w:vAlign w:val="center"/>
            <w:textDirection w:val="lrTb"/>
            <w:noWrap w:val="false"/>
          </w:tcPr>
          <w:p>
            <w:pPr>
              <w:pStyle w:val="544"/>
              <w:jc w:val="center"/>
              <w:rPr>
                <w:rFonts w:ascii="Arial" w:hAnsi="Arial" w:cs="Arial"/>
                <w:sz w:val="18"/>
                <w:szCs w:val="18"/>
                <w:lang w:val="uk-UA"/>
              </w:rPr>
            </w:pPr>
            <w:r>
              <w:rPr>
                <w:rFonts w:ascii="Arial" w:hAnsi="Arial" w:cs="Arial"/>
                <w:b/>
                <w:sz w:val="18"/>
                <w:szCs w:val="18"/>
                <w:lang w:val="uk-UA"/>
              </w:rPr>
              <w:t xml:space="preserve">0,0</w:t>
            </w:r>
            <w:r/>
          </w:p>
        </w:tc>
        <w:tc>
          <w:tcPr>
            <w:shd w:val="clear" w:color="auto" w:fill="D6FEE8" w:themeFill="accent6" w:themeFillTint="33"/>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BE4D5"/>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122</w:t>
            </w:r>
            <w:r/>
          </w:p>
        </w:tc>
      </w:tr>
      <w:tr>
        <w:trPr>
          <w:trHeight w:val="408"/>
        </w:trPr>
        <w:tc>
          <w:tcPr>
            <w:shd w:val="clear" w:color="auto" w:fill="D6FEE8" w:themeFill="accent6" w:themeFillTint="33"/>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Пасажирський</w:t>
            </w:r>
            <w:r/>
          </w:p>
        </w:tc>
        <w:tc>
          <w:tcPr>
            <w:shd w:val="clear" w:color="auto" w:fill="D6FEE8" w:themeFill="accent6" w:themeFillTint="33"/>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162</w:t>
            </w:r>
            <w:r/>
          </w:p>
        </w:tc>
        <w:tc>
          <w:tcPr>
            <w:shd w:val="clear" w:color="auto" w:fill="D6FEE8" w:themeFill="accent6" w:themeFillTint="33"/>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D6FEE8" w:themeFill="accent6" w:themeFillTint="33"/>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BE4D5"/>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162</w:t>
            </w:r>
            <w:r/>
          </w:p>
        </w:tc>
      </w:tr>
      <w:tr>
        <w:trPr>
          <w:trHeight w:val="327"/>
        </w:trPr>
        <w:tc>
          <w:tcPr>
            <w:shd w:val="clear" w:color="auto" w:fill="F7CAAC"/>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Всього</w:t>
            </w:r>
            <w:r/>
          </w:p>
        </w:tc>
        <w:tc>
          <w:tcPr>
            <w:shd w:val="clear" w:color="auto" w:fill="F7CAAC"/>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1203</w:t>
            </w:r>
            <w:r/>
          </w:p>
        </w:tc>
        <w:tc>
          <w:tcPr>
            <w:shd w:val="clear" w:color="auto" w:fill="F7CAAC"/>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839</w:t>
            </w:r>
            <w:r/>
          </w:p>
        </w:tc>
        <w:tc>
          <w:tcPr>
            <w:shd w:val="clear" w:color="auto" w:fill="F7CAAC"/>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1070</w:t>
            </w:r>
            <w:r/>
          </w:p>
        </w:tc>
        <w:tc>
          <w:tcPr>
            <w:shd w:val="clear" w:color="auto" w:fill="F7CAAC"/>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7CAAC"/>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F4B083"/>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3112</w:t>
            </w:r>
            <w:r/>
          </w:p>
        </w:tc>
      </w:tr>
      <w:tr>
        <w:trPr>
          <w:trHeight w:val="327"/>
        </w:trPr>
        <w:tc>
          <w:tcPr>
            <w:tcW w:w="1913" w:type="dxa"/>
            <w:vAlign w:val="center"/>
            <w:textDirection w:val="lrTb"/>
            <w:noWrap w:val="false"/>
          </w:tcPr>
          <w:p>
            <w:pPr>
              <w:pStyle w:val="544"/>
              <w:rPr>
                <w:rFonts w:ascii="Arial" w:hAnsi="Arial" w:cs="Arial"/>
                <w:b/>
                <w:sz w:val="18"/>
                <w:szCs w:val="18"/>
                <w:lang w:val="uk-UA"/>
              </w:rPr>
            </w:pPr>
            <w:r>
              <w:rPr>
                <w:rFonts w:ascii="Arial" w:hAnsi="Arial" w:cs="Arial"/>
                <w:b/>
                <w:sz w:val="18"/>
                <w:szCs w:val="18"/>
                <w:lang w:val="uk-UA"/>
              </w:rPr>
              <w:t xml:space="preserve">РАЗОМ</w:t>
            </w:r>
            <w:r/>
          </w:p>
        </w:tc>
        <w:tc>
          <w:tcPr>
            <w:tcW w:w="893"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11761</w:t>
            </w:r>
            <w:r/>
          </w:p>
        </w:tc>
        <w:tc>
          <w:tcPr>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1114</w:t>
            </w:r>
            <w:r/>
          </w:p>
        </w:tc>
        <w:tc>
          <w:tcPr>
            <w:tcW w:w="84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19137</w:t>
            </w:r>
            <w:r/>
          </w:p>
        </w:tc>
        <w:tc>
          <w:tcPr>
            <w:tcW w:w="77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1203</w:t>
            </w:r>
            <w:r/>
          </w:p>
        </w:tc>
        <w:tc>
          <w:tcPr>
            <w:tcW w:w="64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tcW w:w="88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839</w:t>
            </w:r>
            <w:r/>
          </w:p>
        </w:tc>
        <w:tc>
          <w:tcPr>
            <w:tcW w:w="880"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1070</w:t>
            </w:r>
            <w:r/>
          </w:p>
        </w:tc>
        <w:tc>
          <w:tcPr>
            <w:tcW w:w="58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tcW w:w="62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762</w:t>
            </w:r>
            <w:r/>
          </w:p>
        </w:tc>
        <w:tc>
          <w:tcPr>
            <w:tcW w:w="61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tcW w:w="77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tcW w:w="854"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tcW w:w="709"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tcW w:w="73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tcW w:w="691"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0,0</w:t>
            </w:r>
            <w:r/>
          </w:p>
        </w:tc>
        <w:tc>
          <w:tcPr>
            <w:shd w:val="clear" w:color="auto" w:fill="1F3864"/>
            <w:tcW w:w="1117" w:type="dxa"/>
            <w:vAlign w:val="center"/>
            <w:textDirection w:val="lrTb"/>
            <w:noWrap w:val="false"/>
          </w:tcPr>
          <w:p>
            <w:pPr>
              <w:pStyle w:val="544"/>
              <w:jc w:val="center"/>
              <w:rPr>
                <w:rFonts w:ascii="Arial" w:hAnsi="Arial" w:cs="Arial"/>
                <w:b/>
                <w:sz w:val="18"/>
                <w:szCs w:val="18"/>
                <w:lang w:val="uk-UA"/>
              </w:rPr>
            </w:pPr>
            <w:r>
              <w:rPr>
                <w:rFonts w:ascii="Arial" w:hAnsi="Arial" w:cs="Arial"/>
                <w:b/>
                <w:sz w:val="18"/>
                <w:szCs w:val="18"/>
                <w:lang w:val="uk-UA"/>
              </w:rPr>
              <w:t xml:space="preserve">35 886</w:t>
            </w:r>
            <w:r/>
          </w:p>
        </w:tc>
      </w:tr>
    </w:tbl>
    <w:p>
      <w:pPr>
        <w:spacing w:lineRule="auto" w:line="240" w:after="0"/>
        <w:rPr>
          <w:rFonts w:ascii="Arial" w:hAnsi="Arial" w:cs="Arial"/>
          <w:b/>
          <w:sz w:val="24"/>
          <w:szCs w:val="24"/>
          <w:lang w:val="uk-UA"/>
        </w:rPr>
      </w:pPr>
      <w:r>
        <w:rPr>
          <w:rFonts w:ascii="Arial" w:hAnsi="Arial" w:cs="Arial"/>
          <w:b/>
          <w:sz w:val="24"/>
          <w:szCs w:val="24"/>
          <w:lang w:val="uk-UA"/>
        </w:rPr>
      </w:r>
      <w:r/>
    </w:p>
    <w:p>
      <w:pPr>
        <w:jc w:val="right"/>
        <w:spacing w:lineRule="auto" w:line="240" w:after="0"/>
        <w:rPr>
          <w:rFonts w:ascii="Arial" w:hAnsi="Arial" w:cs="Arial"/>
          <w:b/>
          <w:i/>
          <w:sz w:val="24"/>
          <w:szCs w:val="24"/>
          <w:lang w:val="uk-UA"/>
        </w:rPr>
      </w:pPr>
      <w:r>
        <w:rPr>
          <w:rFonts w:ascii="Arial" w:hAnsi="Arial" w:cs="Arial"/>
          <w:b/>
          <w:i/>
          <w:sz w:val="24"/>
          <w:szCs w:val="24"/>
          <w:lang w:val="uk-UA"/>
        </w:rPr>
        <w:t xml:space="preserve">Додаток 3</w:t>
      </w:r>
      <w:r/>
    </w:p>
    <w:p>
      <w:pPr>
        <w:jc w:val="both"/>
        <w:spacing w:lineRule="auto" w:line="240" w:after="0"/>
        <w:rPr>
          <w:rFonts w:ascii="Arial" w:hAnsi="Arial" w:cs="Arial"/>
          <w:b/>
          <w:sz w:val="24"/>
          <w:szCs w:val="24"/>
          <w:lang w:val="uk-UA"/>
        </w:rPr>
      </w:pPr>
      <w:r>
        <w:rPr>
          <w:rFonts w:ascii="Arial" w:hAnsi="Arial" w:cs="Arial"/>
          <w:b/>
          <w:sz w:val="24"/>
          <w:szCs w:val="24"/>
          <w:lang w:val="uk-UA"/>
        </w:rPr>
        <w:t xml:space="preserve">Скорочення викидів СО</w:t>
      </w:r>
      <w:r>
        <w:rPr>
          <w:rFonts w:ascii="Arial" w:hAnsi="Arial" w:cs="Arial"/>
          <w:b/>
          <w:sz w:val="24"/>
          <w:szCs w:val="24"/>
          <w:vertAlign w:val="subscript"/>
          <w:lang w:val="uk-UA"/>
        </w:rPr>
        <w:t xml:space="preserve">2</w:t>
      </w:r>
      <w:r>
        <w:rPr>
          <w:rFonts w:ascii="Arial" w:hAnsi="Arial" w:cs="Arial"/>
          <w:b/>
          <w:sz w:val="24"/>
          <w:szCs w:val="24"/>
          <w:lang w:val="uk-UA"/>
        </w:rPr>
        <w:t xml:space="preserve"> від упровадження заходів </w:t>
      </w:r>
      <w:r>
        <w:rPr>
          <w:rFonts w:ascii="Arial" w:hAnsi="Arial" w:cs="Arial"/>
          <w:b/>
          <w:sz w:val="24"/>
          <w:szCs w:val="24"/>
          <w:lang w:val="uk-UA"/>
        </w:rPr>
        <w:t xml:space="preserve">з пом’якшення до змін клімату</w:t>
      </w:r>
      <w:r>
        <w:rPr>
          <w:rFonts w:ascii="Arial" w:hAnsi="Arial" w:cs="Arial"/>
          <w:b/>
          <w:sz w:val="24"/>
          <w:szCs w:val="24"/>
          <w:lang w:val="uk-UA"/>
        </w:rPr>
        <w:t xml:space="preserve"> у </w:t>
      </w:r>
      <w:r>
        <w:rPr>
          <w:rFonts w:ascii="Arial" w:hAnsi="Arial" w:cs="Arial"/>
          <w:b/>
          <w:sz w:val="24"/>
          <w:szCs w:val="24"/>
          <w:lang w:val="uk-UA"/>
        </w:rPr>
        <w:t xml:space="preserve">Менській громаді</w:t>
      </w:r>
      <w:r/>
    </w:p>
    <w:p>
      <w:pPr>
        <w:jc w:val="both"/>
        <w:spacing w:lineRule="auto" w:line="240" w:after="0"/>
        <w:rPr>
          <w:rFonts w:ascii="Arial" w:hAnsi="Arial" w:cs="Arial"/>
          <w:b/>
          <w:sz w:val="24"/>
          <w:szCs w:val="24"/>
          <w:lang w:val="uk-UA"/>
        </w:rPr>
      </w:pPr>
      <w:r>
        <w:rPr>
          <w:rFonts w:ascii="Arial" w:hAnsi="Arial" w:cs="Arial"/>
          <w:b/>
          <w:sz w:val="24"/>
          <w:szCs w:val="24"/>
          <w:lang w:val="uk-UA"/>
        </w:rPr>
        <w:t xml:space="preserve">Роки впровадження: 2020</w:t>
      </w:r>
      <w:r>
        <w:rPr>
          <w:rFonts w:ascii="Arial" w:hAnsi="Arial" w:cs="Arial"/>
          <w:b/>
          <w:sz w:val="24"/>
          <w:szCs w:val="24"/>
          <w:lang w:val="uk-UA"/>
        </w:rPr>
        <w:t xml:space="preserve">-2030 </w:t>
      </w:r>
      <w:r>
        <w:rPr>
          <w:rFonts w:ascii="Arial" w:hAnsi="Arial" w:cs="Arial"/>
          <w:b/>
          <w:sz w:val="24"/>
          <w:szCs w:val="24"/>
          <w:lang w:val="uk-UA"/>
        </w:rPr>
        <w:t xml:space="preserve">рр.         Інвестиції: </w:t>
      </w:r>
      <w:r>
        <w:rPr>
          <w:rFonts w:ascii="Arial" w:hAnsi="Arial" w:cs="Arial"/>
          <w:b/>
          <w:sz w:val="24"/>
          <w:szCs w:val="24"/>
          <w:lang w:val="uk-UA"/>
        </w:rPr>
        <w:t xml:space="preserve"> </w:t>
      </w:r>
      <w:r>
        <w:rPr>
          <w:rFonts w:ascii="Arial" w:hAnsi="Arial" w:cs="Arial"/>
          <w:b/>
          <w:sz w:val="24"/>
          <w:szCs w:val="24"/>
          <w:lang w:val="uk-UA"/>
        </w:rPr>
        <w:t xml:space="preserve">243,465 </w:t>
      </w:r>
      <w:r>
        <w:rPr>
          <w:rFonts w:ascii="Arial" w:hAnsi="Arial" w:cs="Arial"/>
          <w:b/>
          <w:sz w:val="24"/>
          <w:szCs w:val="24"/>
          <w:lang w:val="uk-UA"/>
        </w:rPr>
        <w:t xml:space="preserve">млн</w:t>
      </w:r>
      <w:r>
        <w:rPr>
          <w:rFonts w:ascii="Arial" w:hAnsi="Arial" w:cs="Arial"/>
          <w:b/>
          <w:sz w:val="24"/>
          <w:szCs w:val="24"/>
          <w:lang w:val="uk-UA"/>
        </w:rPr>
        <w:t xml:space="preserve"> </w:t>
      </w:r>
      <w:r>
        <w:rPr>
          <w:rFonts w:ascii="Arial" w:hAnsi="Arial" w:cs="Arial"/>
          <w:b/>
          <w:sz w:val="24"/>
          <w:szCs w:val="24"/>
          <w:lang w:val="uk-UA"/>
        </w:rPr>
        <w:t xml:space="preserve">грн.</w:t>
      </w:r>
      <w:r/>
    </w:p>
    <w:p>
      <w:pPr>
        <w:jc w:val="both"/>
        <w:spacing w:lineRule="auto" w:line="240" w:after="0"/>
        <w:rPr>
          <w:rFonts w:ascii="Arial" w:hAnsi="Arial" w:cs="Arial"/>
          <w:b/>
          <w:sz w:val="24"/>
          <w:szCs w:val="24"/>
          <w:lang w:val="uk-UA"/>
        </w:rPr>
      </w:pPr>
      <w:r>
        <w:rPr>
          <w:rFonts w:ascii="Arial" w:hAnsi="Arial" w:cs="Arial"/>
          <w:b/>
          <w:sz w:val="24"/>
          <w:szCs w:val="24"/>
          <w:lang w:val="uk-UA"/>
        </w:rPr>
        <w:t xml:space="preserve">Джерела фінансування: бюджет розвитку міста (15%), інші бюджети, кошти МФО, кошти інвесторів. </w:t>
      </w:r>
      <w:r/>
    </w:p>
    <w:p>
      <w:pPr>
        <w:jc w:val="both"/>
        <w:spacing w:lineRule="auto" w:line="240" w:after="0"/>
        <w:rPr>
          <w:rFonts w:ascii="Arial" w:hAnsi="Arial" w:cs="Arial"/>
          <w:b/>
          <w:sz w:val="24"/>
          <w:szCs w:val="24"/>
          <w:lang w:val="uk-UA"/>
        </w:rPr>
      </w:pPr>
      <w:r>
        <w:rPr>
          <w:rFonts w:ascii="Arial" w:hAnsi="Arial" w:cs="Arial"/>
          <w:b/>
          <w:sz w:val="24"/>
          <w:szCs w:val="24"/>
          <w:lang w:val="uk-UA"/>
        </w:rPr>
      </w:r>
      <w:r/>
    </w:p>
    <w:tbl>
      <w:tblPr>
        <w:tblStyle w:val="521"/>
        <w:tblW w:w="15735" w:type="dxa"/>
        <w:jc w:val="center"/>
        <w:tblLayout w:type="fixed"/>
        <w:tblLook w:val="04A0" w:firstRow="1" w:lastRow="0" w:firstColumn="1" w:lastColumn="0" w:noHBand="0" w:noVBand="1"/>
      </w:tblPr>
      <w:tblGrid>
        <w:gridCol w:w="710"/>
        <w:gridCol w:w="2835"/>
        <w:gridCol w:w="3544"/>
        <w:gridCol w:w="1701"/>
        <w:gridCol w:w="992"/>
        <w:gridCol w:w="1553"/>
        <w:gridCol w:w="1140"/>
        <w:gridCol w:w="1276"/>
        <w:gridCol w:w="1134"/>
        <w:gridCol w:w="850"/>
      </w:tblGrid>
      <w:tr>
        <w:trPr>
          <w:jc w:val="center"/>
          <w:trHeight w:val="1796"/>
        </w:trPr>
        <w:tc>
          <w:tcPr>
            <w:shd w:val="clear" w:color="auto" w:fill="D9E2F3" w:themeFill="accent5" w:themeFillTint="33"/>
            <w:tcW w:w="710" w:type="dxa"/>
            <w:vAlign w:val="center"/>
            <w:textDirection w:val="lrTb"/>
            <w:noWrap w:val="false"/>
          </w:tcPr>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t xml:space="preserve">№</w:t>
            </w:r>
            <w:r/>
          </w:p>
          <w:p>
            <w:pPr>
              <w:pStyle w:val="544"/>
              <w:jc w:val="both"/>
              <w:rPr>
                <w:rFonts w:ascii="Arial" w:hAnsi="Arial" w:cs="Arial"/>
                <w:b/>
                <w:lang w:val="uk-UA"/>
              </w:rPr>
            </w:pPr>
            <w:r>
              <w:rPr>
                <w:rFonts w:ascii="Arial" w:hAnsi="Arial" w:cs="Arial"/>
                <w:b/>
                <w:lang w:val="uk-UA"/>
              </w:rPr>
              <w:t xml:space="preserve">з/п</w:t>
            </w:r>
            <w:r/>
          </w:p>
        </w:tc>
        <w:tc>
          <w:tcPr>
            <w:shd w:val="clear" w:color="auto" w:fill="D9E2F3" w:themeFill="accent5" w:themeFillTint="33"/>
            <w:tcW w:w="2835" w:type="dxa"/>
            <w:vAlign w:val="center"/>
            <w:textDirection w:val="lrTb"/>
            <w:noWrap w:val="false"/>
          </w:tcPr>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t xml:space="preserve">Назва проекту/заходу</w:t>
            </w:r>
            <w:r/>
          </w:p>
        </w:tc>
        <w:tc>
          <w:tcPr>
            <w:shd w:val="clear" w:color="auto" w:fill="D9E2F3" w:themeFill="accent5" w:themeFillTint="33"/>
            <w:tcW w:w="3544" w:type="dxa"/>
            <w:vAlign w:val="center"/>
            <w:textDirection w:val="lrTb"/>
            <w:noWrap w:val="false"/>
          </w:tcPr>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t xml:space="preserve">Зміст заходу</w:t>
            </w:r>
            <w:r/>
          </w:p>
        </w:tc>
        <w:tc>
          <w:tcPr>
            <w:shd w:val="clear" w:color="auto" w:fill="D9E2F3" w:themeFill="accent5" w:themeFillTint="33"/>
            <w:tcW w:w="1701" w:type="dxa"/>
            <w:vAlign w:val="center"/>
            <w:textDirection w:val="lrTb"/>
            <w:noWrap w:val="false"/>
          </w:tcPr>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t xml:space="preserve">Джерела фінансування</w:t>
            </w:r>
            <w:r/>
          </w:p>
        </w:tc>
        <w:tc>
          <w:tcPr>
            <w:shd w:val="clear" w:color="auto" w:fill="D9E2F3" w:themeFill="accent5" w:themeFillTint="33"/>
            <w:tcW w:w="992" w:type="dxa"/>
            <w:vAlign w:val="center"/>
            <w:textDirection w:val="lrTb"/>
            <w:noWrap w:val="false"/>
          </w:tcPr>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t xml:space="preserve">Термін реалізації</w:t>
            </w:r>
            <w:r/>
          </w:p>
          <w:p>
            <w:pPr>
              <w:pStyle w:val="544"/>
              <w:jc w:val="both"/>
              <w:rPr>
                <w:rFonts w:ascii="Arial" w:hAnsi="Arial" w:cs="Arial"/>
                <w:b/>
                <w:lang w:val="uk-UA"/>
              </w:rPr>
            </w:pPr>
            <w:r>
              <w:rPr>
                <w:rFonts w:ascii="Arial" w:hAnsi="Arial" w:cs="Arial"/>
                <w:b/>
                <w:lang w:val="uk-UA"/>
              </w:rPr>
              <w:t xml:space="preserve">(роки)</w:t>
            </w:r>
            <w:r/>
          </w:p>
        </w:tc>
        <w:tc>
          <w:tcPr>
            <w:shd w:val="clear" w:color="auto" w:fill="D9E2F3" w:themeFill="accent5" w:themeFillTint="33"/>
            <w:tcW w:w="1553" w:type="dxa"/>
            <w:vAlign w:val="center"/>
            <w:textDirection w:val="lrTb"/>
            <w:noWrap w:val="false"/>
          </w:tcPr>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t xml:space="preserve">Загальна вартість</w:t>
            </w:r>
            <w:r/>
          </w:p>
          <w:p>
            <w:pPr>
              <w:pStyle w:val="544"/>
              <w:jc w:val="both"/>
              <w:rPr>
                <w:rFonts w:ascii="Arial" w:hAnsi="Arial" w:cs="Arial"/>
                <w:b/>
                <w:lang w:val="uk-UA"/>
              </w:rPr>
            </w:pPr>
            <w:r>
              <w:rPr>
                <w:rFonts w:ascii="Arial" w:hAnsi="Arial" w:cs="Arial"/>
                <w:b/>
                <w:lang w:val="uk-UA"/>
              </w:rPr>
              <w:t xml:space="preserve">реалізації, (грн)</w:t>
            </w:r>
            <w:r/>
          </w:p>
        </w:tc>
        <w:tc>
          <w:tcPr>
            <w:shd w:val="clear" w:color="auto" w:fill="D9E2F3" w:themeFill="accent5" w:themeFillTint="33"/>
            <w:tcW w:w="1140" w:type="dxa"/>
            <w:vAlign w:val="center"/>
            <w:textDirection w:val="lrTb"/>
            <w:noWrap w:val="false"/>
          </w:tcPr>
          <w:p>
            <w:pPr>
              <w:pStyle w:val="544"/>
              <w:jc w:val="both"/>
              <w:rPr>
                <w:rFonts w:ascii="Arial" w:hAnsi="Arial" w:cs="Arial"/>
                <w:b/>
                <w:lang w:val="uk-UA"/>
              </w:rPr>
            </w:pPr>
            <w:r>
              <w:rPr>
                <w:rFonts w:ascii="Arial" w:hAnsi="Arial" w:cs="Arial"/>
                <w:b/>
                <w:lang w:val="uk-UA"/>
              </w:rPr>
              <w:t xml:space="preserve">Очікувана економія енергії,</w:t>
            </w:r>
            <w:r/>
          </w:p>
          <w:p>
            <w:pPr>
              <w:pStyle w:val="544"/>
              <w:jc w:val="both"/>
              <w:rPr>
                <w:rFonts w:ascii="Arial" w:hAnsi="Arial" w:cs="Arial"/>
                <w:b/>
                <w:lang w:val="uk-UA"/>
              </w:rPr>
            </w:pPr>
            <w:r>
              <w:rPr>
                <w:rFonts w:ascii="Arial" w:hAnsi="Arial" w:cs="Arial"/>
                <w:b/>
                <w:lang w:val="uk-UA"/>
              </w:rPr>
              <w:t xml:space="preserve">МВт*</w:t>
            </w:r>
            <w:r>
              <w:rPr>
                <w:rFonts w:ascii="Arial" w:hAnsi="Arial" w:cs="Arial"/>
                <w:b/>
                <w:lang w:val="uk-UA"/>
              </w:rPr>
              <w:t xml:space="preserve">год/рік</w:t>
            </w:r>
            <w:r/>
          </w:p>
        </w:tc>
        <w:tc>
          <w:tcPr>
            <w:shd w:val="clear" w:color="auto" w:fill="D9E2F3" w:themeFill="accent5" w:themeFillTint="33"/>
            <w:tcW w:w="1276" w:type="dxa"/>
            <w:vAlign w:val="center"/>
            <w:textDirection w:val="lrTb"/>
            <w:noWrap w:val="false"/>
          </w:tcPr>
          <w:p>
            <w:pPr>
              <w:pStyle w:val="544"/>
              <w:jc w:val="both"/>
              <w:rPr>
                <w:rFonts w:ascii="Arial" w:hAnsi="Arial" w:cs="Arial"/>
                <w:b/>
                <w:lang w:val="uk-UA"/>
              </w:rPr>
            </w:pPr>
            <w:r>
              <w:rPr>
                <w:rFonts w:ascii="Arial" w:hAnsi="Arial" w:cs="Arial"/>
                <w:b/>
                <w:lang w:val="uk-UA"/>
              </w:rPr>
              <w:t xml:space="preserve">Вироб</w:t>
            </w:r>
            <w:r>
              <w:rPr>
                <w:rFonts w:ascii="Arial" w:hAnsi="Arial" w:cs="Arial"/>
                <w:b/>
                <w:lang w:val="uk-UA"/>
              </w:rPr>
              <w:t xml:space="preserve">-во</w:t>
            </w:r>
            <w:r/>
          </w:p>
          <w:p>
            <w:pPr>
              <w:pStyle w:val="544"/>
              <w:jc w:val="both"/>
              <w:rPr>
                <w:rFonts w:ascii="Arial" w:hAnsi="Arial" w:cs="Arial"/>
                <w:b/>
                <w:lang w:val="uk-UA"/>
              </w:rPr>
            </w:pPr>
            <w:r>
              <w:rPr>
                <w:rFonts w:ascii="Arial" w:hAnsi="Arial" w:cs="Arial"/>
                <w:b/>
                <w:lang w:val="uk-UA"/>
              </w:rPr>
              <w:t xml:space="preserve">відновл</w:t>
            </w:r>
            <w:r>
              <w:rPr>
                <w:rFonts w:ascii="Arial" w:hAnsi="Arial" w:cs="Arial"/>
                <w:b/>
                <w:lang w:val="uk-UA"/>
              </w:rPr>
              <w:t xml:space="preserve">. енергії,</w:t>
            </w:r>
            <w:r/>
          </w:p>
          <w:p>
            <w:pPr>
              <w:pStyle w:val="544"/>
              <w:jc w:val="both"/>
              <w:rPr>
                <w:rFonts w:ascii="Arial" w:hAnsi="Arial" w:cs="Arial"/>
                <w:b/>
                <w:lang w:val="uk-UA"/>
              </w:rPr>
            </w:pPr>
            <w:r>
              <w:rPr>
                <w:rFonts w:ascii="Arial" w:hAnsi="Arial" w:cs="Arial"/>
                <w:b/>
                <w:lang w:val="uk-UA"/>
              </w:rPr>
              <w:t xml:space="preserve">МВт*</w:t>
            </w:r>
            <w:r>
              <w:rPr>
                <w:rFonts w:ascii="Arial" w:hAnsi="Arial" w:cs="Arial"/>
                <w:b/>
                <w:lang w:val="uk-UA"/>
              </w:rPr>
              <w:t xml:space="preserve">год/рік</w:t>
            </w:r>
            <w:r/>
          </w:p>
        </w:tc>
        <w:tc>
          <w:tcPr>
            <w:shd w:val="clear" w:color="auto" w:fill="D9E2F3" w:themeFill="accent5" w:themeFillTint="33"/>
            <w:tcW w:w="1134" w:type="dxa"/>
            <w:vAlign w:val="center"/>
            <w:textDirection w:val="lrTb"/>
            <w:noWrap w:val="false"/>
          </w:tcPr>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t xml:space="preserve">Скорочення</w:t>
            </w:r>
            <w:r/>
          </w:p>
          <w:p>
            <w:pPr>
              <w:pStyle w:val="544"/>
              <w:jc w:val="both"/>
              <w:rPr>
                <w:rFonts w:ascii="Arial" w:hAnsi="Arial" w:cs="Arial"/>
                <w:b/>
                <w:vertAlign w:val="subscript"/>
                <w:lang w:val="uk-UA"/>
              </w:rPr>
            </w:pPr>
            <w:r>
              <w:rPr>
                <w:rFonts w:ascii="Arial" w:hAnsi="Arial" w:cs="Arial"/>
                <w:b/>
                <w:lang w:val="uk-UA"/>
              </w:rPr>
              <w:t xml:space="preserve">викидів СО</w:t>
            </w:r>
            <w:r>
              <w:rPr>
                <w:rFonts w:ascii="Arial" w:hAnsi="Arial" w:cs="Arial"/>
                <w:b/>
                <w:vertAlign w:val="subscript"/>
                <w:lang w:val="uk-UA"/>
              </w:rPr>
              <w:t xml:space="preserve">2</w:t>
            </w:r>
            <w:r/>
          </w:p>
          <w:p>
            <w:pPr>
              <w:pStyle w:val="544"/>
              <w:jc w:val="both"/>
              <w:rPr>
                <w:rFonts w:ascii="Arial" w:hAnsi="Arial" w:cs="Arial"/>
                <w:b/>
                <w:lang w:val="uk-UA"/>
              </w:rPr>
            </w:pPr>
            <w:r>
              <w:rPr>
                <w:rFonts w:ascii="Arial" w:hAnsi="Arial" w:cs="Arial"/>
                <w:b/>
                <w:lang w:val="uk-UA"/>
              </w:rPr>
              <w:t xml:space="preserve">(т/рік)</w:t>
            </w:r>
            <w:r/>
          </w:p>
        </w:tc>
        <w:tc>
          <w:tcPr>
            <w:shd w:val="clear" w:color="auto" w:fill="D9E2F3" w:themeFill="accent5" w:themeFillTint="33"/>
            <w:tcW w:w="850" w:type="dxa"/>
            <w:vAlign w:val="center"/>
            <w:textDirection w:val="lrTb"/>
            <w:noWrap w:val="false"/>
          </w:tcPr>
          <w:p>
            <w:pPr>
              <w:pStyle w:val="544"/>
              <w:jc w:val="both"/>
              <w:rPr>
                <w:rFonts w:ascii="Arial" w:hAnsi="Arial" w:cs="Arial"/>
                <w:b/>
                <w:lang w:val="uk-UA"/>
              </w:rPr>
            </w:pPr>
            <w:r>
              <w:rPr>
                <w:rFonts w:ascii="Arial" w:hAnsi="Arial" w:cs="Arial"/>
                <w:b/>
                <w:lang w:val="uk-UA"/>
              </w:rPr>
            </w:r>
            <w:r/>
          </w:p>
          <w:p>
            <w:pPr>
              <w:pStyle w:val="544"/>
              <w:jc w:val="both"/>
              <w:rPr>
                <w:rFonts w:ascii="Arial" w:hAnsi="Arial" w:cs="Arial"/>
                <w:b/>
                <w:lang w:val="uk-UA"/>
              </w:rPr>
            </w:pPr>
            <w:r>
              <w:rPr>
                <w:rFonts w:ascii="Arial" w:hAnsi="Arial" w:cs="Arial"/>
                <w:b/>
                <w:lang w:val="uk-UA"/>
              </w:rPr>
              <w:t xml:space="preserve">% до базового року</w:t>
            </w:r>
            <w:r/>
          </w:p>
        </w:tc>
      </w:tr>
      <w:tr>
        <w:trPr>
          <w:jc w:val="center"/>
        </w:trPr>
        <w:tc>
          <w:tcPr>
            <w:gridSpan w:val="3"/>
            <w:shd w:val="clear" w:color="auto" w:fill="92D050"/>
            <w:tcW w:w="7089"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1. Муніципальні будівлі, обладнання/об'єкти</w:t>
            </w:r>
            <w:r/>
          </w:p>
        </w:tc>
        <w:tc>
          <w:tcPr>
            <w:shd w:val="clear" w:color="auto" w:fill="92D050"/>
            <w:tcW w:w="1701"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992"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1553"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19 713</w:t>
            </w:r>
            <w:r>
              <w:rPr>
                <w:rFonts w:ascii="Arial" w:hAnsi="Arial" w:cs="Arial"/>
                <w:b/>
                <w:i/>
                <w:sz w:val="24"/>
                <w:szCs w:val="24"/>
                <w:lang w:val="uk-UA"/>
              </w:rPr>
              <w:t xml:space="preserve"> 000</w:t>
            </w:r>
            <w:r/>
          </w:p>
        </w:tc>
        <w:tc>
          <w:tcPr>
            <w:shd w:val="clear" w:color="auto" w:fill="92D050"/>
            <w:tcW w:w="114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7 659</w:t>
            </w:r>
            <w:r/>
          </w:p>
        </w:tc>
        <w:tc>
          <w:tcPr>
            <w:shd w:val="clear" w:color="auto" w:fill="92D050"/>
            <w:tcW w:w="1276"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356</w:t>
            </w:r>
            <w:r/>
          </w:p>
        </w:tc>
        <w:tc>
          <w:tcPr>
            <w:shd w:val="clear" w:color="auto" w:fill="92D050"/>
            <w:tcW w:w="1134"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2 393</w:t>
            </w:r>
            <w:r/>
          </w:p>
        </w:tc>
        <w:tc>
          <w:tcPr>
            <w:shd w:val="clear" w:color="auto" w:fill="92D050"/>
            <w:tcW w:w="85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6,7</w:t>
            </w:r>
            <w:r/>
          </w:p>
        </w:tc>
      </w:tr>
      <w:tr>
        <w:trPr>
          <w:jc w:val="center"/>
          <w:trHeight w:val="1450"/>
        </w:trPr>
        <w:tc>
          <w:tcPr>
            <w:shd w:val="clear" w:color="auto" w:fill="F2F2F2" w:themeFill="background1" w:themeFillShade="F2"/>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1.1</w:t>
            </w:r>
            <w:r/>
          </w:p>
        </w:tc>
        <w:tc>
          <w:tcPr>
            <w:shd w:val="clear" w:color="auto" w:fill="F2F2F2" w:themeFill="background1" w:themeFillShade="F2"/>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Запровадження системи енергоменеджменту для покращення енергетичної політики </w:t>
            </w:r>
            <w:r>
              <w:rPr>
                <w:rFonts w:ascii="Arial" w:hAnsi="Arial" w:cs="Arial"/>
                <w:b/>
                <w:sz w:val="24"/>
                <w:szCs w:val="24"/>
                <w:lang w:val="uk-UA"/>
              </w:rPr>
              <w:t xml:space="preserve">громади</w:t>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Удосконалення системи енергоменеджменту, встановлення лімітів споживання ПЕР, закупівля програмного забезпечення, навчання персоналу</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2020</w:t>
            </w:r>
            <w:r>
              <w:rPr>
                <w:rFonts w:ascii="Arial" w:hAnsi="Arial" w:cs="Arial"/>
                <w:b/>
                <w:sz w:val="24"/>
                <w:szCs w:val="24"/>
                <w:lang w:val="uk-UA"/>
              </w:rPr>
              <w:t xml:space="preserve"> – 2030</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1 92</w:t>
            </w:r>
            <w:r>
              <w:rPr>
                <w:rFonts w:ascii="Arial" w:hAnsi="Arial" w:cs="Arial"/>
                <w:b/>
                <w:sz w:val="24"/>
                <w:szCs w:val="24"/>
                <w:lang w:val="uk-UA"/>
              </w:rPr>
              <w:t xml:space="preserve">0</w:t>
            </w:r>
            <w:r>
              <w:rPr>
                <w:rFonts w:ascii="Arial" w:hAnsi="Arial" w:cs="Arial"/>
                <w:b/>
                <w:sz w:val="24"/>
                <w:szCs w:val="24"/>
                <w:lang w:val="uk-UA"/>
              </w:rPr>
              <w:t xml:space="preserve">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1405</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359</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w:t>
            </w:r>
            <w:r/>
          </w:p>
        </w:tc>
      </w:tr>
      <w:tr>
        <w:trPr>
          <w:jc w:val="center"/>
        </w:trPr>
        <w:tc>
          <w:tcPr>
            <w:shd w:val="clear" w:color="auto" w:fill="D9D9D9" w:themeFill="background1" w:themeFillShade="D9"/>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1.2</w:t>
            </w:r>
            <w:r/>
          </w:p>
        </w:tc>
        <w:tc>
          <w:tcPr>
            <w:shd w:val="clear" w:color="auto" w:fill="D9D9D9" w:themeFill="background1" w:themeFillShade="D9"/>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Запровадження системи енергомоніторингу в муніципальних будівлях</w:t>
            </w:r>
            <w:r/>
          </w:p>
        </w:tc>
        <w:tc>
          <w:tcPr>
            <w:shd w:val="clear" w:color="auto" w:fill="D9D9D9" w:themeFill="background1" w:themeFillShade="D9"/>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Удосконалення ІСЕ, щотижневий облік муніципальних будівель, мотивац</w:t>
            </w:r>
            <w:r>
              <w:rPr>
                <w:rFonts w:ascii="Arial" w:hAnsi="Arial" w:cs="Arial"/>
                <w:b/>
                <w:sz w:val="24"/>
                <w:szCs w:val="24"/>
                <w:lang w:val="uk-UA"/>
              </w:rPr>
              <w:t xml:space="preserve">ійні заходи серед хауз-майстрів</w:t>
            </w:r>
            <w:r/>
          </w:p>
        </w:tc>
        <w:tc>
          <w:tcPr>
            <w:shd w:val="clear" w:color="auto" w:fill="D9D9D9" w:themeFill="background1" w:themeFillShade="D9"/>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w:t>
            </w:r>
            <w:r/>
          </w:p>
        </w:tc>
        <w:tc>
          <w:tcPr>
            <w:shd w:val="clear" w:color="auto" w:fill="D9D9D9" w:themeFill="background1" w:themeFillShade="D9"/>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w:t>
            </w:r>
            <w:r>
              <w:rPr>
                <w:rFonts w:ascii="Arial" w:hAnsi="Arial" w:cs="Arial"/>
                <w:b/>
                <w:sz w:val="24"/>
                <w:szCs w:val="24"/>
                <w:lang w:val="uk-UA"/>
              </w:rPr>
              <w:t xml:space="preserve"> – 2030</w:t>
            </w:r>
            <w:r/>
          </w:p>
        </w:tc>
        <w:tc>
          <w:tcPr>
            <w:shd w:val="clear" w:color="auto" w:fill="D9D9D9" w:themeFill="background1" w:themeFillShade="D9"/>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148</w:t>
            </w:r>
            <w:r>
              <w:rPr>
                <w:rFonts w:ascii="Arial" w:hAnsi="Arial" w:cs="Arial"/>
                <w:b/>
                <w:sz w:val="24"/>
                <w:szCs w:val="24"/>
                <w:lang w:val="uk-UA"/>
              </w:rPr>
              <w:t xml:space="preserve"> 000</w:t>
            </w:r>
            <w:r/>
          </w:p>
        </w:tc>
        <w:tc>
          <w:tcPr>
            <w:shd w:val="clear" w:color="auto" w:fill="D9D9D9" w:themeFill="background1" w:themeFillShade="D9"/>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1263</w:t>
            </w:r>
            <w:r/>
          </w:p>
        </w:tc>
        <w:tc>
          <w:tcPr>
            <w:shd w:val="clear" w:color="auto" w:fill="D9D9D9" w:themeFill="background1" w:themeFillShade="D9"/>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D9D9D9" w:themeFill="background1" w:themeFillShade="D9"/>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323</w:t>
            </w:r>
            <w:r/>
          </w:p>
        </w:tc>
        <w:tc>
          <w:tcPr>
            <w:shd w:val="clear" w:color="auto" w:fill="D9D9D9" w:themeFill="background1" w:themeFillShade="D9"/>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0,9</w:t>
            </w:r>
            <w:r/>
          </w:p>
        </w:tc>
      </w:tr>
      <w:tr>
        <w:trPr>
          <w:jc w:val="center"/>
        </w:trPr>
        <w:tc>
          <w:tcPr>
            <w:shd w:val="clear" w:color="auto" w:fill="F2F2F2" w:themeFill="background1" w:themeFillShade="F2"/>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1.3</w:t>
            </w:r>
            <w:r/>
          </w:p>
        </w:tc>
        <w:tc>
          <w:tcPr>
            <w:shd w:val="clear" w:color="auto" w:fill="F2F2F2" w:themeFill="background1" w:themeFillShade="F2"/>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Впровадження енергозберігаючого </w:t>
            </w:r>
            <w:r>
              <w:rPr>
                <w:rFonts w:ascii="Arial" w:hAnsi="Arial" w:cs="Arial"/>
                <w:b/>
                <w:sz w:val="24"/>
                <w:szCs w:val="24"/>
                <w:lang w:val="uk-UA"/>
              </w:rPr>
              <w:t xml:space="preserve">освітлення в бюджетних закладах</w:t>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Заміна ламп на енергоощадні</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w:t>
            </w:r>
            <w:r>
              <w:rPr>
                <w:rFonts w:ascii="Arial" w:hAnsi="Arial" w:cs="Arial"/>
                <w:b/>
                <w:sz w:val="24"/>
                <w:szCs w:val="24"/>
                <w:lang w:val="uk-UA"/>
              </w:rPr>
              <w:t xml:space="preserve"> – 202</w:t>
            </w:r>
            <w:r>
              <w:rPr>
                <w:rFonts w:ascii="Arial" w:hAnsi="Arial" w:cs="Arial"/>
                <w:b/>
                <w:sz w:val="24"/>
                <w:szCs w:val="24"/>
                <w:lang w:val="uk-UA"/>
              </w:rPr>
              <w:t xml:space="preserve">5</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675</w:t>
            </w:r>
            <w:r>
              <w:rPr>
                <w:rFonts w:ascii="Arial" w:hAnsi="Arial" w:cs="Arial"/>
                <w:b/>
                <w:sz w:val="24"/>
                <w:szCs w:val="24"/>
                <w:lang w:val="uk-UA"/>
              </w:rPr>
              <w:t xml:space="preserve">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180</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99</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0,3</w:t>
            </w:r>
            <w:r/>
          </w:p>
        </w:tc>
      </w:tr>
      <w:tr>
        <w:trPr>
          <w:jc w:val="center"/>
        </w:trPr>
        <w:tc>
          <w:tcPr>
            <w:shd w:val="clear" w:color="auto" w:fill="D9D9D9" w:themeFill="background1" w:themeFillShade="D9"/>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1.4</w:t>
            </w:r>
            <w:r/>
          </w:p>
        </w:tc>
        <w:tc>
          <w:tcPr>
            <w:shd w:val="clear" w:color="auto" w:fill="D9D9D9" w:themeFill="background1" w:themeFillShade="D9"/>
            <w:tcW w:w="2835" w:type="dxa"/>
            <w:vAlign w:val="center"/>
            <w:textDirection w:val="lrTb"/>
            <w:noWrap w:val="false"/>
          </w:tcPr>
          <w:p>
            <w:pPr>
              <w:pStyle w:val="544"/>
              <w:jc w:val="both"/>
              <w:rPr>
                <w:rFonts w:ascii="Arial" w:hAnsi="Arial" w:cs="Arial"/>
                <w:b/>
                <w:lang w:val="uk-UA"/>
              </w:rPr>
            </w:pPr>
            <w:r>
              <w:rPr>
                <w:rFonts w:ascii="Arial" w:hAnsi="Arial" w:cs="Arial"/>
                <w:b/>
                <w:lang w:val="uk-UA"/>
              </w:rPr>
              <w:t xml:space="preserve">Термомодернізація</w:t>
            </w:r>
            <w:r>
              <w:rPr>
                <w:rFonts w:ascii="Arial" w:hAnsi="Arial" w:cs="Arial"/>
                <w:b/>
                <w:lang w:val="uk-UA"/>
              </w:rPr>
              <w:t xml:space="preserve">  муніципальних</w:t>
            </w:r>
            <w:r/>
          </w:p>
          <w:p>
            <w:pPr>
              <w:pStyle w:val="544"/>
              <w:jc w:val="both"/>
              <w:rPr>
                <w:rFonts w:ascii="Arial" w:hAnsi="Arial" w:cs="Arial"/>
                <w:lang w:val="uk-UA"/>
              </w:rPr>
            </w:pPr>
            <w:r>
              <w:rPr>
                <w:rFonts w:ascii="Arial" w:hAnsi="Arial" w:cs="Arial"/>
                <w:b/>
                <w:lang w:val="uk-UA"/>
              </w:rPr>
              <w:t xml:space="preserve">будівель</w:t>
            </w:r>
            <w:r>
              <w:rPr>
                <w:rFonts w:ascii="Arial" w:hAnsi="Arial" w:cs="Arial"/>
                <w:lang w:val="uk-UA"/>
              </w:rPr>
              <w:t xml:space="preserve"> </w:t>
            </w:r>
            <w:r/>
          </w:p>
        </w:tc>
        <w:tc>
          <w:tcPr>
            <w:shd w:val="clear" w:color="auto" w:fill="D9D9D9" w:themeFill="background1" w:themeFillShade="D9"/>
            <w:tcW w:w="3544" w:type="dxa"/>
            <w:vAlign w:val="center"/>
            <w:textDirection w:val="lrTb"/>
            <w:noWrap w:val="false"/>
          </w:tcPr>
          <w:p>
            <w:pPr>
              <w:pStyle w:val="544"/>
              <w:jc w:val="both"/>
              <w:rPr>
                <w:rFonts w:ascii="Arial" w:hAnsi="Arial" w:cs="Arial"/>
                <w:b/>
                <w:lang w:val="uk-UA"/>
              </w:rPr>
            </w:pPr>
            <w:r>
              <w:rPr>
                <w:rFonts w:ascii="Arial" w:hAnsi="Arial" w:cs="Arial"/>
                <w:b/>
                <w:lang w:val="uk-UA"/>
              </w:rPr>
              <w:t xml:space="preserve">Встановлення, балансувальної апаратури та відновлення теплоізоляції трубопроводів, промивка системи опалення, заміна вікон та зовнішніх дверей на металопластикові, утеплення фасаду, даху, цоколю, тощо.</w:t>
            </w:r>
            <w:r/>
          </w:p>
          <w:p>
            <w:pPr>
              <w:pStyle w:val="544"/>
              <w:jc w:val="both"/>
              <w:rPr>
                <w:rFonts w:ascii="Arial" w:hAnsi="Arial" w:cs="Arial"/>
                <w:b/>
                <w:lang w:val="uk-UA"/>
              </w:rPr>
            </w:pPr>
            <w:r>
              <w:rPr>
                <w:rFonts w:ascii="Arial" w:hAnsi="Arial" w:cs="Arial"/>
                <w:b/>
                <w:lang w:val="uk-UA"/>
              </w:rPr>
              <w:t xml:space="preserve">Провести сертифікацію будівель, які фінансуються за рахунок місцевого бюджету за стандартом </w:t>
            </w:r>
            <w:r>
              <w:rPr>
                <w:rFonts w:ascii="Arial" w:hAnsi="Arial" w:cs="Arial"/>
                <w:b/>
                <w:lang w:val="uk-UA"/>
              </w:rPr>
              <w:t xml:space="preserve">Passivhausinstituts</w:t>
            </w:r>
            <w:r>
              <w:rPr>
                <w:rFonts w:ascii="Arial" w:hAnsi="Arial" w:cs="Arial"/>
                <w:b/>
                <w:lang w:val="uk-UA"/>
              </w:rPr>
              <w:t xml:space="preserve"> </w:t>
            </w:r>
            <w:r>
              <w:rPr>
                <w:rFonts w:ascii="Arial" w:hAnsi="Arial" w:cs="Arial"/>
                <w:b/>
                <w:lang w:val="uk-UA"/>
              </w:rPr>
              <w:t xml:space="preserve">Darmstadt</w:t>
            </w:r>
            <w:r>
              <w:rPr>
                <w:rFonts w:ascii="Arial" w:hAnsi="Arial" w:cs="Arial"/>
                <w:b/>
                <w:lang w:val="uk-UA"/>
              </w:rPr>
              <w:t xml:space="preserve"> (PHI), Європейського Інституту Пасивного Будинку. Заходи, розроблені і запропоновані Інститутом Пасивного Будинку (PHI), повинні лягати в основу ТЕО і бізнес-планів для інвесторів з </w:t>
            </w:r>
            <w:r>
              <w:rPr>
                <w:rFonts w:ascii="Arial" w:hAnsi="Arial" w:cs="Arial"/>
                <w:b/>
                <w:lang w:val="uk-UA"/>
              </w:rPr>
              <w:t xml:space="preserve">Passivhausinstituts</w:t>
            </w:r>
            <w:r>
              <w:rPr>
                <w:rFonts w:ascii="Arial" w:hAnsi="Arial" w:cs="Arial"/>
                <w:b/>
                <w:lang w:val="uk-UA"/>
              </w:rPr>
              <w:t xml:space="preserve"> </w:t>
            </w:r>
            <w:r>
              <w:rPr>
                <w:rFonts w:ascii="Arial" w:hAnsi="Arial" w:cs="Arial"/>
                <w:b/>
                <w:lang w:val="uk-UA"/>
              </w:rPr>
              <w:t xml:space="preserve">Darmstadt</w:t>
            </w:r>
            <w:r>
              <w:rPr>
                <w:rFonts w:ascii="Arial" w:hAnsi="Arial" w:cs="Arial"/>
                <w:b/>
                <w:lang w:val="uk-UA"/>
              </w:rPr>
              <w:t xml:space="preserve"> </w:t>
            </w:r>
            <w:r>
              <w:rPr>
                <w:rFonts w:ascii="Arial" w:hAnsi="Arial" w:cs="Arial"/>
                <w:b/>
                <w:lang w:val="uk-UA"/>
              </w:rPr>
              <w:t xml:space="preserve">термомодернізації</w:t>
            </w:r>
            <w:r>
              <w:rPr>
                <w:rFonts w:ascii="Arial" w:hAnsi="Arial" w:cs="Arial"/>
                <w:b/>
                <w:lang w:val="uk-UA"/>
              </w:rPr>
              <w:t xml:space="preserve"> громадських будівель Менської громади. Сертифікація будівель, за провідними міжнародними стандартами, сприятиме залученню інвесторів і </w:t>
            </w:r>
            <w:r>
              <w:rPr>
                <w:rFonts w:ascii="Arial" w:hAnsi="Arial" w:cs="Arial"/>
                <w:b/>
                <w:lang w:val="uk-UA"/>
              </w:rPr>
              <w:t xml:space="preserve">отриманню експортно технічного кредитування та грантів від міжнародних фінансових організацій.</w:t>
            </w:r>
            <w:r/>
          </w:p>
        </w:tc>
        <w:tc>
          <w:tcPr>
            <w:shd w:val="clear" w:color="auto" w:fill="D9D9D9" w:themeFill="background1" w:themeFillShade="D9"/>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 інші бюджети, кошти МФО</w:t>
            </w:r>
            <w:r/>
          </w:p>
        </w:tc>
        <w:tc>
          <w:tcPr>
            <w:shd w:val="clear" w:color="auto" w:fill="D9D9D9" w:themeFill="background1" w:themeFillShade="D9"/>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2020 – 2025</w:t>
            </w:r>
            <w:r/>
          </w:p>
        </w:tc>
        <w:tc>
          <w:tcPr>
            <w:shd w:val="clear" w:color="auto" w:fill="D9D9D9" w:themeFill="background1" w:themeFillShade="D9"/>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12 830</w:t>
            </w:r>
            <w:r>
              <w:rPr>
                <w:rFonts w:ascii="Arial" w:hAnsi="Arial" w:cs="Arial"/>
                <w:b/>
                <w:sz w:val="24"/>
                <w:szCs w:val="24"/>
                <w:lang w:val="uk-UA"/>
              </w:rPr>
              <w:t xml:space="preserve"> 000</w:t>
            </w:r>
            <w:r/>
          </w:p>
        </w:tc>
        <w:tc>
          <w:tcPr>
            <w:shd w:val="clear" w:color="auto" w:fill="D9D9D9" w:themeFill="background1" w:themeFillShade="D9"/>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3850</w:t>
            </w:r>
            <w:r/>
          </w:p>
        </w:tc>
        <w:tc>
          <w:tcPr>
            <w:shd w:val="clear" w:color="auto" w:fill="D9D9D9" w:themeFill="background1" w:themeFillShade="D9"/>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D9D9D9" w:themeFill="background1" w:themeFillShade="D9"/>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1400</w:t>
            </w:r>
            <w:r/>
          </w:p>
        </w:tc>
        <w:tc>
          <w:tcPr>
            <w:shd w:val="clear" w:color="auto" w:fill="D9D9D9" w:themeFill="background1" w:themeFillShade="D9"/>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3,9</w:t>
            </w:r>
            <w:r/>
          </w:p>
        </w:tc>
      </w:tr>
      <w:tr>
        <w:trPr>
          <w:jc w:val="center"/>
        </w:trPr>
        <w:tc>
          <w:tcPr>
            <w:shd w:val="clear" w:color="auto" w:fill="F2F2F2" w:themeFill="background1" w:themeFillShade="F2"/>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1.5</w:t>
            </w:r>
            <w:r/>
          </w:p>
        </w:tc>
        <w:tc>
          <w:tcPr>
            <w:shd w:val="clear" w:color="auto" w:fill="F2F2F2" w:themeFill="background1" w:themeFillShade="F2"/>
            <w:tcW w:w="2835" w:type="dxa"/>
            <w:vAlign w:val="center"/>
            <w:textDirection w:val="lrTb"/>
            <w:noWrap w:val="false"/>
          </w:tcPr>
          <w:p>
            <w:pPr>
              <w:jc w:val="both"/>
              <w:spacing w:lineRule="auto" w:line="240" w:after="0"/>
              <w:rPr>
                <w:rFonts w:ascii="Arial" w:hAnsi="Arial" w:cs="Arial" w:eastAsia="Calibri"/>
                <w:b/>
                <w:sz w:val="24"/>
                <w:szCs w:val="24"/>
                <w:lang w:val="uk-UA"/>
              </w:rPr>
            </w:pPr>
            <w:r>
              <w:rPr>
                <w:rFonts w:ascii="Arial" w:hAnsi="Arial" w:cs="Arial" w:eastAsia="Calibri"/>
                <w:b/>
                <w:sz w:val="24"/>
                <w:szCs w:val="24"/>
                <w:lang w:val="uk-UA"/>
              </w:rPr>
              <w:t xml:space="preserve">Термомодернізація</w:t>
            </w:r>
            <w:r>
              <w:rPr>
                <w:rFonts w:ascii="Arial" w:hAnsi="Arial" w:cs="Arial" w:eastAsia="Calibri"/>
                <w:b/>
                <w:sz w:val="24"/>
                <w:szCs w:val="24"/>
                <w:lang w:val="uk-UA"/>
              </w:rPr>
              <w:t xml:space="preserve">  муніципальних</w:t>
            </w:r>
            <w:r/>
          </w:p>
          <w:p>
            <w:pPr>
              <w:jc w:val="both"/>
              <w:rPr>
                <w:rFonts w:ascii="Arial" w:hAnsi="Arial" w:cs="Arial"/>
                <w:b/>
                <w:sz w:val="24"/>
                <w:szCs w:val="24"/>
                <w:lang w:val="uk-UA"/>
              </w:rPr>
            </w:pPr>
            <w:r>
              <w:rPr>
                <w:rFonts w:ascii="Arial" w:hAnsi="Arial" w:cs="Arial" w:eastAsia="Calibri"/>
                <w:b/>
                <w:sz w:val="24"/>
                <w:szCs w:val="24"/>
                <w:lang w:val="uk-UA"/>
              </w:rPr>
              <w:t xml:space="preserve">будівель</w:t>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eastAsia="Calibri"/>
                <w:b/>
                <w:sz w:val="24"/>
                <w:szCs w:val="24"/>
                <w:lang w:val="uk-UA"/>
              </w:rPr>
              <w:t xml:space="preserve">Встановлення ІТП в муніципальних будівлях</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eastAsia="Calibri"/>
                <w:b/>
                <w:sz w:val="24"/>
                <w:szCs w:val="24"/>
                <w:lang w:val="uk-UA"/>
              </w:rPr>
              <w:t xml:space="preserve">Міський бюджет, ЕСКО механізм</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2020 - 2025</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840</w:t>
            </w:r>
            <w:r>
              <w:rPr>
                <w:rFonts w:ascii="Arial" w:hAnsi="Arial" w:cs="Arial"/>
                <w:b/>
                <w:sz w:val="24"/>
                <w:szCs w:val="24"/>
                <w:lang w:val="uk-UA"/>
              </w:rPr>
              <w:t xml:space="preserve">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405</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100</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0,3</w:t>
            </w:r>
            <w:r/>
          </w:p>
        </w:tc>
      </w:tr>
      <w:tr>
        <w:trPr>
          <w:jc w:val="center"/>
        </w:trPr>
        <w:tc>
          <w:tcPr>
            <w:shd w:val="clear" w:color="auto" w:fill="D9D9D9" w:themeFill="background1" w:themeFillShade="D9"/>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1.6</w:t>
            </w:r>
            <w:r/>
          </w:p>
        </w:tc>
        <w:tc>
          <w:tcPr>
            <w:shd w:val="clear" w:color="auto" w:fill="D9D9D9" w:themeFill="background1" w:themeFillShade="D9"/>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Впровадження новітніх технологій та модернізація систем газопостачання муніципальних будівель (пілотний проект)</w:t>
            </w:r>
            <w:r/>
          </w:p>
        </w:tc>
        <w:tc>
          <w:tcPr>
            <w:shd w:val="clear" w:color="auto" w:fill="D9D9D9" w:themeFill="background1" w:themeFillShade="D9"/>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Реконструкція систем газопостачання муніципальних будівель з використанням ЕСКО механізмів (приватні кошти)</w:t>
            </w:r>
            <w:r/>
          </w:p>
        </w:tc>
        <w:tc>
          <w:tcPr>
            <w:shd w:val="clear" w:color="auto" w:fill="D9D9D9" w:themeFill="background1" w:themeFillShade="D9"/>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ЕСКО механізм</w:t>
            </w:r>
            <w:r/>
          </w:p>
        </w:tc>
        <w:tc>
          <w:tcPr>
            <w:shd w:val="clear" w:color="auto" w:fill="D9D9D9" w:themeFill="background1" w:themeFillShade="D9"/>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2020 - 2023</w:t>
            </w:r>
            <w:r/>
          </w:p>
        </w:tc>
        <w:tc>
          <w:tcPr>
            <w:shd w:val="clear" w:color="auto" w:fill="D9D9D9" w:themeFill="background1" w:themeFillShade="D9"/>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w:t>
            </w:r>
            <w:r>
              <w:rPr>
                <w:rFonts w:ascii="Arial" w:hAnsi="Arial" w:cs="Arial"/>
                <w:b/>
                <w:sz w:val="24"/>
                <w:szCs w:val="24"/>
                <w:lang w:val="uk-UA"/>
              </w:rPr>
              <w:t xml:space="preserve"> 000 000</w:t>
            </w:r>
            <w:r/>
          </w:p>
        </w:tc>
        <w:tc>
          <w:tcPr>
            <w:shd w:val="clear" w:color="auto" w:fill="D9D9D9" w:themeFill="background1" w:themeFillShade="D9"/>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200</w:t>
            </w:r>
            <w:r/>
          </w:p>
        </w:tc>
        <w:tc>
          <w:tcPr>
            <w:shd w:val="clear" w:color="auto" w:fill="D9D9D9" w:themeFill="background1" w:themeFillShade="D9"/>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D9D9D9" w:themeFill="background1" w:themeFillShade="D9"/>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40</w:t>
            </w:r>
            <w:r/>
          </w:p>
        </w:tc>
        <w:tc>
          <w:tcPr>
            <w:shd w:val="clear" w:color="auto" w:fill="D9D9D9" w:themeFill="background1" w:themeFillShade="D9"/>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w:t>
            </w:r>
            <w:r>
              <w:rPr>
                <w:rFonts w:ascii="Arial" w:hAnsi="Arial" w:cs="Arial"/>
                <w:b/>
                <w:sz w:val="24"/>
                <w:szCs w:val="24"/>
                <w:lang w:val="uk-UA"/>
              </w:rPr>
              <w:t xml:space="preserve">,1</w:t>
            </w:r>
            <w:r/>
          </w:p>
        </w:tc>
      </w:tr>
      <w:tr>
        <w:trPr>
          <w:jc w:val="center"/>
        </w:trPr>
        <w:tc>
          <w:tcPr>
            <w:shd w:val="clear" w:color="auto" w:fill="F2F2F2" w:themeFill="background1" w:themeFillShade="F2"/>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1.7</w:t>
            </w:r>
            <w:r/>
          </w:p>
        </w:tc>
        <w:tc>
          <w:tcPr>
            <w:shd w:val="clear" w:color="auto" w:fill="F2F2F2" w:themeFill="background1" w:themeFillShade="F2"/>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Переведення закладів бюджетної сфери на опалення альтернативними видами палива</w:t>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Реконструкція систем опалення будівель із встановленням модульних установок на біопаливі</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 – 2023</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300</w:t>
            </w:r>
            <w:r>
              <w:rPr>
                <w:rFonts w:ascii="Arial" w:hAnsi="Arial" w:cs="Arial"/>
                <w:b/>
                <w:sz w:val="24"/>
                <w:szCs w:val="24"/>
                <w:lang w:val="uk-UA"/>
              </w:rPr>
              <w:t xml:space="preserve">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356</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356</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72</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0,2</w:t>
            </w:r>
            <w:r/>
          </w:p>
        </w:tc>
      </w:tr>
      <w:tr>
        <w:trPr>
          <w:jc w:val="center"/>
        </w:trPr>
        <w:tc>
          <w:tcPr>
            <w:gridSpan w:val="3"/>
            <w:shd w:val="clear" w:color="auto" w:fill="92D050"/>
            <w:tcW w:w="7089"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2. Житлові будівлі</w:t>
            </w:r>
            <w:r/>
          </w:p>
        </w:tc>
        <w:tc>
          <w:tcPr>
            <w:shd w:val="clear" w:color="auto" w:fill="92D050"/>
            <w:tcW w:w="1701"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992"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1553"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190 741</w:t>
            </w:r>
            <w:r>
              <w:rPr>
                <w:rFonts w:ascii="Arial" w:hAnsi="Arial" w:cs="Arial"/>
                <w:b/>
                <w:i/>
                <w:sz w:val="24"/>
                <w:szCs w:val="24"/>
                <w:lang w:val="uk-UA"/>
              </w:rPr>
              <w:t xml:space="preserve"> 000</w:t>
            </w:r>
            <w:r/>
          </w:p>
        </w:tc>
        <w:tc>
          <w:tcPr>
            <w:shd w:val="clear" w:color="auto" w:fill="92D050"/>
            <w:tcW w:w="114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15 533</w:t>
            </w:r>
            <w:r/>
          </w:p>
        </w:tc>
        <w:tc>
          <w:tcPr>
            <w:shd w:val="clear" w:color="auto" w:fill="92D050"/>
            <w:tcW w:w="1276"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6 396</w:t>
            </w:r>
            <w:r/>
          </w:p>
        </w:tc>
        <w:tc>
          <w:tcPr>
            <w:shd w:val="clear" w:color="auto" w:fill="92D050"/>
            <w:tcW w:w="1134"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4 716</w:t>
            </w:r>
            <w:r/>
          </w:p>
        </w:tc>
        <w:tc>
          <w:tcPr>
            <w:shd w:val="clear" w:color="auto" w:fill="92D050"/>
            <w:tcW w:w="85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13,1</w:t>
            </w:r>
            <w:r/>
          </w:p>
        </w:tc>
      </w:tr>
      <w:tr>
        <w:trPr>
          <w:jc w:val="center"/>
        </w:trPr>
        <w:tc>
          <w:tcPr>
            <w:shd w:val="clear" w:color="auto" w:fill="D9D9D9" w:themeFill="background1" w:themeFillShade="D9"/>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2.1</w:t>
            </w:r>
            <w:r/>
          </w:p>
        </w:tc>
        <w:tc>
          <w:tcPr>
            <w:shd w:val="clear" w:color="auto" w:fill="D9D9D9" w:themeFill="background1" w:themeFillShade="D9"/>
            <w:tcW w:w="2835" w:type="dxa"/>
            <w:vAlign w:val="center"/>
            <w:textDirection w:val="lrTb"/>
            <w:noWrap w:val="false"/>
          </w:tcPr>
          <w:p>
            <w:pPr>
              <w:pStyle w:val="544"/>
              <w:jc w:val="both"/>
              <w:rPr>
                <w:rFonts w:ascii="Arial" w:hAnsi="Arial" w:cs="Arial"/>
                <w:b/>
                <w:lang w:val="uk-UA"/>
              </w:rPr>
            </w:pPr>
            <w:r>
              <w:rPr>
                <w:rFonts w:ascii="Arial" w:hAnsi="Arial" w:cs="Arial"/>
                <w:b/>
                <w:lang w:val="uk-UA"/>
              </w:rPr>
              <w:t xml:space="preserve">Впровадження енергозберігаючих</w:t>
            </w:r>
            <w:r/>
          </w:p>
          <w:p>
            <w:pPr>
              <w:pStyle w:val="544"/>
              <w:jc w:val="both"/>
              <w:rPr>
                <w:rFonts w:ascii="Arial" w:hAnsi="Arial" w:cs="Arial"/>
                <w:lang w:val="uk-UA"/>
              </w:rPr>
            </w:pPr>
            <w:r>
              <w:rPr>
                <w:rFonts w:ascii="Arial" w:hAnsi="Arial" w:cs="Arial"/>
                <w:b/>
                <w:lang w:val="uk-UA"/>
              </w:rPr>
              <w:t xml:space="preserve">заходів в приватних помешканнях</w:t>
            </w:r>
            <w:r/>
          </w:p>
        </w:tc>
        <w:tc>
          <w:tcPr>
            <w:shd w:val="clear" w:color="auto" w:fill="D9D9D9" w:themeFill="background1" w:themeFillShade="D9"/>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Заміна ламп розжарювання на енергозберігаючі на сходових клітинах та у власних приміщеннях мешканців будинків і квартир</w:t>
            </w:r>
            <w:r/>
          </w:p>
        </w:tc>
        <w:tc>
          <w:tcPr>
            <w:shd w:val="clear" w:color="auto" w:fill="D9D9D9" w:themeFill="background1" w:themeFillShade="D9"/>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Приватні кошти</w:t>
            </w:r>
            <w:r/>
          </w:p>
        </w:tc>
        <w:tc>
          <w:tcPr>
            <w:shd w:val="clear" w:color="auto" w:fill="D9D9D9" w:themeFill="background1" w:themeFillShade="D9"/>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2020</w:t>
            </w:r>
            <w:r>
              <w:rPr>
                <w:rFonts w:ascii="Arial" w:hAnsi="Arial" w:cs="Arial"/>
                <w:b/>
                <w:sz w:val="24"/>
                <w:szCs w:val="24"/>
                <w:lang w:val="uk-UA"/>
              </w:rPr>
              <w:t xml:space="preserve"> – 2030</w:t>
            </w:r>
            <w:r/>
          </w:p>
        </w:tc>
        <w:tc>
          <w:tcPr>
            <w:shd w:val="clear" w:color="auto" w:fill="D9D9D9" w:themeFill="background1" w:themeFillShade="D9"/>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10 021</w:t>
            </w:r>
            <w:r>
              <w:rPr>
                <w:rFonts w:ascii="Arial" w:hAnsi="Arial" w:cs="Arial"/>
                <w:b/>
                <w:sz w:val="24"/>
                <w:szCs w:val="24"/>
                <w:lang w:val="uk-UA"/>
              </w:rPr>
              <w:t xml:space="preserve"> 000</w:t>
            </w:r>
            <w:r/>
          </w:p>
        </w:tc>
        <w:tc>
          <w:tcPr>
            <w:shd w:val="clear" w:color="auto" w:fill="D9D9D9" w:themeFill="background1" w:themeFillShade="D9"/>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551</w:t>
            </w:r>
            <w:r/>
          </w:p>
        </w:tc>
        <w:tc>
          <w:tcPr>
            <w:shd w:val="clear" w:color="auto" w:fill="D9D9D9" w:themeFill="background1" w:themeFillShade="D9"/>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D9D9D9" w:themeFill="background1" w:themeFillShade="D9"/>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302</w:t>
            </w:r>
            <w:r/>
          </w:p>
        </w:tc>
        <w:tc>
          <w:tcPr>
            <w:shd w:val="clear" w:color="auto" w:fill="D9D9D9" w:themeFill="background1" w:themeFillShade="D9"/>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0,8</w:t>
            </w:r>
            <w:r/>
          </w:p>
        </w:tc>
      </w:tr>
      <w:tr>
        <w:trPr>
          <w:jc w:val="center"/>
        </w:trPr>
        <w:tc>
          <w:tcPr>
            <w:shd w:val="clear" w:color="auto" w:fill="F2F2F2" w:themeFill="background1" w:themeFillShade="F2"/>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2.2</w:t>
            </w:r>
            <w:r/>
          </w:p>
        </w:tc>
        <w:tc>
          <w:tcPr>
            <w:shd w:val="clear" w:color="auto" w:fill="F2F2F2" w:themeFill="background1" w:themeFillShade="F2"/>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Комплексна </w:t>
            </w:r>
            <w:r>
              <w:rPr>
                <w:rFonts w:ascii="Arial" w:hAnsi="Arial" w:cs="Arial"/>
                <w:b/>
                <w:sz w:val="24"/>
                <w:szCs w:val="24"/>
                <w:lang w:val="uk-UA"/>
              </w:rPr>
              <w:t xml:space="preserve">термомодернізація</w:t>
            </w:r>
            <w:r>
              <w:rPr>
                <w:rFonts w:ascii="Arial" w:hAnsi="Arial" w:cs="Arial"/>
                <w:b/>
                <w:sz w:val="24"/>
                <w:szCs w:val="24"/>
                <w:lang w:val="uk-UA"/>
              </w:rPr>
              <w:t xml:space="preserve"> житлових будівель (</w:t>
            </w:r>
            <w:r>
              <w:rPr>
                <w:rFonts w:ascii="Arial" w:hAnsi="Arial" w:cs="Arial"/>
                <w:b/>
                <w:sz w:val="24"/>
                <w:szCs w:val="24"/>
                <w:lang w:val="uk-UA"/>
              </w:rPr>
              <w:t xml:space="preserve">в тому числі </w:t>
            </w:r>
            <w:r>
              <w:rPr>
                <w:rFonts w:ascii="Arial" w:hAnsi="Arial" w:cs="Arial"/>
                <w:b/>
                <w:sz w:val="24"/>
                <w:szCs w:val="24"/>
                <w:lang w:val="uk-UA"/>
              </w:rPr>
              <w:t xml:space="preserve">ОСББ)</w:t>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Утеплення фасаду, даху, цоколю, заміна в</w:t>
            </w:r>
            <w:r>
              <w:rPr>
                <w:rFonts w:ascii="Arial" w:hAnsi="Arial" w:cs="Arial"/>
                <w:b/>
                <w:sz w:val="24"/>
                <w:szCs w:val="24"/>
                <w:lang w:val="uk-UA"/>
              </w:rPr>
              <w:t xml:space="preserve">ікон та дверей, встановлення ІТП, промивка, гідравлічне балансування системи, заміна вікон на сходових клітинах, відновлення теплової ізоляції трубопроводів, ремонт покрівель, заходи з санації інженерних мереж (приватні кошти і кошти Програми «Теплий дім»)</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Приватні кошти , міський бюджет</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2020</w:t>
            </w:r>
            <w:r>
              <w:rPr>
                <w:rFonts w:ascii="Arial" w:hAnsi="Arial" w:cs="Arial"/>
                <w:b/>
                <w:sz w:val="24"/>
                <w:szCs w:val="24"/>
                <w:lang w:val="uk-UA"/>
              </w:rPr>
              <w:t xml:space="preserve"> – 2030</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117 600</w:t>
            </w:r>
            <w:r>
              <w:rPr>
                <w:rFonts w:ascii="Arial" w:hAnsi="Arial" w:cs="Arial"/>
                <w:b/>
                <w:sz w:val="24"/>
                <w:szCs w:val="24"/>
                <w:lang w:val="uk-UA"/>
              </w:rPr>
              <w:t xml:space="preserve">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8586</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3122</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8,7</w:t>
            </w:r>
            <w:r/>
          </w:p>
        </w:tc>
      </w:tr>
      <w:tr>
        <w:trPr>
          <w:jc w:val="center"/>
        </w:trPr>
        <w:tc>
          <w:tcPr>
            <w:shd w:val="clear" w:color="auto" w:fill="D9D9D9" w:themeFill="background1" w:themeFillShade="D9"/>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2.3</w:t>
            </w:r>
            <w:r/>
          </w:p>
        </w:tc>
        <w:tc>
          <w:tcPr>
            <w:shd w:val="clear" w:color="auto" w:fill="D9D9D9" w:themeFill="background1" w:themeFillShade="D9"/>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Заміщення використання природнього газу в житлових будівлях альтернативними видами палива</w:t>
            </w:r>
            <w:r/>
          </w:p>
        </w:tc>
        <w:tc>
          <w:tcPr>
            <w:shd w:val="clear" w:color="auto" w:fill="D9D9D9" w:themeFill="background1" w:themeFillShade="D9"/>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Заміна газових котлів в житлових будинках на твердопаливні котли (приватні кошти)</w:t>
            </w:r>
            <w:r/>
          </w:p>
        </w:tc>
        <w:tc>
          <w:tcPr>
            <w:shd w:val="clear" w:color="auto" w:fill="D9D9D9" w:themeFill="background1" w:themeFillShade="D9"/>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Приватні кошти</w:t>
            </w:r>
            <w:r/>
          </w:p>
        </w:tc>
        <w:tc>
          <w:tcPr>
            <w:shd w:val="clear" w:color="auto" w:fill="D9D9D9" w:themeFill="background1" w:themeFillShade="D9"/>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w:t>
            </w:r>
            <w:r>
              <w:rPr>
                <w:rFonts w:ascii="Arial" w:hAnsi="Arial" w:cs="Arial"/>
                <w:b/>
                <w:sz w:val="24"/>
                <w:szCs w:val="24"/>
                <w:lang w:val="uk-UA"/>
              </w:rPr>
              <w:t xml:space="preserve"> – 2030</w:t>
            </w:r>
            <w:r/>
          </w:p>
        </w:tc>
        <w:tc>
          <w:tcPr>
            <w:shd w:val="clear" w:color="auto" w:fill="D9D9D9" w:themeFill="background1" w:themeFillShade="D9"/>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63 120 </w:t>
            </w:r>
            <w:r>
              <w:rPr>
                <w:rFonts w:ascii="Arial" w:hAnsi="Arial" w:cs="Arial"/>
                <w:b/>
                <w:sz w:val="24"/>
                <w:szCs w:val="24"/>
                <w:lang w:val="uk-UA"/>
              </w:rPr>
              <w:t xml:space="preserve">000</w:t>
            </w:r>
            <w:r/>
          </w:p>
        </w:tc>
        <w:tc>
          <w:tcPr>
            <w:shd w:val="clear" w:color="auto" w:fill="D9D9D9" w:themeFill="background1" w:themeFillShade="D9"/>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6396</w:t>
            </w:r>
            <w:r/>
          </w:p>
        </w:tc>
        <w:tc>
          <w:tcPr>
            <w:shd w:val="clear" w:color="auto" w:fill="D9D9D9" w:themeFill="background1" w:themeFillShade="D9"/>
            <w:tcW w:w="1276" w:type="dxa"/>
            <w:vAlign w:val="center"/>
            <w:textDirection w:val="lrTb"/>
            <w:noWrap w:val="false"/>
          </w:tcPr>
          <w:p>
            <w:pPr>
              <w:ind w:right="-108"/>
              <w:jc w:val="both"/>
              <w:rPr>
                <w:rFonts w:ascii="Arial" w:hAnsi="Arial" w:cs="Arial"/>
                <w:b/>
                <w:sz w:val="24"/>
                <w:szCs w:val="24"/>
                <w:lang w:val="uk-UA"/>
              </w:rPr>
            </w:pPr>
            <w:r>
              <w:rPr>
                <w:rFonts w:ascii="Arial" w:hAnsi="Arial" w:cs="Arial"/>
                <w:b/>
                <w:sz w:val="24"/>
                <w:szCs w:val="24"/>
                <w:lang w:val="uk-UA"/>
              </w:rPr>
              <w:t xml:space="preserve">6396</w:t>
            </w:r>
            <w:r/>
          </w:p>
        </w:tc>
        <w:tc>
          <w:tcPr>
            <w:shd w:val="clear" w:color="auto" w:fill="D9D9D9" w:themeFill="background1" w:themeFillShade="D9"/>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w:t>
            </w:r>
            <w:r>
              <w:rPr>
                <w:rFonts w:ascii="Arial" w:hAnsi="Arial" w:cs="Arial"/>
                <w:b/>
                <w:sz w:val="24"/>
                <w:szCs w:val="24"/>
                <w:lang w:val="uk-UA"/>
              </w:rPr>
              <w:t xml:space="preserve">292</w:t>
            </w:r>
            <w:r/>
          </w:p>
        </w:tc>
        <w:tc>
          <w:tcPr>
            <w:shd w:val="clear" w:color="auto" w:fill="D9D9D9" w:themeFill="background1" w:themeFillShade="D9"/>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3,6</w:t>
            </w:r>
            <w:r/>
          </w:p>
        </w:tc>
      </w:tr>
      <w:tr>
        <w:trPr>
          <w:jc w:val="center"/>
        </w:trPr>
        <w:tc>
          <w:tcPr>
            <w:gridSpan w:val="3"/>
            <w:shd w:val="clear" w:color="auto" w:fill="92D050"/>
            <w:tcW w:w="7089"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3. Муніципальне громадське освітлення</w:t>
            </w:r>
            <w:r/>
          </w:p>
        </w:tc>
        <w:tc>
          <w:tcPr>
            <w:shd w:val="clear" w:color="auto" w:fill="92D050"/>
            <w:tcW w:w="1701"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992"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1553"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1 7</w:t>
            </w:r>
            <w:r>
              <w:rPr>
                <w:rFonts w:ascii="Arial" w:hAnsi="Arial" w:cs="Arial"/>
                <w:b/>
                <w:i/>
                <w:sz w:val="24"/>
                <w:szCs w:val="24"/>
                <w:lang w:val="uk-UA"/>
              </w:rPr>
              <w:t xml:space="preserve">00</w:t>
            </w:r>
            <w:r>
              <w:rPr>
                <w:rFonts w:ascii="Arial" w:hAnsi="Arial" w:cs="Arial"/>
                <w:b/>
                <w:i/>
                <w:sz w:val="24"/>
                <w:szCs w:val="24"/>
                <w:lang w:val="uk-UA"/>
              </w:rPr>
              <w:t xml:space="preserve"> 000</w:t>
            </w:r>
            <w:r/>
          </w:p>
        </w:tc>
        <w:tc>
          <w:tcPr>
            <w:shd w:val="clear" w:color="auto" w:fill="92D050"/>
            <w:tcW w:w="114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69</w:t>
            </w:r>
            <w:r/>
          </w:p>
        </w:tc>
        <w:tc>
          <w:tcPr>
            <w:shd w:val="clear" w:color="auto" w:fill="92D050"/>
            <w:tcW w:w="1276" w:type="dxa"/>
            <w:vAlign w:val="center"/>
            <w:textDirection w:val="lrTb"/>
            <w:noWrap w:val="false"/>
          </w:tcPr>
          <w:p>
            <w:pPr>
              <w:ind w:right="-108"/>
              <w:jc w:val="both"/>
              <w:rPr>
                <w:rFonts w:ascii="Arial" w:hAnsi="Arial" w:cs="Arial"/>
                <w:b/>
                <w:i/>
                <w:sz w:val="24"/>
                <w:szCs w:val="24"/>
                <w:lang w:val="uk-UA"/>
              </w:rPr>
            </w:pPr>
            <w:r>
              <w:rPr>
                <w:rFonts w:ascii="Arial" w:hAnsi="Arial" w:cs="Arial"/>
                <w:b/>
                <w:i/>
                <w:sz w:val="24"/>
                <w:szCs w:val="24"/>
                <w:lang w:val="uk-UA"/>
              </w:rPr>
              <w:t xml:space="preserve">0,0</w:t>
            </w:r>
            <w:r/>
          </w:p>
        </w:tc>
        <w:tc>
          <w:tcPr>
            <w:shd w:val="clear" w:color="auto" w:fill="92D050"/>
            <w:tcW w:w="1134"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38</w:t>
            </w:r>
            <w:r/>
          </w:p>
        </w:tc>
        <w:tc>
          <w:tcPr>
            <w:shd w:val="clear" w:color="auto" w:fill="92D050"/>
            <w:tcW w:w="85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0,1</w:t>
            </w:r>
            <w:r/>
          </w:p>
        </w:tc>
      </w:tr>
      <w:tr>
        <w:trPr>
          <w:jc w:val="center"/>
        </w:trPr>
        <w:tc>
          <w:tcPr>
            <w:shd w:val="clear" w:color="auto" w:fill="F2F2F2" w:themeFill="background1" w:themeFillShade="F2"/>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3.1</w:t>
            </w:r>
            <w:r/>
          </w:p>
        </w:tc>
        <w:tc>
          <w:tcPr>
            <w:shd w:val="clear" w:color="auto" w:fill="F2F2F2" w:themeFill="background1" w:themeFillShade="F2"/>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Капітальний ремонт мереж вуличного освітлення</w:t>
            </w:r>
            <w:r>
              <w:rPr>
                <w:rFonts w:ascii="Arial" w:hAnsi="Arial" w:cs="Arial"/>
                <w:b/>
                <w:sz w:val="24"/>
                <w:szCs w:val="24"/>
                <w:lang w:val="uk-UA"/>
              </w:rPr>
              <w:t xml:space="preserve"> </w:t>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Технічне переоснащення світильників на основі LED технологій та впровадження загальноміської системи управління освітленням вулиць, коштом (NEFCO)</w:t>
            </w:r>
            <w:r/>
          </w:p>
          <w:p>
            <w:pPr>
              <w:jc w:val="both"/>
              <w:rPr>
                <w:rFonts w:ascii="Arial" w:hAnsi="Arial" w:cs="Arial"/>
                <w:b/>
                <w:sz w:val="24"/>
                <w:szCs w:val="24"/>
                <w:lang w:val="uk-UA"/>
              </w:rPr>
            </w:pPr>
            <w:r>
              <w:rPr>
                <w:rFonts w:ascii="Arial" w:hAnsi="Arial" w:cs="Arial"/>
                <w:b/>
                <w:sz w:val="24"/>
                <w:szCs w:val="24"/>
                <w:lang w:val="uk-UA"/>
              </w:rPr>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Пільгове кредитування, міський бюджет</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2020 – 2025</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1 7</w:t>
            </w:r>
            <w:r>
              <w:rPr>
                <w:rFonts w:ascii="Arial" w:hAnsi="Arial" w:cs="Arial"/>
                <w:b/>
                <w:sz w:val="24"/>
                <w:szCs w:val="24"/>
                <w:lang w:val="uk-UA"/>
              </w:rPr>
              <w:t xml:space="preserve">00</w:t>
            </w:r>
            <w:r>
              <w:rPr>
                <w:rFonts w:ascii="Arial" w:hAnsi="Arial" w:cs="Arial"/>
                <w:b/>
                <w:sz w:val="24"/>
                <w:szCs w:val="24"/>
                <w:lang w:val="uk-UA"/>
              </w:rPr>
              <w:t xml:space="preserve">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69</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38</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0,1</w:t>
            </w:r>
            <w:r/>
          </w:p>
        </w:tc>
      </w:tr>
      <w:tr>
        <w:trPr>
          <w:jc w:val="center"/>
        </w:trPr>
        <w:tc>
          <w:tcPr>
            <w:gridSpan w:val="3"/>
            <w:shd w:val="clear" w:color="auto" w:fill="92D050"/>
            <w:tcW w:w="7089"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4.Транспорт</w:t>
            </w:r>
            <w:r/>
          </w:p>
        </w:tc>
        <w:tc>
          <w:tcPr>
            <w:shd w:val="clear" w:color="auto" w:fill="92D050"/>
            <w:tcW w:w="1701"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992"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1553"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11 210</w:t>
            </w:r>
            <w:r>
              <w:rPr>
                <w:rFonts w:ascii="Arial" w:hAnsi="Arial" w:cs="Arial"/>
                <w:b/>
                <w:i/>
                <w:sz w:val="24"/>
                <w:szCs w:val="24"/>
                <w:lang w:val="uk-UA"/>
              </w:rPr>
              <w:t xml:space="preserve"> </w:t>
            </w:r>
            <w:r>
              <w:rPr>
                <w:rFonts w:ascii="Arial" w:hAnsi="Arial" w:cs="Arial"/>
                <w:b/>
                <w:i/>
                <w:sz w:val="24"/>
                <w:szCs w:val="24"/>
                <w:lang w:val="uk-UA"/>
              </w:rPr>
              <w:t xml:space="preserve">000</w:t>
            </w:r>
            <w:r/>
          </w:p>
        </w:tc>
        <w:tc>
          <w:tcPr>
            <w:shd w:val="clear" w:color="auto" w:fill="92D050"/>
            <w:tcW w:w="114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3 178</w:t>
            </w:r>
            <w:r/>
          </w:p>
        </w:tc>
        <w:tc>
          <w:tcPr>
            <w:shd w:val="clear" w:color="auto" w:fill="92D050"/>
            <w:tcW w:w="1276"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275</w:t>
            </w:r>
            <w:r/>
          </w:p>
        </w:tc>
        <w:tc>
          <w:tcPr>
            <w:shd w:val="clear" w:color="auto" w:fill="92D050"/>
            <w:tcW w:w="1134"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1074</w:t>
            </w:r>
            <w:r/>
          </w:p>
        </w:tc>
        <w:tc>
          <w:tcPr>
            <w:shd w:val="clear" w:color="auto" w:fill="92D050"/>
            <w:tcW w:w="85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3</w:t>
            </w:r>
            <w:r/>
          </w:p>
        </w:tc>
      </w:tr>
      <w:tr>
        <w:trPr>
          <w:jc w:val="center"/>
          <w:trHeight w:val="1860"/>
        </w:trPr>
        <w:tc>
          <w:tcPr>
            <w:shd w:val="clear" w:color="auto" w:fill="D9D9D9" w:themeFill="background1" w:themeFillShade="D9"/>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4.1</w:t>
            </w:r>
            <w:r/>
          </w:p>
          <w:p>
            <w:pPr>
              <w:jc w:val="both"/>
              <w:rPr>
                <w:rFonts w:ascii="Arial" w:hAnsi="Arial" w:cs="Arial"/>
                <w:b/>
                <w:sz w:val="24"/>
                <w:szCs w:val="24"/>
                <w:lang w:val="uk-UA"/>
              </w:rPr>
            </w:pPr>
            <w:r>
              <w:rPr>
                <w:rFonts w:ascii="Arial" w:hAnsi="Arial" w:cs="Arial"/>
                <w:b/>
                <w:sz w:val="24"/>
                <w:szCs w:val="24"/>
                <w:lang w:val="uk-UA"/>
              </w:rPr>
            </w:r>
            <w:r/>
          </w:p>
        </w:tc>
        <w:tc>
          <w:tcPr>
            <w:shd w:val="clear" w:color="auto" w:fill="D9D9D9" w:themeFill="background1" w:themeFillShade="D9"/>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Переведення громадського і муніципального транспорту на електроенергію</w:t>
            </w:r>
            <w:r/>
          </w:p>
          <w:p>
            <w:pPr>
              <w:jc w:val="both"/>
              <w:rPr>
                <w:rFonts w:ascii="Arial" w:hAnsi="Arial" w:cs="Arial"/>
                <w:b/>
                <w:sz w:val="24"/>
                <w:szCs w:val="24"/>
                <w:lang w:val="uk-UA"/>
              </w:rPr>
            </w:pPr>
            <w:r>
              <w:rPr>
                <w:rFonts w:ascii="Arial" w:hAnsi="Arial" w:cs="Arial"/>
                <w:b/>
                <w:sz w:val="24"/>
                <w:szCs w:val="24"/>
                <w:lang w:val="uk-UA"/>
              </w:rPr>
            </w:r>
            <w:r/>
          </w:p>
        </w:tc>
        <w:tc>
          <w:tcPr>
            <w:shd w:val="clear" w:color="auto" w:fill="D9D9D9" w:themeFill="background1" w:themeFillShade="D9"/>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Збільшення кількості маршруті</w:t>
            </w:r>
            <w:r>
              <w:rPr>
                <w:rFonts w:ascii="Arial" w:hAnsi="Arial" w:cs="Arial"/>
                <w:b/>
                <w:sz w:val="24"/>
                <w:szCs w:val="24"/>
                <w:lang w:val="uk-UA"/>
              </w:rPr>
              <w:t xml:space="preserve">в, </w:t>
            </w:r>
            <w:r>
              <w:rPr>
                <w:rFonts w:ascii="Arial" w:hAnsi="Arial" w:cs="Arial"/>
                <w:b/>
                <w:sz w:val="24"/>
                <w:szCs w:val="24"/>
                <w:lang w:val="uk-UA"/>
              </w:rPr>
              <w:t xml:space="preserve">будівництво </w:t>
            </w:r>
            <w:r>
              <w:rPr>
                <w:rFonts w:ascii="Arial" w:hAnsi="Arial" w:cs="Arial"/>
                <w:b/>
                <w:sz w:val="24"/>
                <w:szCs w:val="24"/>
                <w:lang w:val="uk-UA"/>
              </w:rPr>
              <w:t xml:space="preserve">електро</w:t>
            </w:r>
            <w:r>
              <w:rPr>
                <w:rFonts w:ascii="Arial" w:hAnsi="Arial" w:cs="Arial"/>
                <w:b/>
                <w:sz w:val="24"/>
                <w:szCs w:val="24"/>
                <w:lang w:val="uk-UA"/>
              </w:rPr>
              <w:t xml:space="preserve"> </w:t>
            </w:r>
            <w:r>
              <w:rPr>
                <w:rFonts w:ascii="Arial" w:hAnsi="Arial" w:cs="Arial"/>
                <w:b/>
                <w:sz w:val="24"/>
                <w:szCs w:val="24"/>
                <w:lang w:val="uk-UA"/>
              </w:rPr>
              <w:t xml:space="preserve">заправочних</w:t>
            </w:r>
            <w:r>
              <w:rPr>
                <w:rFonts w:ascii="Arial" w:hAnsi="Arial" w:cs="Arial"/>
                <w:b/>
                <w:sz w:val="24"/>
                <w:szCs w:val="24"/>
                <w:lang w:val="uk-UA"/>
              </w:rPr>
              <w:t xml:space="preserve"> станцій на </w:t>
            </w:r>
            <w:r>
              <w:rPr>
                <w:rFonts w:ascii="Arial" w:hAnsi="Arial" w:cs="Arial"/>
                <w:b/>
                <w:sz w:val="24"/>
                <w:szCs w:val="24"/>
                <w:lang w:val="uk-UA"/>
              </w:rPr>
              <w:t xml:space="preserve">геліосистемах</w:t>
            </w:r>
            <w:r>
              <w:rPr>
                <w:rFonts w:ascii="Arial" w:hAnsi="Arial" w:cs="Arial"/>
                <w:b/>
                <w:sz w:val="24"/>
                <w:szCs w:val="24"/>
                <w:lang w:val="uk-UA"/>
              </w:rPr>
              <w:t xml:space="preserve">, часткове переведення муніципального</w:t>
            </w:r>
            <w:r>
              <w:rPr>
                <w:rFonts w:ascii="Arial" w:hAnsi="Arial" w:cs="Arial"/>
                <w:b/>
                <w:sz w:val="24"/>
                <w:szCs w:val="24"/>
                <w:lang w:val="uk-UA"/>
              </w:rPr>
              <w:t xml:space="preserve"> та пасажирського</w:t>
            </w:r>
            <w:r>
              <w:rPr>
                <w:rFonts w:ascii="Arial" w:hAnsi="Arial" w:cs="Arial"/>
                <w:b/>
                <w:sz w:val="24"/>
                <w:szCs w:val="24"/>
                <w:lang w:val="uk-UA"/>
              </w:rPr>
              <w:t xml:space="preserve"> транспорту на електроенергію</w:t>
            </w:r>
            <w:r/>
          </w:p>
        </w:tc>
        <w:tc>
          <w:tcPr>
            <w:shd w:val="clear" w:color="auto" w:fill="D9D9D9" w:themeFill="background1" w:themeFillShade="D9"/>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 приватні кошти</w:t>
            </w:r>
            <w:r/>
          </w:p>
        </w:tc>
        <w:tc>
          <w:tcPr>
            <w:shd w:val="clear" w:color="auto" w:fill="D9D9D9" w:themeFill="background1" w:themeFillShade="D9"/>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pStyle w:val="544"/>
              <w:jc w:val="both"/>
              <w:rPr>
                <w:rFonts w:ascii="Arial" w:hAnsi="Arial" w:cs="Arial"/>
                <w:b/>
                <w:lang w:val="uk-UA"/>
              </w:rPr>
            </w:pPr>
            <w:r>
              <w:rPr>
                <w:rFonts w:ascii="Arial" w:hAnsi="Arial" w:cs="Arial"/>
                <w:b/>
                <w:lang w:val="uk-UA"/>
              </w:rPr>
              <w:t xml:space="preserve">2020</w:t>
            </w:r>
            <w:r>
              <w:rPr>
                <w:rFonts w:ascii="Arial" w:hAnsi="Arial" w:cs="Arial"/>
                <w:b/>
                <w:lang w:val="uk-UA"/>
              </w:rPr>
              <w:t xml:space="preserve"> –</w:t>
            </w:r>
            <w:r/>
          </w:p>
          <w:p>
            <w:pPr>
              <w:pStyle w:val="544"/>
              <w:jc w:val="both"/>
              <w:rPr>
                <w:rFonts w:ascii="Arial" w:hAnsi="Arial" w:cs="Arial"/>
                <w:lang w:val="uk-UA"/>
              </w:rPr>
            </w:pPr>
            <w:r>
              <w:rPr>
                <w:rFonts w:ascii="Arial" w:hAnsi="Arial" w:cs="Arial"/>
                <w:b/>
                <w:lang w:val="uk-UA"/>
              </w:rPr>
              <w:t xml:space="preserve">2030</w:t>
            </w:r>
            <w:r/>
          </w:p>
        </w:tc>
        <w:tc>
          <w:tcPr>
            <w:shd w:val="clear" w:color="auto" w:fill="D9D9D9" w:themeFill="background1" w:themeFillShade="D9"/>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7 860</w:t>
            </w:r>
            <w:r>
              <w:rPr>
                <w:rFonts w:ascii="Arial" w:hAnsi="Arial" w:cs="Arial"/>
                <w:b/>
                <w:sz w:val="24"/>
                <w:szCs w:val="24"/>
                <w:lang w:val="uk-UA"/>
              </w:rPr>
              <w:t xml:space="preserve"> 000</w:t>
            </w:r>
            <w:r/>
          </w:p>
        </w:tc>
        <w:tc>
          <w:tcPr>
            <w:shd w:val="clear" w:color="auto" w:fill="D9D9D9" w:themeFill="background1" w:themeFillShade="D9"/>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915</w:t>
            </w:r>
            <w:r/>
          </w:p>
        </w:tc>
        <w:tc>
          <w:tcPr>
            <w:shd w:val="clear" w:color="auto" w:fill="D9D9D9" w:themeFill="background1" w:themeFillShade="D9"/>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275</w:t>
            </w:r>
            <w:r/>
          </w:p>
        </w:tc>
        <w:tc>
          <w:tcPr>
            <w:shd w:val="clear" w:color="auto" w:fill="D9D9D9" w:themeFill="background1" w:themeFillShade="D9"/>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5</w:t>
            </w:r>
            <w:r>
              <w:rPr>
                <w:rFonts w:ascii="Arial" w:hAnsi="Arial" w:cs="Arial"/>
                <w:b/>
                <w:sz w:val="24"/>
                <w:szCs w:val="24"/>
                <w:lang w:val="uk-UA"/>
              </w:rPr>
              <w:t xml:space="preserve">02</w:t>
            </w:r>
            <w:r/>
          </w:p>
        </w:tc>
        <w:tc>
          <w:tcPr>
            <w:shd w:val="clear" w:color="auto" w:fill="D9D9D9" w:themeFill="background1" w:themeFillShade="D9"/>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1,4</w:t>
            </w:r>
            <w:r/>
          </w:p>
        </w:tc>
      </w:tr>
      <w:tr>
        <w:trPr>
          <w:jc w:val="center"/>
          <w:trHeight w:val="432"/>
        </w:trPr>
        <w:tc>
          <w:tcPr>
            <w:shd w:val="clear" w:color="auto" w:fill="F2F2F2" w:themeFill="background1" w:themeFillShade="F2"/>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4.2</w:t>
            </w:r>
            <w:r/>
          </w:p>
        </w:tc>
        <w:tc>
          <w:tcPr>
            <w:shd w:val="clear" w:color="auto" w:fill="F2F2F2" w:themeFill="background1" w:themeFillShade="F2"/>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Впровадження програми «Безпечна громада</w:t>
            </w:r>
            <w:r>
              <w:rPr>
                <w:rFonts w:ascii="Arial" w:hAnsi="Arial" w:cs="Arial"/>
                <w:b/>
                <w:sz w:val="24"/>
                <w:szCs w:val="24"/>
                <w:lang w:val="uk-UA"/>
              </w:rPr>
              <w:t xml:space="preserve">»</w:t>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Впровадження системи глобального </w:t>
            </w:r>
            <w:r>
              <w:rPr>
                <w:rFonts w:ascii="Arial" w:hAnsi="Arial" w:cs="Arial"/>
                <w:b/>
                <w:sz w:val="24"/>
                <w:szCs w:val="24"/>
                <w:lang w:val="uk-UA"/>
              </w:rPr>
              <w:t xml:space="preserve">відеомоніторингу</w:t>
            </w:r>
            <w:r>
              <w:rPr>
                <w:rFonts w:ascii="Arial" w:hAnsi="Arial" w:cs="Arial"/>
                <w:b/>
                <w:sz w:val="24"/>
                <w:szCs w:val="24"/>
                <w:lang w:val="uk-UA"/>
              </w:rPr>
              <w:t xml:space="preserve">, зон платного паркування та автоматизованої системи управління транспортом (АСУТ)</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 приватні кошти</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w:t>
            </w:r>
            <w:r>
              <w:rPr>
                <w:rFonts w:ascii="Arial" w:hAnsi="Arial" w:cs="Arial"/>
                <w:b/>
                <w:sz w:val="24"/>
                <w:szCs w:val="24"/>
                <w:lang w:val="uk-UA"/>
              </w:rPr>
              <w:t xml:space="preserve"> - 2030</w:t>
            </w:r>
            <w:r/>
          </w:p>
        </w:tc>
        <w:tc>
          <w:tcPr>
            <w:shd w:val="clear" w:color="auto" w:fill="F2F2F2" w:themeFill="background1" w:themeFillShade="F2"/>
            <w:tcW w:w="1553" w:type="dxa"/>
            <w:vAlign w:val="center"/>
            <w:textDirection w:val="lrTb"/>
            <w:noWrap w:val="false"/>
          </w:tcPr>
          <w:p>
            <w:pPr>
              <w:jc w:val="both"/>
              <w:rPr>
                <w:rFonts w:ascii="Arial" w:hAnsi="Arial" w:cs="Arial"/>
                <w:b/>
                <w:color w:val="FF0000"/>
                <w:sz w:val="24"/>
                <w:szCs w:val="24"/>
                <w:lang w:val="uk-UA"/>
              </w:rPr>
            </w:pPr>
            <w:r>
              <w:rPr>
                <w:rFonts w:ascii="Arial" w:hAnsi="Arial" w:cs="Arial"/>
                <w:b/>
                <w:color w:val="FF0000"/>
                <w:sz w:val="24"/>
                <w:szCs w:val="24"/>
                <w:lang w:val="uk-UA"/>
              </w:rPr>
            </w:r>
            <w:r/>
          </w:p>
          <w:p>
            <w:pPr>
              <w:jc w:val="both"/>
              <w:rPr>
                <w:rFonts w:ascii="Arial" w:hAnsi="Arial" w:cs="Arial"/>
                <w:b/>
                <w:color w:val="000000"/>
                <w:sz w:val="24"/>
                <w:szCs w:val="24"/>
                <w:lang w:val="uk-UA"/>
              </w:rPr>
            </w:pPr>
            <w:r>
              <w:rPr>
                <w:rFonts w:ascii="Arial" w:hAnsi="Arial" w:cs="Arial"/>
                <w:b/>
                <w:color w:val="000000" w:themeColor="text1"/>
                <w:sz w:val="24"/>
                <w:szCs w:val="24"/>
                <w:lang w:val="uk-UA"/>
              </w:rPr>
              <w:t xml:space="preserve">2 500</w:t>
            </w:r>
            <w:r>
              <w:rPr>
                <w:rFonts w:ascii="Arial" w:hAnsi="Arial" w:cs="Arial"/>
                <w:b/>
                <w:color w:val="000000" w:themeColor="text1"/>
                <w:sz w:val="24"/>
                <w:szCs w:val="24"/>
                <w:lang w:val="uk-UA"/>
              </w:rPr>
              <w:t xml:space="preserve">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1686</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color w:val="000000"/>
                <w:sz w:val="24"/>
                <w:szCs w:val="24"/>
                <w:lang w:val="uk-UA"/>
              </w:rPr>
            </w:pPr>
            <w:r>
              <w:rPr>
                <w:rFonts w:ascii="Arial" w:hAnsi="Arial" w:cs="Arial"/>
                <w:b/>
                <w:color w:val="000000" w:themeColor="text1"/>
                <w:sz w:val="24"/>
                <w:szCs w:val="24"/>
                <w:lang w:val="uk-UA"/>
              </w:rPr>
              <w:t xml:space="preserve">0,0</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431</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1,2</w:t>
            </w:r>
            <w:r/>
          </w:p>
        </w:tc>
      </w:tr>
      <w:tr>
        <w:trPr>
          <w:jc w:val="center"/>
          <w:trHeight w:val="432"/>
        </w:trPr>
        <w:tc>
          <w:tcPr>
            <w:shd w:val="clear" w:color="auto" w:fill="D9D9D9" w:themeFill="background1" w:themeFillShade="D9"/>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4.3</w:t>
            </w:r>
            <w:r/>
          </w:p>
        </w:tc>
        <w:tc>
          <w:tcPr>
            <w:shd w:val="clear" w:color="auto" w:fill="D9D9D9" w:themeFill="background1" w:themeFillShade="D9"/>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Використання велосипедного транспорту</w:t>
            </w:r>
            <w:r/>
          </w:p>
        </w:tc>
        <w:tc>
          <w:tcPr>
            <w:shd w:val="clear" w:color="auto" w:fill="D9D9D9" w:themeFill="background1" w:themeFillShade="D9"/>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Розробка, </w:t>
            </w:r>
            <w:r>
              <w:rPr>
                <w:rFonts w:ascii="Arial" w:hAnsi="Arial" w:cs="Arial"/>
                <w:b/>
                <w:sz w:val="24"/>
                <w:szCs w:val="24"/>
                <w:lang w:val="uk-UA"/>
              </w:rPr>
              <w:t xml:space="preserve">знакування</w:t>
            </w:r>
            <w:r>
              <w:rPr>
                <w:rFonts w:ascii="Arial" w:hAnsi="Arial" w:cs="Arial"/>
                <w:b/>
                <w:sz w:val="24"/>
                <w:szCs w:val="24"/>
                <w:lang w:val="uk-UA"/>
              </w:rPr>
              <w:t xml:space="preserve">, облаштування велосипедних маршрутів, встановлення вказівних знаків, виготовлення і встановлення інформаційних щитів про туристичні маршрути, виготовлення вело-стоянок, </w:t>
            </w:r>
            <w:r>
              <w:rPr>
                <w:rFonts w:ascii="Arial" w:hAnsi="Arial" w:cs="Arial"/>
                <w:b/>
                <w:sz w:val="24"/>
                <w:szCs w:val="24"/>
                <w:lang w:val="uk-UA"/>
              </w:rPr>
              <w:t xml:space="preserve">промоційної</w:t>
            </w:r>
            <w:r>
              <w:rPr>
                <w:rFonts w:ascii="Arial" w:hAnsi="Arial" w:cs="Arial"/>
                <w:b/>
                <w:sz w:val="24"/>
                <w:szCs w:val="24"/>
                <w:lang w:val="uk-UA"/>
              </w:rPr>
              <w:t xml:space="preserve"> продукції з метою поширення інформації про велосипедні маршрути; </w:t>
            </w:r>
            <w:r>
              <w:rPr>
                <w:rFonts w:ascii="Arial" w:hAnsi="Arial" w:cs="Arial"/>
                <w:b/>
                <w:sz w:val="24"/>
                <w:szCs w:val="24"/>
                <w:lang w:val="uk-UA"/>
              </w:rPr>
              <w:t xml:space="preserve">Придбання 50-ти велосипедів з вмонтованими GPS-передавачами, надання велосипедів на прокат.</w:t>
            </w:r>
            <w:r/>
          </w:p>
        </w:tc>
        <w:tc>
          <w:tcPr>
            <w:shd w:val="clear" w:color="auto" w:fill="D9D9D9" w:themeFill="background1" w:themeFillShade="D9"/>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 інші бюджети</w:t>
            </w:r>
            <w:r/>
          </w:p>
        </w:tc>
        <w:tc>
          <w:tcPr>
            <w:shd w:val="clear" w:color="auto" w:fill="D9D9D9" w:themeFill="background1" w:themeFillShade="D9"/>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 – 2024</w:t>
            </w:r>
            <w:r/>
          </w:p>
        </w:tc>
        <w:tc>
          <w:tcPr>
            <w:shd w:val="clear" w:color="auto" w:fill="D9D9D9" w:themeFill="background1" w:themeFillShade="D9"/>
            <w:tcW w:w="1553" w:type="dxa"/>
            <w:vAlign w:val="center"/>
            <w:textDirection w:val="lrTb"/>
            <w:noWrap w:val="false"/>
          </w:tcPr>
          <w:p>
            <w:pPr>
              <w:jc w:val="both"/>
              <w:rPr>
                <w:rFonts w:ascii="Arial" w:hAnsi="Arial" w:cs="Arial"/>
                <w:b/>
                <w:color w:val="FF0000"/>
                <w:sz w:val="24"/>
                <w:szCs w:val="24"/>
                <w:lang w:val="uk-UA"/>
              </w:rPr>
            </w:pPr>
            <w:r>
              <w:rPr>
                <w:rFonts w:ascii="Arial" w:hAnsi="Arial" w:cs="Arial"/>
                <w:b/>
                <w:sz w:val="24"/>
                <w:szCs w:val="24"/>
                <w:lang w:val="uk-UA"/>
              </w:rPr>
              <w:t xml:space="preserve">850 000</w:t>
            </w:r>
            <w:r/>
          </w:p>
        </w:tc>
        <w:tc>
          <w:tcPr>
            <w:shd w:val="clear" w:color="auto" w:fill="D9D9D9" w:themeFill="background1" w:themeFillShade="D9"/>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577</w:t>
            </w:r>
            <w:r/>
          </w:p>
        </w:tc>
        <w:tc>
          <w:tcPr>
            <w:shd w:val="clear" w:color="auto" w:fill="D9D9D9" w:themeFill="background1" w:themeFillShade="D9"/>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D9D9D9" w:themeFill="background1" w:themeFillShade="D9"/>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141</w:t>
            </w:r>
            <w:r/>
          </w:p>
        </w:tc>
        <w:tc>
          <w:tcPr>
            <w:shd w:val="clear" w:color="auto" w:fill="D9D9D9" w:themeFill="background1" w:themeFillShade="D9"/>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0,4</w:t>
            </w:r>
            <w:r/>
          </w:p>
        </w:tc>
      </w:tr>
      <w:tr>
        <w:trPr>
          <w:jc w:val="center"/>
        </w:trPr>
        <w:tc>
          <w:tcPr>
            <w:gridSpan w:val="3"/>
            <w:shd w:val="clear" w:color="auto" w:fill="92D050"/>
            <w:tcW w:w="7089"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5</w:t>
            </w:r>
            <w:r>
              <w:rPr>
                <w:rFonts w:ascii="Arial" w:hAnsi="Arial" w:cs="Arial"/>
                <w:b/>
                <w:i/>
                <w:sz w:val="24"/>
                <w:szCs w:val="24"/>
                <w:lang w:val="uk-UA"/>
              </w:rPr>
              <w:t xml:space="preserve">.М’які заходи</w:t>
            </w:r>
            <w:r/>
          </w:p>
        </w:tc>
        <w:tc>
          <w:tcPr>
            <w:shd w:val="clear" w:color="auto" w:fill="92D050"/>
            <w:tcW w:w="1701"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992"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r>
            <w:r/>
          </w:p>
        </w:tc>
        <w:tc>
          <w:tcPr>
            <w:shd w:val="clear" w:color="auto" w:fill="92D050"/>
            <w:tcW w:w="1553"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12 122</w:t>
            </w:r>
            <w:r>
              <w:rPr>
                <w:rFonts w:ascii="Arial" w:hAnsi="Arial" w:cs="Arial"/>
                <w:b/>
                <w:i/>
                <w:sz w:val="24"/>
                <w:szCs w:val="24"/>
                <w:lang w:val="uk-UA"/>
              </w:rPr>
              <w:t xml:space="preserve"> 000</w:t>
            </w:r>
            <w:r/>
          </w:p>
        </w:tc>
        <w:tc>
          <w:tcPr>
            <w:shd w:val="clear" w:color="auto" w:fill="92D050"/>
            <w:tcW w:w="114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5755</w:t>
            </w:r>
            <w:r/>
          </w:p>
        </w:tc>
        <w:tc>
          <w:tcPr>
            <w:shd w:val="clear" w:color="auto" w:fill="92D050"/>
            <w:tcW w:w="1276"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0,0 </w:t>
            </w:r>
            <w:r/>
          </w:p>
        </w:tc>
        <w:tc>
          <w:tcPr>
            <w:shd w:val="clear" w:color="auto" w:fill="92D050"/>
            <w:tcW w:w="1134"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2 763</w:t>
            </w:r>
            <w:r/>
          </w:p>
        </w:tc>
        <w:tc>
          <w:tcPr>
            <w:shd w:val="clear" w:color="auto" w:fill="92D050"/>
            <w:tcW w:w="850" w:type="dxa"/>
            <w:vAlign w:val="center"/>
            <w:textDirection w:val="lrTb"/>
            <w:noWrap w:val="false"/>
          </w:tcPr>
          <w:p>
            <w:pPr>
              <w:jc w:val="both"/>
              <w:rPr>
                <w:rFonts w:ascii="Arial" w:hAnsi="Arial" w:cs="Arial"/>
                <w:b/>
                <w:i/>
                <w:sz w:val="24"/>
                <w:szCs w:val="24"/>
                <w:lang w:val="uk-UA"/>
              </w:rPr>
            </w:pPr>
            <w:r>
              <w:rPr>
                <w:rFonts w:ascii="Arial" w:hAnsi="Arial" w:cs="Arial"/>
                <w:b/>
                <w:i/>
                <w:sz w:val="24"/>
                <w:szCs w:val="24"/>
                <w:lang w:val="uk-UA"/>
              </w:rPr>
              <w:t xml:space="preserve">7,7</w:t>
            </w:r>
            <w:r/>
          </w:p>
        </w:tc>
      </w:tr>
      <w:tr>
        <w:trPr>
          <w:jc w:val="center"/>
        </w:trPr>
        <w:tc>
          <w:tcPr>
            <w:shd w:val="clear" w:color="auto" w:fill="F2F2F2" w:themeFill="background1" w:themeFillShade="F2"/>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5</w:t>
            </w:r>
            <w:r>
              <w:rPr>
                <w:rFonts w:ascii="Arial" w:hAnsi="Arial" w:cs="Arial"/>
                <w:b/>
                <w:sz w:val="24"/>
                <w:szCs w:val="24"/>
                <w:lang w:val="uk-UA"/>
              </w:rPr>
              <w:t xml:space="preserve">.1</w:t>
            </w:r>
            <w:r/>
          </w:p>
        </w:tc>
        <w:tc>
          <w:tcPr>
            <w:shd w:val="clear" w:color="auto" w:fill="F2F2F2" w:themeFill="background1" w:themeFillShade="F2"/>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М’які просвітницькі заходи </w:t>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Скорочення викидів від упровадження інформаційно просвітницьких заходів</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2020- 2025</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6 249</w:t>
            </w:r>
            <w:r>
              <w:rPr>
                <w:rFonts w:ascii="Arial" w:hAnsi="Arial" w:cs="Arial"/>
                <w:b/>
                <w:sz w:val="24"/>
                <w:szCs w:val="24"/>
                <w:lang w:val="uk-UA"/>
              </w:rPr>
              <w:t xml:space="preserve">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5755</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1471</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4,1</w:t>
            </w:r>
            <w:r/>
          </w:p>
        </w:tc>
      </w:tr>
      <w:tr>
        <w:trPr>
          <w:jc w:val="center"/>
        </w:trPr>
        <w:tc>
          <w:tcPr>
            <w:shd w:val="clear" w:color="auto" w:fill="D9D9D9" w:themeFill="background1" w:themeFillShade="D9"/>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5</w:t>
            </w:r>
            <w:r>
              <w:rPr>
                <w:rFonts w:ascii="Arial" w:hAnsi="Arial" w:cs="Arial"/>
                <w:b/>
                <w:sz w:val="24"/>
                <w:szCs w:val="24"/>
                <w:lang w:val="uk-UA"/>
              </w:rPr>
              <w:t xml:space="preserve">.2</w:t>
            </w:r>
            <w:r/>
          </w:p>
        </w:tc>
        <w:tc>
          <w:tcPr>
            <w:shd w:val="clear" w:color="auto" w:fill="D9D9D9" w:themeFill="background1" w:themeFillShade="D9"/>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Озеленення</w:t>
            </w:r>
            <w:r/>
          </w:p>
        </w:tc>
        <w:tc>
          <w:tcPr>
            <w:shd w:val="clear" w:color="auto" w:fill="D9D9D9" w:themeFill="background1" w:themeFillShade="D9"/>
            <w:tcW w:w="3544" w:type="dxa"/>
            <w:vAlign w:val="center"/>
            <w:textDirection w:val="lrTb"/>
            <w:noWrap w:val="false"/>
          </w:tcPr>
          <w:p>
            <w:pPr>
              <w:jc w:val="both"/>
              <w:rPr>
                <w:rFonts w:ascii="Arial" w:hAnsi="Arial" w:cs="Arial"/>
                <w:b/>
                <w:sz w:val="24"/>
                <w:szCs w:val="24"/>
                <w:lang w:val="uk-UA"/>
              </w:rPr>
            </w:pPr>
            <w:r>
              <w:rPr>
                <w:rFonts w:ascii="Arial" w:hAnsi="Arial" w:cs="Arial" w:eastAsia="Calibri"/>
                <w:b/>
                <w:sz w:val="24"/>
                <w:szCs w:val="24"/>
                <w:lang w:val="uk-UA"/>
              </w:rPr>
              <w:t xml:space="preserve">Вирощування енергетичних рослин</w:t>
            </w:r>
            <w:r/>
          </w:p>
        </w:tc>
        <w:tc>
          <w:tcPr>
            <w:shd w:val="clear" w:color="auto" w:fill="D9D9D9" w:themeFill="background1" w:themeFillShade="D9"/>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w:t>
            </w:r>
            <w:r/>
          </w:p>
        </w:tc>
        <w:tc>
          <w:tcPr>
            <w:shd w:val="clear" w:color="auto" w:fill="D9D9D9" w:themeFill="background1" w:themeFillShade="D9"/>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2020 - 2025</w:t>
            </w:r>
            <w:r/>
          </w:p>
        </w:tc>
        <w:tc>
          <w:tcPr>
            <w:shd w:val="clear" w:color="auto" w:fill="D9D9D9" w:themeFill="background1" w:themeFillShade="D9"/>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5 873</w:t>
            </w:r>
            <w:r>
              <w:rPr>
                <w:rFonts w:ascii="Arial" w:hAnsi="Arial" w:cs="Arial"/>
                <w:b/>
                <w:sz w:val="24"/>
                <w:szCs w:val="24"/>
                <w:lang w:val="uk-UA"/>
              </w:rPr>
              <w:t xml:space="preserve"> 000</w:t>
            </w:r>
            <w:r/>
          </w:p>
        </w:tc>
        <w:tc>
          <w:tcPr>
            <w:shd w:val="clear" w:color="auto" w:fill="D9D9D9" w:themeFill="background1" w:themeFillShade="D9"/>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D9D9D9" w:themeFill="background1" w:themeFillShade="D9"/>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D9D9D9" w:themeFill="background1" w:themeFillShade="D9"/>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1292</w:t>
            </w:r>
            <w:r/>
          </w:p>
        </w:tc>
        <w:tc>
          <w:tcPr>
            <w:shd w:val="clear" w:color="auto" w:fill="D9D9D9" w:themeFill="background1" w:themeFillShade="D9"/>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3,6</w:t>
            </w:r>
            <w:r/>
          </w:p>
        </w:tc>
      </w:tr>
      <w:tr>
        <w:trPr>
          <w:jc w:val="center"/>
        </w:trPr>
        <w:tc>
          <w:tcPr>
            <w:gridSpan w:val="3"/>
            <w:shd w:val="clear" w:color="auto" w:fill="92D050"/>
            <w:tcW w:w="7089" w:type="dxa"/>
            <w:vAlign w:val="center"/>
            <w:textDirection w:val="lrTb"/>
            <w:noWrap w:val="false"/>
          </w:tcPr>
          <w:p>
            <w:pPr>
              <w:jc w:val="both"/>
              <w:rPr>
                <w:rFonts w:ascii="Arial" w:hAnsi="Arial" w:cs="Arial" w:eastAsia="Calibri"/>
                <w:b/>
                <w:i/>
                <w:sz w:val="24"/>
                <w:szCs w:val="24"/>
                <w:lang w:val="uk-UA"/>
              </w:rPr>
            </w:pPr>
            <w:r>
              <w:rPr>
                <w:rFonts w:ascii="Arial" w:hAnsi="Arial" w:cs="Arial" w:eastAsia="Calibri"/>
                <w:b/>
                <w:i/>
                <w:sz w:val="24"/>
                <w:szCs w:val="24"/>
                <w:lang w:val="uk-UA"/>
              </w:rPr>
              <w:t xml:space="preserve">6. Третинний сектор</w:t>
            </w:r>
            <w:r/>
          </w:p>
        </w:tc>
        <w:tc>
          <w:tcPr>
            <w:shd w:val="clear" w:color="auto" w:fill="92D050"/>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tc>
        <w:tc>
          <w:tcPr>
            <w:shd w:val="clear" w:color="auto" w:fill="92D050"/>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tc>
        <w:tc>
          <w:tcPr>
            <w:shd w:val="clear" w:color="auto" w:fill="92D050"/>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5 578 000</w:t>
            </w:r>
            <w:r/>
          </w:p>
        </w:tc>
        <w:tc>
          <w:tcPr>
            <w:shd w:val="clear" w:color="auto" w:fill="92D050"/>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761</w:t>
            </w:r>
            <w:r/>
          </w:p>
        </w:tc>
        <w:tc>
          <w:tcPr>
            <w:shd w:val="clear" w:color="auto" w:fill="92D050"/>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w:t>
            </w:r>
            <w:r/>
          </w:p>
        </w:tc>
        <w:tc>
          <w:tcPr>
            <w:shd w:val="clear" w:color="auto" w:fill="92D050"/>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417</w:t>
            </w:r>
            <w:r/>
          </w:p>
        </w:tc>
        <w:tc>
          <w:tcPr>
            <w:shd w:val="clear" w:color="auto" w:fill="92D050"/>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1,1</w:t>
            </w:r>
            <w:r/>
          </w:p>
        </w:tc>
      </w:tr>
      <w:tr>
        <w:trPr>
          <w:jc w:val="center"/>
        </w:trPr>
        <w:tc>
          <w:tcPr>
            <w:shd w:val="clear" w:color="auto" w:fill="F2F2F2" w:themeFill="background1" w:themeFillShade="F2"/>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6.1</w:t>
            </w:r>
            <w:r/>
          </w:p>
        </w:tc>
        <w:tc>
          <w:tcPr>
            <w:shd w:val="clear" w:color="auto" w:fill="F2F2F2" w:themeFill="background1" w:themeFillShade="F2"/>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Впровадження енергоефективних заходів  у освітленні приміщень та освітленні прилеглої території</w:t>
            </w:r>
            <w:r/>
          </w:p>
        </w:tc>
        <w:tc>
          <w:tcPr>
            <w:shd w:val="clear" w:color="auto" w:fill="F2F2F2" w:themeFill="background1" w:themeFillShade="F2"/>
            <w:tcW w:w="3544" w:type="dxa"/>
            <w:vAlign w:val="center"/>
            <w:textDirection w:val="lrTb"/>
            <w:noWrap w:val="false"/>
          </w:tcPr>
          <w:p>
            <w:pPr>
              <w:jc w:val="both"/>
              <w:rPr>
                <w:rFonts w:ascii="Arial" w:hAnsi="Arial" w:cs="Arial" w:eastAsia="Calibri"/>
                <w:b/>
                <w:sz w:val="24"/>
                <w:szCs w:val="24"/>
                <w:lang w:val="uk-UA"/>
              </w:rPr>
            </w:pPr>
            <w:r>
              <w:rPr>
                <w:rFonts w:ascii="Arial" w:hAnsi="Arial" w:cs="Arial" w:eastAsia="Calibri"/>
                <w:b/>
                <w:sz w:val="24"/>
                <w:szCs w:val="24"/>
                <w:lang w:val="uk-UA"/>
              </w:rPr>
              <w:t xml:space="preserve">Заміна електричних ламп на LED лампи  та встановлення автоматичних систем керування освітленням у будівлях третинного сектору</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2020- 2030</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825 000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285</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156</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0,4</w:t>
            </w:r>
            <w:r/>
          </w:p>
        </w:tc>
      </w:tr>
      <w:tr>
        <w:trPr>
          <w:jc w:val="center"/>
        </w:trPr>
        <w:tc>
          <w:tcPr>
            <w:shd w:val="clear" w:color="auto" w:fill="D9D9D9" w:themeFill="background1" w:themeFillShade="D9"/>
            <w:tcW w:w="71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6.2</w:t>
            </w:r>
            <w:r/>
          </w:p>
        </w:tc>
        <w:tc>
          <w:tcPr>
            <w:shd w:val="clear" w:color="auto" w:fill="D9D9D9" w:themeFill="background1" w:themeFillShade="D9"/>
            <w:tcW w:w="2835"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Модернізація та заміна обладнання на енергоефективне</w:t>
            </w:r>
            <w:r/>
          </w:p>
        </w:tc>
        <w:tc>
          <w:tcPr>
            <w:shd w:val="clear" w:color="auto" w:fill="D9D9D9" w:themeFill="background1" w:themeFillShade="D9"/>
            <w:tcW w:w="3544" w:type="dxa"/>
            <w:vAlign w:val="center"/>
            <w:textDirection w:val="lrTb"/>
            <w:noWrap w:val="false"/>
          </w:tcPr>
          <w:p>
            <w:pPr>
              <w:jc w:val="both"/>
              <w:rPr>
                <w:rFonts w:ascii="Arial" w:hAnsi="Arial" w:cs="Arial" w:eastAsia="Calibri"/>
                <w:b/>
                <w:sz w:val="24"/>
                <w:szCs w:val="24"/>
                <w:lang w:val="uk-UA"/>
              </w:rPr>
            </w:pPr>
            <w:r>
              <w:rPr>
                <w:rFonts w:ascii="Arial" w:hAnsi="Arial" w:cs="Arial" w:eastAsia="Calibri"/>
                <w:b/>
                <w:sz w:val="24"/>
                <w:szCs w:val="24"/>
                <w:lang w:val="uk-UA"/>
              </w:rPr>
            </w:r>
            <w:r/>
          </w:p>
          <w:p>
            <w:pPr>
              <w:jc w:val="both"/>
              <w:rPr>
                <w:rFonts w:ascii="Arial" w:hAnsi="Arial" w:cs="Arial" w:eastAsia="Calibri"/>
                <w:b/>
                <w:sz w:val="24"/>
                <w:szCs w:val="24"/>
                <w:lang w:val="uk-UA"/>
              </w:rPr>
            </w:pPr>
            <w:r>
              <w:rPr>
                <w:rFonts w:ascii="Arial" w:hAnsi="Arial" w:cs="Arial" w:eastAsia="Calibri"/>
                <w:b/>
                <w:sz w:val="24"/>
                <w:szCs w:val="24"/>
                <w:lang w:val="uk-UA"/>
              </w:rPr>
              <w:t xml:space="preserve">Заміна існуючого технологічного обладнання на більш енергоефективне</w:t>
            </w:r>
            <w:r/>
          </w:p>
          <w:p>
            <w:pPr>
              <w:jc w:val="both"/>
              <w:rPr>
                <w:rFonts w:ascii="Arial" w:hAnsi="Arial" w:cs="Arial" w:eastAsia="Calibri"/>
                <w:b/>
                <w:sz w:val="24"/>
                <w:szCs w:val="24"/>
                <w:lang w:val="uk-UA"/>
              </w:rPr>
            </w:pPr>
            <w:r>
              <w:rPr>
                <w:rFonts w:ascii="Arial" w:hAnsi="Arial" w:cs="Arial" w:eastAsia="Calibri"/>
                <w:b/>
                <w:sz w:val="24"/>
                <w:szCs w:val="24"/>
                <w:lang w:val="uk-UA"/>
              </w:rPr>
            </w:r>
            <w:r/>
          </w:p>
          <w:p>
            <w:pPr>
              <w:jc w:val="both"/>
              <w:rPr>
                <w:rFonts w:ascii="Arial" w:hAnsi="Arial" w:cs="Arial" w:eastAsia="Calibri"/>
                <w:b/>
                <w:sz w:val="24"/>
                <w:szCs w:val="24"/>
                <w:lang w:val="uk-UA"/>
              </w:rPr>
            </w:pPr>
            <w:r>
              <w:rPr>
                <w:rFonts w:ascii="Arial" w:hAnsi="Arial" w:cs="Arial" w:eastAsia="Calibri"/>
                <w:b/>
                <w:sz w:val="24"/>
                <w:szCs w:val="24"/>
                <w:lang w:val="uk-UA"/>
              </w:rPr>
            </w:r>
            <w:r/>
          </w:p>
        </w:tc>
        <w:tc>
          <w:tcPr>
            <w:shd w:val="clear" w:color="auto" w:fill="D9D9D9" w:themeFill="background1" w:themeFillShade="D9"/>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w:t>
            </w:r>
            <w:r/>
          </w:p>
        </w:tc>
        <w:tc>
          <w:tcPr>
            <w:shd w:val="clear" w:color="auto" w:fill="D9D9D9" w:themeFill="background1" w:themeFillShade="D9"/>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2020 - 2030</w:t>
            </w:r>
            <w:r/>
          </w:p>
        </w:tc>
        <w:tc>
          <w:tcPr>
            <w:shd w:val="clear" w:color="auto" w:fill="D9D9D9" w:themeFill="background1" w:themeFillShade="D9"/>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4 753 000</w:t>
            </w:r>
            <w:r/>
          </w:p>
        </w:tc>
        <w:tc>
          <w:tcPr>
            <w:shd w:val="clear" w:color="auto" w:fill="D9D9D9" w:themeFill="background1" w:themeFillShade="D9"/>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476</w:t>
            </w:r>
            <w:r/>
          </w:p>
        </w:tc>
        <w:tc>
          <w:tcPr>
            <w:shd w:val="clear" w:color="auto" w:fill="D9D9D9" w:themeFill="background1" w:themeFillShade="D9"/>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0,0</w:t>
            </w:r>
            <w:r/>
          </w:p>
        </w:tc>
        <w:tc>
          <w:tcPr>
            <w:shd w:val="clear" w:color="auto" w:fill="D9D9D9" w:themeFill="background1" w:themeFillShade="D9"/>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261</w:t>
            </w:r>
            <w:r/>
          </w:p>
        </w:tc>
        <w:tc>
          <w:tcPr>
            <w:shd w:val="clear" w:color="auto" w:fill="D9D9D9" w:themeFill="background1" w:themeFillShade="D9"/>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0,7</w:t>
            </w:r>
            <w:r/>
          </w:p>
        </w:tc>
      </w:tr>
      <w:tr>
        <w:trPr>
          <w:jc w:val="center"/>
        </w:trPr>
        <w:tc>
          <w:tcPr>
            <w:gridSpan w:val="3"/>
            <w:shd w:val="clear" w:color="auto" w:fill="92D050"/>
            <w:tcW w:w="7089" w:type="dxa"/>
            <w:vAlign w:val="center"/>
            <w:textDirection w:val="lrTb"/>
            <w:noWrap w:val="false"/>
          </w:tcPr>
          <w:p>
            <w:pPr>
              <w:jc w:val="both"/>
              <w:rPr>
                <w:rFonts w:ascii="Arial" w:hAnsi="Arial" w:cs="Arial" w:eastAsia="Calibri"/>
                <w:b/>
                <w:i/>
                <w:sz w:val="24"/>
                <w:szCs w:val="24"/>
                <w:lang w:val="uk-UA"/>
              </w:rPr>
            </w:pPr>
            <w:r>
              <w:rPr>
                <w:rFonts w:ascii="Arial" w:hAnsi="Arial" w:cs="Arial" w:eastAsia="Calibri"/>
                <w:b/>
                <w:i/>
                <w:sz w:val="24"/>
                <w:szCs w:val="24"/>
                <w:lang w:val="uk-UA"/>
              </w:rPr>
              <w:t xml:space="preserve">7</w:t>
            </w:r>
            <w:r>
              <w:rPr>
                <w:rFonts w:ascii="Arial" w:hAnsi="Arial" w:cs="Arial" w:eastAsia="Calibri"/>
                <w:b/>
                <w:i/>
                <w:sz w:val="24"/>
                <w:szCs w:val="24"/>
                <w:lang w:val="uk-UA"/>
              </w:rPr>
              <w:t xml:space="preserve">. Тепло та холод</w:t>
            </w:r>
            <w:r/>
          </w:p>
        </w:tc>
        <w:tc>
          <w:tcPr>
            <w:shd w:val="clear" w:color="auto" w:fill="92D050"/>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tc>
        <w:tc>
          <w:tcPr>
            <w:shd w:val="clear" w:color="auto" w:fill="92D050"/>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tc>
        <w:tc>
          <w:tcPr>
            <w:shd w:val="clear" w:color="auto" w:fill="92D050"/>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2 401</w:t>
            </w:r>
            <w:r>
              <w:rPr>
                <w:rFonts w:ascii="Arial" w:hAnsi="Arial" w:cs="Arial"/>
                <w:b/>
                <w:sz w:val="24"/>
                <w:szCs w:val="24"/>
                <w:lang w:val="uk-UA"/>
              </w:rPr>
              <w:t xml:space="preserve"> 000</w:t>
            </w:r>
            <w:r/>
          </w:p>
        </w:tc>
        <w:tc>
          <w:tcPr>
            <w:shd w:val="clear" w:color="auto" w:fill="92D050"/>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54</w:t>
            </w:r>
            <w:r/>
          </w:p>
        </w:tc>
        <w:tc>
          <w:tcPr>
            <w:shd w:val="clear" w:color="auto" w:fill="92D050"/>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54</w:t>
            </w:r>
            <w:r/>
          </w:p>
        </w:tc>
        <w:tc>
          <w:tcPr>
            <w:shd w:val="clear" w:color="auto" w:fill="92D050"/>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29</w:t>
            </w:r>
            <w:r/>
          </w:p>
        </w:tc>
        <w:tc>
          <w:tcPr>
            <w:shd w:val="clear" w:color="auto" w:fill="92D050"/>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0,08</w:t>
            </w:r>
            <w:r/>
          </w:p>
        </w:tc>
      </w:tr>
      <w:tr>
        <w:trPr>
          <w:jc w:val="center"/>
        </w:trPr>
        <w:tc>
          <w:tcPr>
            <w:shd w:val="clear" w:color="auto" w:fill="F2F2F2" w:themeFill="background1" w:themeFillShade="F2"/>
            <w:tcW w:w="710" w:type="dxa"/>
            <w:vAlign w:val="center"/>
            <w:vMerge w:val="restart"/>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7</w:t>
            </w:r>
            <w:r>
              <w:rPr>
                <w:rFonts w:ascii="Arial" w:hAnsi="Arial" w:cs="Arial"/>
                <w:b/>
                <w:sz w:val="24"/>
                <w:szCs w:val="24"/>
                <w:lang w:val="uk-UA"/>
              </w:rPr>
              <w:t xml:space="preserve">.1</w:t>
            </w:r>
            <w:r/>
          </w:p>
        </w:tc>
        <w:tc>
          <w:tcPr>
            <w:shd w:val="clear" w:color="auto" w:fill="F2F2F2" w:themeFill="background1" w:themeFillShade="F2"/>
            <w:tcW w:w="2835" w:type="dxa"/>
            <w:vAlign w:val="center"/>
            <w:vMerge w:val="restart"/>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Використання відновлювальних джерел енергії в муніципальних будівлях</w:t>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Встановлення </w:t>
            </w:r>
            <w:r>
              <w:rPr>
                <w:rFonts w:ascii="Arial" w:hAnsi="Arial" w:cs="Arial"/>
                <w:b/>
                <w:sz w:val="24"/>
                <w:szCs w:val="24"/>
                <w:lang w:val="uk-UA"/>
              </w:rPr>
              <w:t xml:space="preserve">геліосистем</w:t>
            </w:r>
            <w:r>
              <w:rPr>
                <w:rFonts w:ascii="Arial" w:hAnsi="Arial" w:cs="Arial"/>
                <w:b/>
                <w:sz w:val="24"/>
                <w:szCs w:val="24"/>
                <w:lang w:val="uk-UA"/>
              </w:rPr>
              <w:t xml:space="preserve">  (пілотний проект) для підігріву гарячої води у  будівлях управління о</w:t>
            </w:r>
            <w:r>
              <w:rPr>
                <w:rFonts w:ascii="Arial" w:hAnsi="Arial" w:cs="Arial"/>
                <w:b/>
                <w:sz w:val="24"/>
                <w:szCs w:val="24"/>
                <w:lang w:val="uk-UA"/>
              </w:rPr>
              <w:t xml:space="preserve">світи та охорони здоров’я міста</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 інші бюджети, кошти МФО</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2020 – 2023</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 </w:t>
            </w:r>
            <w:r>
              <w:rPr>
                <w:rFonts w:ascii="Arial" w:hAnsi="Arial" w:cs="Arial"/>
                <w:b/>
                <w:sz w:val="24"/>
                <w:szCs w:val="24"/>
                <w:lang w:val="uk-UA"/>
              </w:rPr>
              <w:t xml:space="preserve">351</w:t>
            </w:r>
            <w:r>
              <w:rPr>
                <w:rFonts w:ascii="Arial" w:hAnsi="Arial" w:cs="Arial"/>
                <w:b/>
                <w:sz w:val="24"/>
                <w:szCs w:val="24"/>
                <w:lang w:val="uk-UA"/>
              </w:rPr>
              <w:t xml:space="preserve">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30</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30</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16</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0,04</w:t>
            </w:r>
            <w:r/>
          </w:p>
        </w:tc>
      </w:tr>
      <w:tr>
        <w:trPr>
          <w:jc w:val="center"/>
        </w:trPr>
        <w:tc>
          <w:tcPr>
            <w:shd w:val="clear" w:color="auto" w:fill="F2F2F2" w:themeFill="background1" w:themeFillShade="F2"/>
            <w:tcW w:w="710" w:type="dxa"/>
            <w:vAlign w:val="center"/>
            <w:vMerge w:val="continue"/>
            <w:textDirection w:val="lrTb"/>
            <w:noWrap w:val="false"/>
          </w:tcPr>
          <w:p>
            <w:pPr>
              <w:jc w:val="both"/>
              <w:rPr>
                <w:rFonts w:ascii="Arial" w:hAnsi="Arial" w:cs="Arial"/>
                <w:b/>
                <w:sz w:val="24"/>
                <w:szCs w:val="24"/>
                <w:lang w:val="uk-UA"/>
              </w:rPr>
            </w:pPr>
            <w:r>
              <w:rPr>
                <w:rFonts w:ascii="Arial" w:hAnsi="Arial" w:cs="Arial"/>
                <w:b/>
                <w:sz w:val="24"/>
                <w:szCs w:val="24"/>
                <w:lang w:val="uk-UA"/>
              </w:rPr>
            </w:r>
            <w:r/>
          </w:p>
        </w:tc>
        <w:tc>
          <w:tcPr>
            <w:shd w:val="clear" w:color="auto" w:fill="F2F2F2" w:themeFill="background1" w:themeFillShade="F2"/>
            <w:tcW w:w="2835" w:type="dxa"/>
            <w:vAlign w:val="center"/>
            <w:vMerge w:val="continue"/>
            <w:textDirection w:val="lrTb"/>
            <w:noWrap w:val="false"/>
          </w:tcPr>
          <w:p>
            <w:pPr>
              <w:jc w:val="both"/>
              <w:rPr>
                <w:rFonts w:ascii="Arial" w:hAnsi="Arial" w:cs="Arial"/>
                <w:b/>
                <w:sz w:val="24"/>
                <w:szCs w:val="24"/>
                <w:lang w:val="uk-UA"/>
              </w:rPr>
            </w:pPr>
            <w:r>
              <w:rPr>
                <w:rFonts w:ascii="Arial" w:hAnsi="Arial" w:cs="Arial"/>
                <w:b/>
                <w:sz w:val="24"/>
                <w:szCs w:val="24"/>
                <w:lang w:val="uk-UA"/>
              </w:rPr>
            </w:r>
            <w:r/>
          </w:p>
        </w:tc>
        <w:tc>
          <w:tcPr>
            <w:shd w:val="clear" w:color="auto" w:fill="F2F2F2" w:themeFill="background1" w:themeFillShade="F2"/>
            <w:tcW w:w="354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Встановлення </w:t>
            </w:r>
            <w:r>
              <w:rPr>
                <w:rFonts w:ascii="Arial" w:hAnsi="Arial" w:cs="Arial"/>
                <w:b/>
                <w:sz w:val="24"/>
                <w:szCs w:val="24"/>
                <w:lang w:val="uk-UA"/>
              </w:rPr>
              <w:t xml:space="preserve">геліосистеми</w:t>
            </w:r>
            <w:r>
              <w:rPr>
                <w:rFonts w:ascii="Arial" w:hAnsi="Arial" w:cs="Arial"/>
                <w:b/>
                <w:sz w:val="24"/>
                <w:szCs w:val="24"/>
                <w:lang w:val="uk-UA"/>
              </w:rPr>
              <w:t xml:space="preserve">, теплового насосу «повітря-вода» та</w:t>
            </w:r>
            <w:r>
              <w:rPr>
                <w:rFonts w:ascii="Arial" w:hAnsi="Arial" w:cs="Arial"/>
                <w:b/>
                <w:sz w:val="24"/>
                <w:szCs w:val="24"/>
                <w:lang w:val="uk-UA"/>
              </w:rPr>
              <w:t xml:space="preserve"> </w:t>
            </w:r>
            <w:r>
              <w:rPr>
                <w:rFonts w:ascii="Arial" w:hAnsi="Arial" w:cs="Arial"/>
                <w:b/>
                <w:sz w:val="24"/>
                <w:szCs w:val="24"/>
                <w:lang w:val="uk-UA"/>
              </w:rPr>
              <w:t xml:space="preserve">електрокотла</w:t>
            </w:r>
            <w:r>
              <w:rPr>
                <w:rFonts w:ascii="Arial" w:hAnsi="Arial" w:cs="Arial"/>
                <w:b/>
                <w:sz w:val="24"/>
                <w:szCs w:val="24"/>
                <w:lang w:val="uk-UA"/>
              </w:rPr>
              <w:t xml:space="preserve"> (пілотний проект)</w:t>
            </w:r>
            <w:r/>
          </w:p>
        </w:tc>
        <w:tc>
          <w:tcPr>
            <w:shd w:val="clear" w:color="auto" w:fill="F2F2F2" w:themeFill="background1" w:themeFillShade="F2"/>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Міський бюджет, інші бюджети, кошти МФО</w:t>
            </w:r>
            <w:r/>
          </w:p>
        </w:tc>
        <w:tc>
          <w:tcPr>
            <w:shd w:val="clear" w:color="auto" w:fill="F2F2F2" w:themeFill="background1" w:themeFillShade="F2"/>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2020 – 2023</w:t>
            </w:r>
            <w:r/>
          </w:p>
        </w:tc>
        <w:tc>
          <w:tcPr>
            <w:shd w:val="clear" w:color="auto" w:fill="F2F2F2" w:themeFill="background1" w:themeFillShade="F2"/>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1 050 000</w:t>
            </w:r>
            <w:r/>
          </w:p>
        </w:tc>
        <w:tc>
          <w:tcPr>
            <w:shd w:val="clear" w:color="auto" w:fill="F2F2F2" w:themeFill="background1" w:themeFillShade="F2"/>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24</w:t>
            </w:r>
            <w:r/>
          </w:p>
        </w:tc>
        <w:tc>
          <w:tcPr>
            <w:shd w:val="clear" w:color="auto" w:fill="F2F2F2" w:themeFill="background1" w:themeFillShade="F2"/>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24</w:t>
            </w:r>
            <w:r/>
          </w:p>
        </w:tc>
        <w:tc>
          <w:tcPr>
            <w:shd w:val="clear" w:color="auto" w:fill="F2F2F2" w:themeFill="background1" w:themeFillShade="F2"/>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13</w:t>
            </w:r>
            <w:r/>
          </w:p>
        </w:tc>
        <w:tc>
          <w:tcPr>
            <w:shd w:val="clear" w:color="auto" w:fill="F2F2F2" w:themeFill="background1" w:themeFillShade="F2"/>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p>
            <w:pPr>
              <w:jc w:val="both"/>
              <w:rPr>
                <w:rFonts w:ascii="Arial" w:hAnsi="Arial" w:cs="Arial"/>
                <w:b/>
                <w:sz w:val="24"/>
                <w:szCs w:val="24"/>
                <w:lang w:val="uk-UA"/>
              </w:rPr>
            </w:pPr>
            <w:r>
              <w:rPr>
                <w:rFonts w:ascii="Arial" w:hAnsi="Arial" w:cs="Arial"/>
                <w:b/>
                <w:sz w:val="24"/>
                <w:szCs w:val="24"/>
                <w:lang w:val="uk-UA"/>
              </w:rPr>
              <w:t xml:space="preserve">0,</w:t>
            </w:r>
            <w:r>
              <w:rPr>
                <w:rFonts w:ascii="Arial" w:hAnsi="Arial" w:cs="Arial"/>
                <w:b/>
                <w:sz w:val="24"/>
                <w:szCs w:val="24"/>
                <w:lang w:val="uk-UA"/>
              </w:rPr>
              <w:t xml:space="preserve">04</w:t>
            </w:r>
            <w:r/>
          </w:p>
        </w:tc>
      </w:tr>
      <w:tr>
        <w:trPr>
          <w:jc w:val="center"/>
        </w:trPr>
        <w:tc>
          <w:tcPr>
            <w:gridSpan w:val="3"/>
            <w:shd w:val="clear" w:color="auto" w:fill="FFFF00"/>
            <w:tcW w:w="7089"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РАЗОМ</w:t>
            </w:r>
            <w:r/>
          </w:p>
        </w:tc>
        <w:tc>
          <w:tcPr>
            <w:shd w:val="clear" w:color="auto" w:fill="FFFF00"/>
            <w:tcW w:w="1701"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tc>
        <w:tc>
          <w:tcPr>
            <w:shd w:val="clear" w:color="auto" w:fill="FFFF00"/>
            <w:tcW w:w="992"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r>
            <w:r/>
          </w:p>
        </w:tc>
        <w:tc>
          <w:tcPr>
            <w:shd w:val="clear" w:color="auto" w:fill="FFFF00"/>
            <w:tcW w:w="1553"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243 465</w:t>
            </w:r>
            <w:r>
              <w:rPr>
                <w:rFonts w:ascii="Arial" w:hAnsi="Arial" w:cs="Arial"/>
                <w:b/>
                <w:sz w:val="24"/>
                <w:szCs w:val="24"/>
                <w:lang w:val="uk-UA"/>
              </w:rPr>
              <w:t xml:space="preserve"> 000</w:t>
            </w:r>
            <w:r/>
          </w:p>
        </w:tc>
        <w:tc>
          <w:tcPr>
            <w:shd w:val="clear" w:color="auto" w:fill="FFFF00"/>
            <w:tcW w:w="114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33 009</w:t>
            </w:r>
            <w:r/>
          </w:p>
        </w:tc>
        <w:tc>
          <w:tcPr>
            <w:shd w:val="clear" w:color="auto" w:fill="FFFF00"/>
            <w:tcW w:w="1276"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7 081</w:t>
            </w:r>
            <w:r/>
          </w:p>
        </w:tc>
        <w:tc>
          <w:tcPr>
            <w:shd w:val="clear" w:color="auto" w:fill="FFFF00"/>
            <w:tcW w:w="1134"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11 430</w:t>
            </w:r>
            <w:r/>
          </w:p>
        </w:tc>
        <w:tc>
          <w:tcPr>
            <w:shd w:val="clear" w:color="auto" w:fill="FFFF00"/>
            <w:tcW w:w="850" w:type="dxa"/>
            <w:vAlign w:val="center"/>
            <w:textDirection w:val="lrTb"/>
            <w:noWrap w:val="false"/>
          </w:tcPr>
          <w:p>
            <w:pPr>
              <w:jc w:val="both"/>
              <w:rPr>
                <w:rFonts w:ascii="Arial" w:hAnsi="Arial" w:cs="Arial"/>
                <w:b/>
                <w:sz w:val="24"/>
                <w:szCs w:val="24"/>
                <w:lang w:val="uk-UA"/>
              </w:rPr>
            </w:pPr>
            <w:r>
              <w:rPr>
                <w:rFonts w:ascii="Arial" w:hAnsi="Arial" w:cs="Arial"/>
                <w:b/>
                <w:sz w:val="24"/>
                <w:szCs w:val="24"/>
                <w:lang w:val="uk-UA"/>
              </w:rPr>
              <w:t xml:space="preserve">31,7</w:t>
            </w:r>
            <w:r>
              <w:rPr>
                <w:rFonts w:ascii="Arial" w:hAnsi="Arial" w:cs="Arial"/>
                <w:b/>
                <w:sz w:val="24"/>
                <w:szCs w:val="24"/>
                <w:lang w:val="uk-UA"/>
              </w:rPr>
              <w:t xml:space="preserve">8</w:t>
            </w:r>
            <w:r/>
          </w:p>
        </w:tc>
      </w:tr>
    </w:tbl>
    <w:p>
      <w:pPr>
        <w:jc w:val="both"/>
        <w:spacing w:lineRule="auto" w:line="240" w:after="0"/>
        <w:rPr>
          <w:rFonts w:ascii="Arial" w:hAnsi="Arial" w:cs="Arial"/>
          <w:b/>
          <w:sz w:val="24"/>
          <w:szCs w:val="24"/>
          <w:lang w:val="uk-UA"/>
        </w:rPr>
      </w:pPr>
      <w:r>
        <w:rPr>
          <w:rFonts w:ascii="Arial" w:hAnsi="Arial" w:cs="Arial"/>
          <w:b/>
          <w:sz w:val="24"/>
          <w:szCs w:val="24"/>
          <w:lang w:val="uk-UA"/>
        </w:rPr>
      </w:r>
      <w:r/>
    </w:p>
    <w:p>
      <w:pPr>
        <w:jc w:val="both"/>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spacing w:lineRule="auto" w:line="240" w:after="0"/>
        <w:rPr>
          <w:rFonts w:ascii="Arial" w:hAnsi="Arial" w:cs="Arial"/>
          <w:b/>
          <w:sz w:val="32"/>
          <w:szCs w:val="32"/>
          <w:lang w:val="uk-UA"/>
        </w:rPr>
      </w:pPr>
      <w:r>
        <w:rPr>
          <w:rFonts w:ascii="Arial" w:hAnsi="Arial" w:cs="Arial"/>
          <w:b/>
          <w:sz w:val="32"/>
          <w:szCs w:val="32"/>
          <w:lang w:val="uk-UA"/>
        </w:rPr>
      </w:r>
      <w:r/>
    </w:p>
    <w:p>
      <w:pPr>
        <w:jc w:val="right"/>
        <w:spacing w:lineRule="auto" w:line="240" w:after="0"/>
        <w:rPr>
          <w:rFonts w:ascii="Arial" w:hAnsi="Arial" w:cs="Arial"/>
          <w:b/>
          <w:sz w:val="24"/>
          <w:szCs w:val="24"/>
          <w:lang w:val="uk-UA"/>
        </w:rPr>
      </w:pPr>
      <w:r>
        <w:rPr>
          <w:rFonts w:ascii="Arial" w:hAnsi="Arial" w:cs="Arial"/>
          <w:b/>
          <w:sz w:val="24"/>
          <w:szCs w:val="24"/>
          <w:lang w:val="uk-UA"/>
        </w:rPr>
        <w:t xml:space="preserve">Додаток 4</w:t>
      </w:r>
      <w:r/>
    </w:p>
    <w:p>
      <w:pPr>
        <w:jc w:val="center"/>
        <w:spacing w:lineRule="auto" w:line="240" w:after="0"/>
        <w:rPr>
          <w:rFonts w:ascii="Arial" w:hAnsi="Arial" w:cs="Arial"/>
          <w:b/>
          <w:sz w:val="24"/>
          <w:szCs w:val="24"/>
          <w:lang w:val="uk-UA"/>
        </w:rPr>
      </w:pPr>
      <w:r>
        <w:rPr>
          <w:rFonts w:ascii="Arial" w:hAnsi="Arial" w:cs="Arial"/>
          <w:b/>
          <w:sz w:val="24"/>
          <w:szCs w:val="24"/>
          <w:lang w:val="uk-UA"/>
        </w:rPr>
        <w:t xml:space="preserve">Заходи з адаптації  до змін клімату у </w:t>
      </w:r>
      <w:r>
        <w:rPr>
          <w:rFonts w:ascii="Arial" w:hAnsi="Arial" w:cs="Arial"/>
          <w:b/>
          <w:sz w:val="24"/>
          <w:szCs w:val="24"/>
          <w:lang w:val="uk-UA"/>
        </w:rPr>
        <w:t xml:space="preserve">Менській громаді</w:t>
      </w:r>
      <w:r/>
    </w:p>
    <w:p>
      <w:pPr>
        <w:jc w:val="center"/>
        <w:spacing w:lineRule="auto" w:line="240" w:after="0"/>
        <w:rPr>
          <w:rFonts w:ascii="Arial" w:hAnsi="Arial" w:cs="Arial"/>
          <w:b/>
          <w:sz w:val="24"/>
          <w:szCs w:val="24"/>
          <w:lang w:val="uk-UA"/>
        </w:rPr>
      </w:pPr>
      <w:r>
        <w:rPr>
          <w:rFonts w:ascii="Arial" w:hAnsi="Arial" w:cs="Arial"/>
          <w:b/>
          <w:sz w:val="24"/>
          <w:szCs w:val="24"/>
          <w:lang w:val="uk-UA"/>
        </w:rPr>
      </w:r>
      <w:r/>
    </w:p>
    <w:tbl>
      <w:tblPr>
        <w:tblStyle w:val="521"/>
        <w:tblW w:w="15167" w:type="dxa"/>
        <w:tblInd w:w="-431" w:type="dxa"/>
        <w:tblLook w:val="04A0" w:firstRow="1" w:lastRow="0" w:firstColumn="1" w:lastColumn="0" w:noHBand="0" w:noVBand="1"/>
      </w:tblPr>
      <w:tblGrid>
        <w:gridCol w:w="4079"/>
        <w:gridCol w:w="5234"/>
        <w:gridCol w:w="1384"/>
        <w:gridCol w:w="2123"/>
        <w:gridCol w:w="2347"/>
      </w:tblGrid>
      <w:tr>
        <w:trPr>
          <w:trHeight w:val="339"/>
        </w:trPr>
        <w:tc>
          <w:tcPr>
            <w:shd w:val="clear" w:color="auto" w:fill="FFCCCC"/>
            <w:tcW w:w="4079" w:type="dxa"/>
            <w:textDirection w:val="lrTb"/>
            <w:noWrap w:val="false"/>
          </w:tcPr>
          <w:p>
            <w:pPr>
              <w:jc w:val="center"/>
              <w:rPr>
                <w:rFonts w:ascii="Arial" w:hAnsi="Arial" w:cs="Arial"/>
                <w:b/>
                <w:sz w:val="24"/>
                <w:szCs w:val="24"/>
                <w:lang w:val="uk-UA"/>
              </w:rPr>
            </w:pPr>
            <w:r>
              <w:rPr>
                <w:rFonts w:ascii="Arial" w:hAnsi="Arial" w:cs="Arial"/>
                <w:b/>
                <w:sz w:val="24"/>
                <w:szCs w:val="24"/>
                <w:lang w:val="uk-UA"/>
              </w:rPr>
            </w:r>
            <w:r/>
          </w:p>
          <w:p>
            <w:pPr>
              <w:jc w:val="center"/>
              <w:rPr>
                <w:rFonts w:ascii="Arial" w:hAnsi="Arial" w:cs="Arial"/>
                <w:b/>
                <w:sz w:val="24"/>
                <w:szCs w:val="24"/>
                <w:lang w:val="uk-UA"/>
              </w:rPr>
            </w:pPr>
            <w:r>
              <w:rPr>
                <w:rFonts w:ascii="Arial" w:hAnsi="Arial" w:cs="Arial"/>
                <w:b/>
                <w:sz w:val="24"/>
                <w:szCs w:val="24"/>
                <w:lang w:val="uk-UA"/>
              </w:rPr>
              <w:t xml:space="preserve">Назва заходу</w:t>
            </w:r>
            <w:r/>
          </w:p>
        </w:tc>
        <w:tc>
          <w:tcPr>
            <w:shd w:val="clear" w:color="auto" w:fill="FFCCCC"/>
            <w:tcW w:w="5234" w:type="dxa"/>
            <w:textDirection w:val="lrTb"/>
            <w:noWrap w:val="false"/>
          </w:tcPr>
          <w:p>
            <w:pPr>
              <w:jc w:val="center"/>
              <w:rPr>
                <w:rFonts w:ascii="Arial" w:hAnsi="Arial" w:cs="Arial"/>
                <w:b/>
                <w:sz w:val="24"/>
                <w:szCs w:val="24"/>
                <w:lang w:val="uk-UA"/>
              </w:rPr>
            </w:pPr>
            <w:r>
              <w:rPr>
                <w:rFonts w:ascii="Arial" w:hAnsi="Arial" w:cs="Arial"/>
                <w:b/>
                <w:sz w:val="24"/>
                <w:szCs w:val="24"/>
                <w:lang w:val="uk-UA"/>
              </w:rPr>
            </w:r>
            <w:r/>
          </w:p>
          <w:p>
            <w:pPr>
              <w:jc w:val="center"/>
              <w:rPr>
                <w:rFonts w:ascii="Arial" w:hAnsi="Arial" w:cs="Arial"/>
                <w:b/>
                <w:sz w:val="24"/>
                <w:szCs w:val="24"/>
                <w:lang w:val="uk-UA"/>
              </w:rPr>
            </w:pPr>
            <w:r>
              <w:rPr>
                <w:rFonts w:ascii="Arial" w:hAnsi="Arial" w:cs="Arial"/>
                <w:b/>
                <w:sz w:val="24"/>
                <w:szCs w:val="24"/>
                <w:lang w:val="uk-UA"/>
              </w:rPr>
              <w:t xml:space="preserve">Зміст  заходу</w:t>
            </w:r>
            <w:r/>
          </w:p>
        </w:tc>
        <w:tc>
          <w:tcPr>
            <w:shd w:val="clear" w:color="auto" w:fill="FFCCCC"/>
            <w:tcW w:w="1384" w:type="dxa"/>
            <w:textDirection w:val="lrTb"/>
            <w:noWrap w:val="false"/>
          </w:tcPr>
          <w:p>
            <w:pPr>
              <w:jc w:val="center"/>
              <w:rPr>
                <w:rFonts w:ascii="Arial" w:hAnsi="Arial" w:cs="Arial"/>
                <w:b/>
                <w:sz w:val="24"/>
                <w:szCs w:val="24"/>
                <w:lang w:val="uk-UA"/>
              </w:rPr>
            </w:pPr>
            <w:r>
              <w:rPr>
                <w:rFonts w:ascii="Arial" w:hAnsi="Arial" w:cs="Arial"/>
                <w:b/>
                <w:sz w:val="24"/>
                <w:szCs w:val="24"/>
                <w:lang w:val="uk-UA"/>
              </w:rPr>
            </w:r>
            <w:r/>
          </w:p>
          <w:p>
            <w:pPr>
              <w:jc w:val="center"/>
              <w:rPr>
                <w:rFonts w:ascii="Arial" w:hAnsi="Arial" w:cs="Arial"/>
                <w:b/>
                <w:sz w:val="24"/>
                <w:szCs w:val="24"/>
                <w:lang w:val="uk-UA"/>
              </w:rPr>
            </w:pPr>
            <w:r>
              <w:rPr>
                <w:rFonts w:ascii="Arial" w:hAnsi="Arial" w:cs="Arial"/>
                <w:b/>
                <w:sz w:val="24"/>
                <w:szCs w:val="24"/>
                <w:lang w:val="uk-UA"/>
              </w:rPr>
              <w:t xml:space="preserve">Термін реалізації</w:t>
            </w:r>
            <w:r/>
          </w:p>
        </w:tc>
        <w:tc>
          <w:tcPr>
            <w:shd w:val="clear" w:color="auto" w:fill="FFCCCC"/>
            <w:tcW w:w="2123" w:type="dxa"/>
            <w:textDirection w:val="lrTb"/>
            <w:noWrap w:val="false"/>
          </w:tcPr>
          <w:p>
            <w:pPr>
              <w:jc w:val="center"/>
              <w:rPr>
                <w:rFonts w:ascii="Arial" w:hAnsi="Arial" w:cs="Arial"/>
                <w:b/>
                <w:sz w:val="24"/>
                <w:szCs w:val="24"/>
                <w:lang w:val="uk-UA"/>
              </w:rPr>
            </w:pPr>
            <w:r>
              <w:rPr>
                <w:rFonts w:ascii="Arial" w:hAnsi="Arial" w:cs="Arial"/>
                <w:b/>
                <w:sz w:val="24"/>
                <w:szCs w:val="24"/>
                <w:lang w:val="uk-UA"/>
              </w:rPr>
            </w:r>
            <w:r/>
          </w:p>
          <w:p>
            <w:pPr>
              <w:jc w:val="center"/>
              <w:rPr>
                <w:rFonts w:ascii="Arial" w:hAnsi="Arial" w:cs="Arial"/>
                <w:b/>
                <w:sz w:val="24"/>
                <w:szCs w:val="24"/>
                <w:lang w:val="uk-UA"/>
              </w:rPr>
            </w:pPr>
            <w:r>
              <w:rPr>
                <w:rFonts w:ascii="Arial" w:hAnsi="Arial" w:cs="Arial"/>
                <w:b/>
                <w:sz w:val="24"/>
                <w:szCs w:val="24"/>
                <w:lang w:val="uk-UA"/>
              </w:rPr>
              <w:t xml:space="preserve">Джерела фінансування</w:t>
            </w:r>
            <w:r/>
          </w:p>
        </w:tc>
        <w:tc>
          <w:tcPr>
            <w:shd w:val="clear" w:color="auto" w:fill="FFCCCC"/>
            <w:tcW w:w="2347" w:type="dxa"/>
            <w:textDirection w:val="lrTb"/>
            <w:noWrap w:val="false"/>
          </w:tcPr>
          <w:p>
            <w:pPr>
              <w:jc w:val="center"/>
              <w:rPr>
                <w:rFonts w:ascii="Arial" w:hAnsi="Arial" w:cs="Arial"/>
                <w:b/>
                <w:sz w:val="24"/>
                <w:szCs w:val="24"/>
                <w:lang w:val="uk-UA"/>
              </w:rPr>
            </w:pPr>
            <w:r>
              <w:rPr>
                <w:rFonts w:ascii="Arial" w:hAnsi="Arial" w:cs="Arial"/>
                <w:b/>
                <w:sz w:val="24"/>
                <w:szCs w:val="24"/>
                <w:lang w:val="uk-UA"/>
              </w:rPr>
            </w:r>
            <w:r/>
          </w:p>
          <w:p>
            <w:pPr>
              <w:jc w:val="center"/>
              <w:rPr>
                <w:rFonts w:ascii="Arial" w:hAnsi="Arial" w:cs="Arial"/>
                <w:b/>
                <w:sz w:val="24"/>
                <w:szCs w:val="24"/>
                <w:lang w:val="uk-UA"/>
              </w:rPr>
            </w:pPr>
            <w:r>
              <w:rPr>
                <w:rFonts w:ascii="Arial" w:hAnsi="Arial" w:cs="Arial"/>
                <w:b/>
                <w:sz w:val="24"/>
                <w:szCs w:val="24"/>
                <w:lang w:val="uk-UA"/>
              </w:rPr>
              <w:t xml:space="preserve">Сума фінансування</w:t>
            </w:r>
            <w:r>
              <w:rPr>
                <w:rFonts w:ascii="Arial" w:hAnsi="Arial" w:cs="Arial"/>
                <w:b/>
                <w:sz w:val="24"/>
                <w:szCs w:val="24"/>
                <w:lang w:val="uk-UA"/>
              </w:rPr>
              <w:t xml:space="preserve"> (грн.)</w:t>
            </w:r>
            <w:r/>
          </w:p>
        </w:tc>
      </w:tr>
      <w:tr>
        <w:trPr>
          <w:trHeight w:val="339"/>
        </w:trPr>
        <w:tc>
          <w:tcPr>
            <w:gridSpan w:val="5"/>
            <w:shd w:val="clear" w:color="auto" w:fill="BCFFDA" w:themeFill="accent1" w:themeFillTint="33"/>
            <w:tcW w:w="1516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t xml:space="preserve">Вода</w:t>
            </w:r>
            <w:r/>
          </w:p>
        </w:tc>
      </w:tr>
      <w:tr>
        <w:trPr>
          <w:trHeight w:val="339"/>
        </w:trPr>
        <w:tc>
          <w:tcPr>
            <w:tcW w:w="4079"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Запобігання замуленню річки Десна</w:t>
            </w:r>
            <w:r/>
          </w:p>
        </w:tc>
        <w:tc>
          <w:tcPr>
            <w:tcW w:w="5234" w:type="dxa"/>
            <w:textDirection w:val="lrTb"/>
            <w:noWrap w:val="false"/>
          </w:tcPr>
          <w:p>
            <w:pPr>
              <w:pStyle w:val="544"/>
              <w:jc w:val="both"/>
              <w:rPr>
                <w:rFonts w:ascii="Arial" w:hAnsi="Arial" w:cs="Arial"/>
                <w:b/>
                <w:lang w:val="uk-UA"/>
              </w:rPr>
            </w:pPr>
            <w:r>
              <w:rPr>
                <w:rFonts w:ascii="Arial" w:hAnsi="Arial" w:cs="Arial"/>
                <w:b/>
                <w:lang w:val="uk-UA"/>
              </w:rPr>
              <w:t xml:space="preserve">1. Санітарне підтримання стану річки.</w:t>
            </w:r>
            <w:r/>
          </w:p>
          <w:p>
            <w:pPr>
              <w:pStyle w:val="544"/>
              <w:jc w:val="both"/>
              <w:rPr>
                <w:rFonts w:ascii="Arial" w:hAnsi="Arial" w:cs="Arial"/>
                <w:b/>
                <w:lang w:val="uk-UA"/>
              </w:rPr>
            </w:pPr>
            <w:r>
              <w:rPr>
                <w:rFonts w:ascii="Arial" w:hAnsi="Arial" w:cs="Arial"/>
                <w:b/>
                <w:lang w:val="uk-UA"/>
              </w:rPr>
              <w:t xml:space="preserve">2.Відновлення судноплавного статусу річки Десна.</w:t>
            </w:r>
            <w:r/>
          </w:p>
          <w:p>
            <w:pPr>
              <w:pStyle w:val="544"/>
              <w:jc w:val="both"/>
              <w:rPr>
                <w:rFonts w:ascii="Arial" w:hAnsi="Arial" w:cs="Arial"/>
                <w:b/>
                <w:lang w:val="uk-UA"/>
              </w:rPr>
            </w:pPr>
            <w:r>
              <w:rPr>
                <w:rFonts w:ascii="Arial" w:hAnsi="Arial" w:cs="Arial"/>
                <w:b/>
                <w:lang w:val="uk-UA"/>
              </w:rPr>
              <w:t xml:space="preserve">3.Зменшення руйнівного впливу річки на береги.</w:t>
            </w:r>
            <w:r/>
          </w:p>
        </w:tc>
        <w:tc>
          <w:tcPr>
            <w:tcW w:w="1384"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2020</w:t>
            </w:r>
            <w:r/>
          </w:p>
        </w:tc>
        <w:tc>
          <w:tcPr>
            <w:tcW w:w="2123"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Місцевий бюджет, інші бюджети, приватні кошти</w:t>
            </w:r>
            <w:r/>
          </w:p>
        </w:tc>
        <w:tc>
          <w:tcPr>
            <w:tcW w:w="234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r>
            <w:r/>
          </w:p>
          <w:p>
            <w:pPr>
              <w:ind w:left="29"/>
              <w:jc w:val="center"/>
              <w:rPr>
                <w:rFonts w:ascii="Arial" w:hAnsi="Arial" w:cs="Arial"/>
                <w:b/>
                <w:sz w:val="24"/>
                <w:szCs w:val="24"/>
                <w:lang w:val="uk-UA"/>
              </w:rPr>
            </w:pPr>
            <w:r>
              <w:rPr>
                <w:rFonts w:ascii="Arial" w:hAnsi="Arial" w:cs="Arial"/>
                <w:b/>
                <w:sz w:val="24"/>
                <w:szCs w:val="24"/>
                <w:lang w:val="uk-UA"/>
              </w:rPr>
              <w:t xml:space="preserve">1</w:t>
            </w:r>
            <w:r>
              <w:rPr>
                <w:rFonts w:ascii="Arial" w:hAnsi="Arial" w:cs="Arial"/>
                <w:b/>
                <w:sz w:val="24"/>
                <w:szCs w:val="24"/>
                <w:lang w:val="uk-UA"/>
              </w:rPr>
              <w:t xml:space="preserve"> 000 000</w:t>
            </w:r>
            <w:r/>
          </w:p>
        </w:tc>
      </w:tr>
      <w:tr>
        <w:trPr>
          <w:trHeight w:val="339"/>
        </w:trPr>
        <w:tc>
          <w:tcPr>
            <w:tcW w:w="4079"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Впорядкування мереж водопостачання та водовідведення¸ очистки води</w:t>
            </w:r>
            <w:r/>
          </w:p>
        </w:tc>
        <w:tc>
          <w:tcPr>
            <w:tcW w:w="5234" w:type="dxa"/>
            <w:textDirection w:val="lrTb"/>
            <w:noWrap w:val="false"/>
          </w:tcPr>
          <w:p>
            <w:pPr>
              <w:pStyle w:val="544"/>
              <w:jc w:val="both"/>
              <w:rPr>
                <w:rFonts w:ascii="Arial" w:hAnsi="Arial" w:cs="Arial"/>
                <w:b/>
                <w:lang w:val="uk-UA"/>
              </w:rPr>
            </w:pPr>
            <w:r>
              <w:rPr>
                <w:rFonts w:ascii="Arial" w:hAnsi="Arial" w:cs="Arial"/>
                <w:b/>
                <w:lang w:val="uk-UA"/>
              </w:rPr>
              <w:t xml:space="preserve">Розробка Схем оптимізації роботи системи централізованого водопостачання населених пунктів Менської міської об'єднаної територіальної громади</w:t>
            </w:r>
            <w:r/>
          </w:p>
        </w:tc>
        <w:tc>
          <w:tcPr>
            <w:tcW w:w="1384"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2020</w:t>
            </w:r>
            <w:r/>
          </w:p>
        </w:tc>
        <w:tc>
          <w:tcPr>
            <w:tcW w:w="2123"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Місцевий бюджет, інші бюджети</w:t>
            </w:r>
            <w:r/>
          </w:p>
        </w:tc>
        <w:tc>
          <w:tcPr>
            <w:tcW w:w="234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r>
            <w:r/>
          </w:p>
          <w:p>
            <w:pPr>
              <w:ind w:left="29"/>
              <w:jc w:val="center"/>
              <w:rPr>
                <w:rFonts w:ascii="Arial" w:hAnsi="Arial" w:cs="Arial"/>
                <w:b/>
                <w:sz w:val="24"/>
                <w:szCs w:val="24"/>
                <w:lang w:val="uk-UA"/>
              </w:rPr>
            </w:pPr>
            <w:r>
              <w:rPr>
                <w:rFonts w:ascii="Arial" w:hAnsi="Arial" w:cs="Arial"/>
                <w:b/>
                <w:sz w:val="24"/>
                <w:szCs w:val="24"/>
                <w:lang w:val="uk-UA"/>
              </w:rPr>
              <w:t xml:space="preserve">100 000</w:t>
            </w:r>
            <w:r/>
          </w:p>
        </w:tc>
      </w:tr>
      <w:tr>
        <w:trPr>
          <w:trHeight w:val="339"/>
        </w:trPr>
        <w:tc>
          <w:tcPr>
            <w:gridSpan w:val="5"/>
            <w:shd w:val="clear" w:color="auto" w:fill="BCFFDA" w:themeFill="accent1" w:themeFillTint="33"/>
            <w:tcW w:w="1516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t xml:space="preserve">Відходи</w:t>
            </w:r>
            <w:r/>
          </w:p>
        </w:tc>
      </w:tr>
      <w:tr>
        <w:trPr>
          <w:trHeight w:val="339"/>
        </w:trPr>
        <w:tc>
          <w:tcPr>
            <w:tcW w:w="4079"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Ліквідація стихійних сміттєзвалищ, налагодження в межах громади системи збирання, сортування та утилізації сміття</w:t>
            </w:r>
            <w:r/>
          </w:p>
        </w:tc>
        <w:tc>
          <w:tcPr>
            <w:tcW w:w="5234" w:type="dxa"/>
            <w:textDirection w:val="lrTb"/>
            <w:noWrap w:val="false"/>
          </w:tcPr>
          <w:p>
            <w:pPr>
              <w:pStyle w:val="544"/>
              <w:rPr>
                <w:rFonts w:ascii="Arial" w:hAnsi="Arial" w:cs="Arial"/>
                <w:b/>
                <w:lang w:val="uk-UA"/>
              </w:rPr>
            </w:pPr>
            <w:r>
              <w:rPr>
                <w:rFonts w:ascii="Arial" w:hAnsi="Arial" w:cs="Arial"/>
                <w:b/>
                <w:lang w:val="uk-UA"/>
              </w:rPr>
              <w:t xml:space="preserve">• Запровадження методу роздільного збору сміття;</w:t>
            </w:r>
            <w:r/>
          </w:p>
          <w:p>
            <w:pPr>
              <w:pStyle w:val="544"/>
              <w:rPr>
                <w:rFonts w:ascii="Arial" w:hAnsi="Arial" w:cs="Arial"/>
                <w:b/>
                <w:lang w:val="uk-UA"/>
              </w:rPr>
            </w:pPr>
            <w:r>
              <w:rPr>
                <w:rFonts w:ascii="Arial" w:hAnsi="Arial" w:cs="Arial"/>
                <w:b/>
                <w:lang w:val="uk-UA"/>
              </w:rPr>
              <w:t xml:space="preserve">• Проведення еко-освіти із населенням громади;</w:t>
            </w:r>
            <w:r/>
          </w:p>
          <w:p>
            <w:pPr>
              <w:pStyle w:val="544"/>
              <w:rPr>
                <w:rFonts w:ascii="Arial" w:hAnsi="Arial" w:cs="Arial"/>
                <w:b/>
                <w:lang w:val="uk-UA"/>
              </w:rPr>
            </w:pPr>
            <w:r>
              <w:rPr>
                <w:rFonts w:ascii="Arial" w:hAnsi="Arial" w:cs="Arial"/>
                <w:b/>
                <w:lang w:val="uk-UA"/>
              </w:rPr>
              <w:t xml:space="preserve">• Будівництво цеху та сортувальної лінії;</w:t>
            </w:r>
            <w:r/>
          </w:p>
          <w:p>
            <w:pPr>
              <w:pStyle w:val="544"/>
              <w:rPr>
                <w:rFonts w:ascii="Arial" w:hAnsi="Arial" w:cs="Arial"/>
                <w:b/>
                <w:lang w:val="uk-UA"/>
              </w:rPr>
            </w:pPr>
            <w:r>
              <w:rPr>
                <w:rFonts w:ascii="Arial" w:hAnsi="Arial" w:cs="Arial"/>
                <w:b/>
                <w:lang w:val="uk-UA"/>
              </w:rPr>
              <w:t xml:space="preserve">• Зменшення вивезення ТПВ на полігон;</w:t>
            </w:r>
            <w:r/>
          </w:p>
          <w:p>
            <w:pPr>
              <w:pStyle w:val="544"/>
              <w:rPr>
                <w:rFonts w:ascii="Arial" w:hAnsi="Arial" w:cs="Arial"/>
                <w:b/>
                <w:lang w:val="uk-UA"/>
              </w:rPr>
            </w:pPr>
            <w:r>
              <w:rPr>
                <w:rFonts w:ascii="Arial" w:hAnsi="Arial" w:cs="Arial"/>
                <w:b/>
                <w:lang w:val="uk-UA"/>
              </w:rPr>
              <w:t xml:space="preserve">• Реалізація сировини.</w:t>
            </w:r>
            <w:r/>
          </w:p>
          <w:p>
            <w:pPr>
              <w:pStyle w:val="544"/>
              <w:rPr>
                <w:rFonts w:ascii="Arial" w:hAnsi="Arial" w:cs="Arial"/>
                <w:b/>
                <w:lang w:val="uk-UA"/>
              </w:rPr>
            </w:pPr>
            <w:r>
              <w:rPr>
                <w:rFonts w:ascii="Arial" w:hAnsi="Arial" w:cs="Arial"/>
                <w:b/>
                <w:lang w:val="uk-UA"/>
              </w:rPr>
            </w:r>
            <w:r/>
          </w:p>
          <w:p>
            <w:pPr>
              <w:pStyle w:val="544"/>
              <w:rPr>
                <w:rFonts w:ascii="Arial" w:hAnsi="Arial" w:cs="Arial"/>
                <w:b/>
                <w:lang w:val="uk-UA"/>
              </w:rPr>
            </w:pPr>
            <w:r>
              <w:rPr>
                <w:rFonts w:ascii="Arial" w:hAnsi="Arial" w:cs="Arial"/>
                <w:b/>
                <w:lang w:val="uk-UA"/>
              </w:rPr>
            </w:r>
            <w:r/>
          </w:p>
          <w:p>
            <w:pPr>
              <w:pStyle w:val="544"/>
              <w:rPr>
                <w:rFonts w:ascii="Arial" w:hAnsi="Arial" w:cs="Arial"/>
                <w:b/>
                <w:lang w:val="uk-UA"/>
              </w:rPr>
            </w:pPr>
            <w:r>
              <w:rPr>
                <w:rFonts w:ascii="Arial" w:hAnsi="Arial" w:cs="Arial"/>
                <w:b/>
                <w:lang w:val="uk-UA"/>
              </w:rPr>
            </w:r>
            <w:r/>
          </w:p>
        </w:tc>
        <w:tc>
          <w:tcPr>
            <w:tcW w:w="1384"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2020 - 2024</w:t>
            </w:r>
            <w:r/>
          </w:p>
        </w:tc>
        <w:tc>
          <w:tcPr>
            <w:tcW w:w="2123"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Місцевий бюджет, інші бюджети, приватні кошти</w:t>
            </w:r>
            <w:r/>
          </w:p>
        </w:tc>
        <w:tc>
          <w:tcPr>
            <w:tcW w:w="234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r>
            <w:r/>
          </w:p>
          <w:p>
            <w:pPr>
              <w:ind w:left="29"/>
              <w:jc w:val="center"/>
              <w:rPr>
                <w:rFonts w:ascii="Arial" w:hAnsi="Arial" w:cs="Arial"/>
                <w:b/>
                <w:sz w:val="24"/>
                <w:szCs w:val="24"/>
                <w:lang w:val="uk-UA"/>
              </w:rPr>
            </w:pPr>
            <w:r>
              <w:rPr>
                <w:rFonts w:ascii="Arial" w:hAnsi="Arial" w:cs="Arial"/>
                <w:b/>
                <w:sz w:val="24"/>
                <w:szCs w:val="24"/>
                <w:lang w:val="uk-UA"/>
              </w:rPr>
              <w:t xml:space="preserve">6 500 000</w:t>
            </w:r>
            <w:r/>
          </w:p>
        </w:tc>
      </w:tr>
      <w:tr>
        <w:trPr>
          <w:trHeight w:val="339"/>
        </w:trPr>
        <w:tc>
          <w:tcPr>
            <w:gridSpan w:val="5"/>
            <w:shd w:val="clear" w:color="auto" w:fill="BCFFDA" w:themeFill="accent1" w:themeFillTint="33"/>
            <w:tcW w:w="15167" w:type="dxa"/>
            <w:textDirection w:val="lrTb"/>
            <w:noWrap w:val="false"/>
          </w:tcPr>
          <w:p>
            <w:pPr>
              <w:ind w:left="29"/>
              <w:jc w:val="center"/>
              <w:rPr>
                <w:rFonts w:ascii="Arial" w:hAnsi="Arial" w:cs="Arial"/>
                <w:b/>
                <w:sz w:val="24"/>
                <w:szCs w:val="24"/>
                <w:lang w:val="uk-UA"/>
              </w:rPr>
            </w:pPr>
            <w:r>
              <w:rPr>
                <w:rFonts w:ascii="Arial" w:hAnsi="Arial" w:cs="Arial"/>
                <w:b/>
                <w:sz w:val="24"/>
                <w:szCs w:val="24"/>
                <w:shd w:val="clear" w:color="auto" w:fill="BCFFDA" w:themeFill="accent1" w:themeFillTint="33"/>
                <w:lang w:val="uk-UA"/>
              </w:rPr>
              <w:t xml:space="preserve">Планування землекористування</w:t>
            </w:r>
            <w:r/>
          </w:p>
        </w:tc>
      </w:tr>
      <w:tr>
        <w:trPr>
          <w:trHeight w:val="339"/>
        </w:trPr>
        <w:tc>
          <w:tcPr>
            <w:tcW w:w="4079"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Впорядкування містобудівної політики</w:t>
            </w:r>
            <w:r>
              <w:rPr>
                <w:rFonts w:ascii="Arial" w:hAnsi="Arial" w:cs="Arial"/>
                <w:b/>
                <w:sz w:val="24"/>
                <w:szCs w:val="24"/>
                <w:lang w:val="uk-UA"/>
              </w:rPr>
              <w:t xml:space="preserve"> (територіальне планування)</w:t>
            </w:r>
            <w:r/>
          </w:p>
        </w:tc>
        <w:tc>
          <w:tcPr>
            <w:tcW w:w="5234"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Розробка нових генеральних планів та зонінгу для населених пунктів громади, її просторового планування</w:t>
            </w:r>
            <w:r/>
          </w:p>
        </w:tc>
        <w:tc>
          <w:tcPr>
            <w:tcW w:w="1384"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2020</w:t>
            </w:r>
            <w:r/>
          </w:p>
        </w:tc>
        <w:tc>
          <w:tcPr>
            <w:tcW w:w="2123"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Місцевий бюджет</w:t>
            </w:r>
            <w:r/>
          </w:p>
        </w:tc>
        <w:tc>
          <w:tcPr>
            <w:tcW w:w="2347" w:type="dxa"/>
            <w:textDirection w:val="lrTb"/>
            <w:noWrap w:val="false"/>
          </w:tcPr>
          <w:p>
            <w:pPr>
              <w:jc w:val="center"/>
              <w:rPr>
                <w:rFonts w:ascii="Arial" w:hAnsi="Arial" w:cs="Arial"/>
                <w:b/>
                <w:sz w:val="24"/>
                <w:szCs w:val="24"/>
                <w:lang w:val="uk-UA"/>
              </w:rPr>
            </w:pPr>
            <w:r>
              <w:rPr>
                <w:rFonts w:ascii="Arial" w:hAnsi="Arial" w:cs="Arial"/>
                <w:b/>
                <w:sz w:val="24"/>
                <w:szCs w:val="24"/>
                <w:lang w:val="uk-UA"/>
              </w:rPr>
              <w:t xml:space="preserve">2</w:t>
            </w:r>
            <w:r>
              <w:rPr>
                <w:rFonts w:ascii="Arial" w:hAnsi="Arial" w:cs="Arial"/>
                <w:b/>
                <w:sz w:val="24"/>
                <w:szCs w:val="24"/>
                <w:lang w:val="uk-UA"/>
              </w:rPr>
              <w:t xml:space="preserve">00 000</w:t>
            </w:r>
            <w:r/>
          </w:p>
        </w:tc>
      </w:tr>
      <w:tr>
        <w:trPr>
          <w:trHeight w:val="339"/>
        </w:trPr>
        <w:tc>
          <w:tcPr>
            <w:tcW w:w="4079"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Сприяння розвитку на теренах громади переробної промисловості та логістичних центрів</w:t>
            </w:r>
            <w:r/>
          </w:p>
        </w:tc>
        <w:tc>
          <w:tcPr>
            <w:tcW w:w="5234"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Створення індустріального парку в пд.-сх. частині міста Мен</w:t>
            </w:r>
            <w:r>
              <w:rPr>
                <w:rFonts w:ascii="Arial" w:hAnsi="Arial" w:cs="Arial"/>
                <w:b/>
                <w:sz w:val="24"/>
                <w:szCs w:val="24"/>
                <w:lang w:val="uk-UA"/>
              </w:rPr>
              <w:t xml:space="preserve">а,  шляхом формування єдиної облаштованої території для розміщення нових об’єктів у сфері промислового виробництва, інновацій, супутнього сервісу та ін. Створення та розвиток індустріального парку "Менський" дозволить економічно, екологічно та естетично ст</w:t>
            </w:r>
            <w:r>
              <w:rPr>
                <w:rFonts w:ascii="Arial" w:hAnsi="Arial" w:cs="Arial"/>
                <w:b/>
                <w:sz w:val="24"/>
                <w:szCs w:val="24"/>
                <w:lang w:val="uk-UA"/>
              </w:rPr>
              <w:t xml:space="preserve">руктурувати адміністративний центр Менської громади, розділивши житлові та виробничі території, а також дозволить здійснити промислову модернізацію міста та громади відновивши конкурентоспроможність місцевого товаровиробника на ринку глобальних інвестицій.</w:t>
            </w:r>
            <w:r/>
          </w:p>
        </w:tc>
        <w:tc>
          <w:tcPr>
            <w:tcW w:w="1384"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2020 - 2024</w:t>
            </w:r>
            <w:r/>
          </w:p>
        </w:tc>
        <w:tc>
          <w:tcPr>
            <w:tcW w:w="2123" w:type="dxa"/>
            <w:textDirection w:val="lrTb"/>
            <w:noWrap w:val="false"/>
          </w:tcPr>
          <w:p>
            <w:pPr>
              <w:ind w:left="29"/>
              <w:rPr>
                <w:rFonts w:ascii="Arial" w:hAnsi="Arial" w:cs="Arial"/>
                <w:b/>
                <w:sz w:val="24"/>
                <w:szCs w:val="24"/>
                <w:lang w:val="uk-UA"/>
              </w:rPr>
            </w:pPr>
            <w:r>
              <w:rPr>
                <w:rFonts w:ascii="Arial" w:hAnsi="Arial" w:cs="Arial"/>
                <w:b/>
                <w:sz w:val="24"/>
                <w:szCs w:val="24"/>
                <w:lang w:val="uk-UA"/>
              </w:rPr>
              <w:t xml:space="preserve">Місцевий бюджет, інші бюджети, приватні кошти</w:t>
            </w:r>
            <w:r/>
          </w:p>
        </w:tc>
        <w:tc>
          <w:tcPr>
            <w:tcW w:w="234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t xml:space="preserve">25 200 000</w:t>
            </w:r>
            <w:r/>
          </w:p>
        </w:tc>
      </w:tr>
      <w:tr>
        <w:trPr>
          <w:trHeight w:val="339"/>
        </w:trPr>
        <w:tc>
          <w:tcPr>
            <w:gridSpan w:val="5"/>
            <w:shd w:val="clear" w:color="auto" w:fill="BCFFDA" w:themeFill="accent1" w:themeFillTint="33"/>
            <w:tcW w:w="1516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t xml:space="preserve">Туризм</w:t>
            </w:r>
            <w:r/>
          </w:p>
        </w:tc>
      </w:tr>
      <w:tr>
        <w:trPr>
          <w:trHeight w:val="339"/>
        </w:trPr>
        <w:tc>
          <w:tcPr>
            <w:tcW w:w="4079"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Облаштування рекреаційної зони "Остреченська"</w:t>
            </w:r>
            <w:r/>
          </w:p>
        </w:tc>
        <w:tc>
          <w:tcPr>
            <w:tcW w:w="5234"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Забезпечення змістовного відпочинку та оздоровлення жителів Менської </w:t>
            </w:r>
            <w:r>
              <w:rPr>
                <w:rFonts w:ascii="Arial" w:hAnsi="Arial" w:cs="Arial"/>
                <w:b/>
                <w:sz w:val="24"/>
                <w:szCs w:val="24"/>
                <w:lang w:val="uk-UA"/>
              </w:rPr>
              <w:t xml:space="preserve">громади</w:t>
            </w:r>
            <w:r>
              <w:rPr>
                <w:rFonts w:ascii="Arial" w:hAnsi="Arial" w:cs="Arial"/>
                <w:b/>
                <w:sz w:val="24"/>
                <w:szCs w:val="24"/>
                <w:lang w:val="uk-UA"/>
              </w:rPr>
              <w:t xml:space="preserve">; залучення зовнішніх туристичних потоків, популяризація туристичного потенціалу громади.</w:t>
            </w:r>
            <w:r/>
          </w:p>
        </w:tc>
        <w:tc>
          <w:tcPr>
            <w:tcW w:w="1384"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2020 - 2024</w:t>
            </w:r>
            <w:r/>
          </w:p>
        </w:tc>
        <w:tc>
          <w:tcPr>
            <w:tcW w:w="2123"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Місцевий бюджет, інші бюджети, приватні кошти</w:t>
            </w:r>
            <w:r/>
          </w:p>
        </w:tc>
        <w:tc>
          <w:tcPr>
            <w:tcW w:w="234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r>
            <w:r/>
          </w:p>
          <w:p>
            <w:pPr>
              <w:ind w:left="29"/>
              <w:jc w:val="center"/>
              <w:rPr>
                <w:rFonts w:ascii="Arial" w:hAnsi="Arial" w:cs="Arial"/>
                <w:b/>
                <w:sz w:val="24"/>
                <w:szCs w:val="24"/>
                <w:lang w:val="uk-UA"/>
              </w:rPr>
            </w:pPr>
            <w:r>
              <w:rPr>
                <w:rFonts w:ascii="Arial" w:hAnsi="Arial" w:cs="Arial"/>
                <w:b/>
                <w:sz w:val="24"/>
                <w:szCs w:val="24"/>
                <w:lang w:val="uk-UA"/>
              </w:rPr>
              <w:t xml:space="preserve">49 800</w:t>
            </w:r>
            <w:r>
              <w:rPr>
                <w:rFonts w:ascii="Arial" w:hAnsi="Arial" w:cs="Arial"/>
                <w:b/>
                <w:sz w:val="24"/>
                <w:szCs w:val="24"/>
                <w:lang w:val="uk-UA"/>
              </w:rPr>
              <w:t xml:space="preserve"> 000</w:t>
            </w:r>
            <w:r/>
          </w:p>
        </w:tc>
      </w:tr>
      <w:tr>
        <w:trPr>
          <w:trHeight w:val="339"/>
        </w:trPr>
        <w:tc>
          <w:tcPr>
            <w:gridSpan w:val="5"/>
            <w:shd w:val="clear" w:color="auto" w:fill="BCFFDA" w:themeFill="accent1" w:themeFillTint="33"/>
            <w:tcW w:w="1516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t xml:space="preserve">Здоров’я </w:t>
            </w:r>
            <w:r/>
          </w:p>
        </w:tc>
      </w:tr>
      <w:tr>
        <w:trPr>
          <w:trHeight w:val="339"/>
        </w:trPr>
        <w:tc>
          <w:tcPr>
            <w:tcW w:w="4079"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Проект «Менщина без амброзії»</w:t>
            </w:r>
            <w:r/>
          </w:p>
        </w:tc>
        <w:tc>
          <w:tcPr>
            <w:tcW w:w="5234"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Цілями проекту є проведення комплексу заходів із локалізації та ліквідації вогнищ карантинного бур’яну – амброзії </w:t>
            </w:r>
            <w:r>
              <w:rPr>
                <w:rFonts w:ascii="Arial" w:hAnsi="Arial" w:cs="Arial"/>
                <w:b/>
                <w:sz w:val="24"/>
                <w:szCs w:val="24"/>
                <w:lang w:val="uk-UA"/>
              </w:rPr>
              <w:t xml:space="preserve">полинолистої</w:t>
            </w:r>
            <w:r>
              <w:rPr>
                <w:rFonts w:ascii="Arial" w:hAnsi="Arial" w:cs="Arial"/>
                <w:b/>
                <w:sz w:val="24"/>
                <w:szCs w:val="24"/>
                <w:lang w:val="uk-UA"/>
              </w:rPr>
              <w:t xml:space="preserve"> на території Менської </w:t>
            </w:r>
            <w:r>
              <w:rPr>
                <w:rFonts w:ascii="Arial" w:hAnsi="Arial" w:cs="Arial"/>
                <w:b/>
                <w:sz w:val="24"/>
                <w:szCs w:val="24"/>
                <w:lang w:val="uk-UA"/>
              </w:rPr>
              <w:t xml:space="preserve">громади</w:t>
            </w:r>
            <w:r>
              <w:rPr>
                <w:rFonts w:ascii="Arial" w:hAnsi="Arial" w:cs="Arial"/>
                <w:b/>
                <w:sz w:val="24"/>
                <w:szCs w:val="24"/>
                <w:lang w:val="uk-UA"/>
              </w:rPr>
              <w:t xml:space="preserve">, зменшенні кількості випадків захворювань на алергію серед населення, пов’язаних із цвітінням ам</w:t>
            </w:r>
            <w:r>
              <w:rPr>
                <w:rFonts w:ascii="Arial" w:hAnsi="Arial" w:cs="Arial"/>
                <w:b/>
                <w:sz w:val="24"/>
                <w:szCs w:val="24"/>
                <w:lang w:val="uk-UA"/>
              </w:rPr>
              <w:t xml:space="preserve">брозії, підвищенні ефективності виробництва сільськогосподарської продукції, посиленні уваги широких верств населення та громадськості до існуючої проблеми шляхом популяризації знань та роз’яснень щодо шкідливості бур’яну-алергену, приведенні в належний фі</w:t>
            </w:r>
            <w:r>
              <w:rPr>
                <w:rFonts w:ascii="Arial" w:hAnsi="Arial" w:cs="Arial"/>
                <w:b/>
                <w:sz w:val="24"/>
                <w:szCs w:val="24"/>
                <w:lang w:val="uk-UA"/>
              </w:rPr>
              <w:t xml:space="preserve">тосанітарний, екологічний та естетичний стан території громади, забезпеченні контролю за виконанням та проведенням заходів проти карантинного бур’яну підприємствами, установами, організаціями незалежно від форм власності, посадовими особами та громадянами.</w:t>
            </w:r>
            <w:r/>
          </w:p>
        </w:tc>
        <w:tc>
          <w:tcPr>
            <w:tcW w:w="1384"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2020 - 2024</w:t>
            </w:r>
            <w:r/>
          </w:p>
        </w:tc>
        <w:tc>
          <w:tcPr>
            <w:tcW w:w="2123" w:type="dxa"/>
            <w:textDirection w:val="lrTb"/>
            <w:noWrap w:val="false"/>
          </w:tcPr>
          <w:p>
            <w:pPr>
              <w:ind w:left="29"/>
              <w:jc w:val="both"/>
              <w:rPr>
                <w:rFonts w:ascii="Arial" w:hAnsi="Arial" w:cs="Arial"/>
                <w:b/>
                <w:sz w:val="24"/>
                <w:szCs w:val="24"/>
                <w:lang w:val="uk-UA"/>
              </w:rPr>
            </w:pPr>
            <w:r>
              <w:rPr>
                <w:rFonts w:ascii="Arial" w:hAnsi="Arial" w:cs="Arial"/>
                <w:b/>
                <w:sz w:val="24"/>
                <w:szCs w:val="24"/>
                <w:lang w:val="uk-UA"/>
              </w:rPr>
              <w:t xml:space="preserve">Місцевий бюджет, інші бюджети, приватні кошти</w:t>
            </w:r>
            <w:r/>
          </w:p>
        </w:tc>
        <w:tc>
          <w:tcPr>
            <w:tcW w:w="2347" w:type="dxa"/>
            <w:textDirection w:val="lrTb"/>
            <w:noWrap w:val="false"/>
          </w:tcPr>
          <w:p>
            <w:pPr>
              <w:ind w:left="29"/>
              <w:jc w:val="center"/>
              <w:rPr>
                <w:rFonts w:ascii="Arial" w:hAnsi="Arial" w:cs="Arial"/>
                <w:b/>
                <w:sz w:val="24"/>
                <w:szCs w:val="24"/>
                <w:lang w:val="uk-UA"/>
              </w:rPr>
            </w:pPr>
            <w:r>
              <w:rPr>
                <w:rFonts w:ascii="Arial" w:hAnsi="Arial" w:cs="Arial"/>
                <w:b/>
                <w:sz w:val="24"/>
                <w:szCs w:val="24"/>
                <w:lang w:val="uk-UA"/>
              </w:rPr>
            </w:r>
            <w:r/>
          </w:p>
          <w:p>
            <w:pPr>
              <w:ind w:left="29"/>
              <w:jc w:val="center"/>
              <w:rPr>
                <w:rFonts w:ascii="Arial" w:hAnsi="Arial" w:cs="Arial"/>
                <w:b/>
                <w:sz w:val="24"/>
                <w:szCs w:val="24"/>
                <w:lang w:val="uk-UA"/>
              </w:rPr>
            </w:pPr>
            <w:r>
              <w:rPr>
                <w:rFonts w:ascii="Arial" w:hAnsi="Arial" w:cs="Arial"/>
                <w:b/>
                <w:sz w:val="24"/>
                <w:szCs w:val="24"/>
                <w:lang w:val="uk-UA"/>
              </w:rPr>
              <w:t xml:space="preserve">450 000</w:t>
            </w:r>
            <w:r/>
          </w:p>
        </w:tc>
      </w:tr>
    </w:tbl>
    <w:p>
      <w:pPr>
        <w:spacing w:lineRule="auto" w:line="240" w:after="0"/>
        <w:rPr>
          <w:rFonts w:ascii="Arial" w:hAnsi="Arial" w:cs="Arial"/>
          <w:b/>
          <w:sz w:val="32"/>
          <w:szCs w:val="32"/>
          <w:lang w:val="uk-UA"/>
        </w:rPr>
      </w:pPr>
      <w:r>
        <w:rPr>
          <w:rFonts w:ascii="Arial" w:hAnsi="Arial" w:cs="Arial"/>
          <w:b/>
          <w:sz w:val="32"/>
          <w:szCs w:val="32"/>
          <w:lang w:val="uk-UA"/>
        </w:rPr>
      </w:r>
      <w:r/>
    </w:p>
    <w:p>
      <w:pPr>
        <w:jc w:val="center"/>
        <w:spacing w:lineRule="auto" w:line="240" w:after="0"/>
        <w:rPr>
          <w:lang w:val="uk-UA"/>
        </w:rPr>
      </w:pPr>
      <w:r>
        <w:rPr>
          <w:rFonts w:ascii="Arial" w:hAnsi="Arial" w:cs="Arial"/>
          <w:lang w:val="uk-UA" w:eastAsia="uk-UA"/>
        </w:rPr>
        <mc:AlternateContent>
          <mc:Choice Requires="wpg">
            <w:drawing>
              <wp:inline xmlns:wp="http://schemas.openxmlformats.org/drawingml/2006/wordprocessingDrawing" distT="0" distB="0" distL="0" distR="0">
                <wp:extent cx="1402080" cy="521127"/>
                <wp:effectExtent l="0" t="0" r="7620" b="0"/>
                <wp:docPr id="38" name="Рисунок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Рисунок 1" hidden="0"/>
                        <pic:cNvPicPr>
                          <a:picLocks noChangeAspect="1"/>
                        </pic:cNvPicPr>
                      </pic:nvPicPr>
                      <pic:blipFill>
                        <a:blip r:embed="rId46"/>
                        <a:stretch/>
                      </pic:blipFill>
                      <pic:spPr bwMode="auto">
                        <a:xfrm>
                          <a:off x="0" y="0"/>
                          <a:ext cx="1408246" cy="5234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110.4pt;height:41.0pt;">
                <v:path textboxrect="0,0,0,0"/>
                <v:imagedata r:id="rId46" o:title=""/>
              </v:shape>
            </w:pict>
          </mc:Fallback>
        </mc:AlternateContent>
      </w:r>
      <w:r/>
    </w:p>
    <w:sectPr>
      <w:footnotePr/>
      <w:type w:val="continuous"/>
      <w:pgSz w:w="16838" w:h="11906" w:orient="landscape"/>
      <w:pgMar w:top="1134" w:right="1134" w:bottom="851" w:left="1418" w:header="709" w:footer="709"/>
      <w:cols w:num="1" w:sep="0" w:space="708" w:equalWidth="1"/>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Courier New">
    <w:panose1 w:val="02070309020205020404"/>
  </w:font>
  <w:font w:name="Wingdings">
    <w:panose1 w:val="05010000000000000000"/>
  </w:font>
  <w:font w:name="Segoe UI">
    <w:panose1 w:val="020B0502040504020204"/>
  </w:font>
  <w:font w:name="Verdana">
    <w:panose1 w:val="020B0604030504040204"/>
  </w:font>
  <w:font w:name="Calibri Light">
    <w:panose1 w:val="020F0502020204030204"/>
  </w:font>
  <w:font w:name="Arial">
    <w:panose1 w:val="020B0604020202020204"/>
  </w:font>
  <w:font w:name="Times New Roman">
    <w:panose1 w:val="02020603050405020304"/>
  </w:font>
  <w:font w:name="Calibri">
    <w:panose1 w:val="020F050202020403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530"/>
      <w:rPr>
        <w:rStyle w:val="534"/>
      </w:rPr>
      <w:framePr w:wrap="around" w:vAnchor="text" w:hAnchor="margin" w:xAlign="center" w:y="1"/>
    </w:pPr>
    <w:r>
      <w:rPr>
        <w:rStyle w:val="534"/>
      </w:rPr>
      <w:fldChar w:fldCharType="begin"/>
    </w:r>
    <w:r>
      <w:rPr>
        <w:rStyle w:val="534"/>
      </w:rPr>
      <w:instrText xml:space="preserve">PAGE  </w:instrText>
    </w:r>
    <w:r>
      <w:rPr>
        <w:rStyle w:val="534"/>
      </w:rPr>
      <w:fldChar w:fldCharType="separate"/>
    </w:r>
    <w:r>
      <w:rPr>
        <w:rStyle w:val="534"/>
      </w:rPr>
      <w:t xml:space="preserve">8</w:t>
    </w:r>
    <w:r>
      <w:rPr>
        <w:rStyle w:val="534"/>
      </w:rPr>
      <w:fldChar w:fldCharType="end"/>
    </w:r>
    <w:r/>
  </w:p>
  <w:p>
    <w:pPr>
      <w:pStyle w:val="530"/>
      <w:ind w:left="-851"/>
    </w:pPr>
    <w:r>
      <w:rPr>
        <w:rFonts w:ascii="Arial" w:hAnsi="Arial" w:cs="Arial"/>
        <w:lang w:val="uk-UA" w:eastAsia="uk-UA"/>
      </w:rPr>
      <mc:AlternateContent>
        <mc:Choice Requires="wpg">
          <w:drawing>
            <wp:inline xmlns:wp="http://schemas.openxmlformats.org/drawingml/2006/wordprocessingDrawing" distT="0" distB="0" distL="0" distR="0">
              <wp:extent cx="656046" cy="243840"/>
              <wp:effectExtent l="0" t="0" r="0" b="3810"/>
              <wp:docPr id="4" name="Рисунок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Рисунок 1" hidden="0"/>
                      <pic:cNvPicPr>
                        <a:picLocks noChangeAspect="1"/>
                      </pic:cNvPicPr>
                    </pic:nvPicPr>
                    <pic:blipFill>
                      <a:blip r:embed="rId1"/>
                      <a:stretch/>
                    </pic:blipFill>
                    <pic:spPr bwMode="auto">
                      <a:xfrm>
                        <a:off x="0" y="0"/>
                        <a:ext cx="666999" cy="2479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51.7pt;height:19.2pt;">
              <v:path textboxrect="0,0,0,0"/>
              <v:imagedata r:id="rId1" o:title=""/>
            </v:shape>
          </w:pict>
        </mc:Fallback>
      </mc:AlternateConten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530"/>
      <w:rPr>
        <w:rStyle w:val="534"/>
      </w:rPr>
      <w:framePr w:wrap="around" w:vAnchor="text" w:hAnchor="margin" w:xAlign="center" w:y="1"/>
    </w:pPr>
    <w:r>
      <w:rPr>
        <w:rStyle w:val="534"/>
      </w:rPr>
      <w:fldChar w:fldCharType="begin"/>
    </w:r>
    <w:r>
      <w:rPr>
        <w:rStyle w:val="534"/>
      </w:rPr>
      <w:instrText xml:space="preserve">PAGE  </w:instrText>
    </w:r>
    <w:r>
      <w:rPr>
        <w:rStyle w:val="534"/>
      </w:rPr>
      <w:fldChar w:fldCharType="end"/>
    </w:r>
    <w:r/>
  </w:p>
  <w:p>
    <w:pPr>
      <w:pStyle w:val="53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 w:id="1">
    <w:p>
      <w:pPr>
        <w:jc w:val="both"/>
        <w:spacing w:lineRule="auto" w:line="240" w:after="0"/>
        <w:rPr>
          <w:rStyle w:val="575"/>
          <w:sz w:val="20"/>
          <w:szCs w:val="20"/>
          <w:lang w:val="uk-UA"/>
        </w:rPr>
      </w:pPr>
      <w:r>
        <w:rPr>
          <w:rStyle w:val="525"/>
        </w:rPr>
        <w:footnoteRef/>
      </w:r>
      <w:r>
        <w:t xml:space="preserve"> </w:t>
      </w:r>
      <w:r>
        <w:rPr>
          <w:rStyle w:val="575"/>
          <w:sz w:val="20"/>
          <w:szCs w:val="20"/>
          <w:lang w:val="ru-RU"/>
        </w:rPr>
        <w:t xml:space="preserve">Кона </w:t>
      </w:r>
      <w:r>
        <w:rPr>
          <w:rStyle w:val="575"/>
          <w:sz w:val="20"/>
          <w:szCs w:val="20"/>
        </w:rPr>
        <w:t xml:space="preserve">A</w:t>
      </w:r>
      <w:r>
        <w:rPr>
          <w:rStyle w:val="575"/>
          <w:sz w:val="20"/>
          <w:szCs w:val="20"/>
          <w:lang w:val="ru-RU"/>
        </w:rPr>
        <w:t xml:space="preserve">., Бертольди П., Палермо В., Ривас С., Эрнандес Й., Барбоса П., Пасоян </w:t>
      </w:r>
      <w:r>
        <w:rPr>
          <w:rStyle w:val="575"/>
          <w:sz w:val="20"/>
          <w:szCs w:val="20"/>
        </w:rPr>
        <w:t xml:space="preserve">A</w:t>
      </w:r>
      <w:r>
        <w:rPr>
          <w:rStyle w:val="575"/>
          <w:sz w:val="20"/>
          <w:szCs w:val="20"/>
          <w:lang w:val="ru-RU"/>
        </w:rPr>
        <w:t xml:space="preserve">. Руководство «Как разработать План действий по устойчивому энергетическому развитию и климату в странах Восточного Партнерства», Европейская Комиссия, Испра, 2018, ОИЦ113659. </w:t>
      </w:r>
      <w:r>
        <w:rPr>
          <w:rStyle w:val="575"/>
          <w:sz w:val="20"/>
          <w:szCs w:val="20"/>
        </w:rPr>
        <w:t xml:space="preserve">С. </w:t>
      </w:r>
      <w:r>
        <w:rPr>
          <w:rStyle w:val="575"/>
          <w:sz w:val="20"/>
          <w:szCs w:val="20"/>
          <w:lang w:val="uk-UA"/>
        </w:rPr>
        <w:t xml:space="preserve">327.</w:t>
      </w:r>
      <w:r/>
    </w:p>
  </w:footnote>
  <w:footnote w:id="2">
    <w:p>
      <w:pPr>
        <w:pStyle w:val="523"/>
      </w:pPr>
      <w:r>
        <w:rPr>
          <w:rStyle w:val="525"/>
        </w:rPr>
        <w:footnoteRef/>
      </w:r>
      <w:r>
        <w:t xml:space="preserve"> </w:t>
      </w:r>
      <w:r>
        <w:t xml:space="preserve">Integrating the environment and climate change into EU international cooperation and development.  </w:t>
      </w:r>
      <w:r>
        <w:rPr>
          <w:i/>
          <w:iCs/>
        </w:rPr>
        <w:t xml:space="preserve">Towards sustainable development: </w:t>
      </w:r>
      <w:r>
        <w:t xml:space="preserve">Tools and Methods Series, Guidelines No 6. Directorate-General for International Cooperation and Development European Commission. Brussels, Luxembourg, February, 2016, 142 p.</w:t>
      </w:r>
      <w:r/>
    </w:p>
  </w:footnote>
  <w:footnote w:id="3">
    <w:p>
      <w:pPr>
        <w:pStyle w:val="523"/>
      </w:pPr>
      <w:r>
        <w:rPr>
          <w:rStyle w:val="525"/>
        </w:rPr>
        <w:footnoteRef/>
      </w:r>
      <w:r>
        <w:t xml:space="preserve"> </w:t>
      </w:r>
      <w:r>
        <w:rPr>
          <w:bCs/>
          <w:color w:val="000000"/>
        </w:rPr>
        <w:t xml:space="preserve">Шевченко О.Г., Власюк О.Я., Савчук І.І., </w:t>
      </w:r>
      <w:r>
        <w:rPr>
          <w:bCs/>
          <w:color w:val="000000"/>
        </w:rPr>
        <w:t xml:space="preserve">Ваколюк М.В., Ілляш О.Л. Оцінка вразливості до зміни клімату: Україна. Київ, 2014. – 60 с.</w:t>
      </w:r>
      <w:r/>
    </w:p>
  </w:footnote>
  <w:footnote w:id="4">
    <w:p>
      <w:pPr>
        <w:pStyle w:val="548"/>
        <w:jc w:val="both"/>
        <w:rPr>
          <w:sz w:val="20"/>
          <w:szCs w:val="20"/>
          <w:lang w:val="uk-UA"/>
        </w:rPr>
      </w:pPr>
      <w:r>
        <w:rPr>
          <w:rStyle w:val="525"/>
        </w:rPr>
        <w:footnoteRef/>
      </w:r>
      <w:r>
        <w:t xml:space="preserve"> </w:t>
      </w:r>
      <w:r>
        <w:rPr>
          <w:sz w:val="20"/>
          <w:szCs w:val="20"/>
        </w:rPr>
        <w:t xml:space="preserve">Менська міська територіальна громада</w:t>
      </w:r>
      <w:r>
        <w:rPr>
          <w:sz w:val="20"/>
          <w:szCs w:val="20"/>
        </w:rPr>
        <w:t xml:space="preserve">.</w:t>
      </w:r>
      <w:r>
        <w:rPr>
          <w:sz w:val="20"/>
          <w:szCs w:val="20"/>
          <w:lang w:val="uk-UA"/>
        </w:rPr>
        <w:t xml:space="preserve"> </w:t>
      </w:r>
      <w:r>
        <w:rPr>
          <w:bCs/>
          <w:sz w:val="20"/>
          <w:szCs w:val="20"/>
        </w:rPr>
        <w:t xml:space="preserve">Паспорт громади станом на 1 січня 2020 року / http://mena.cg.gov.ua/index.php?id=26630&amp;tp=1/</w:t>
      </w:r>
      <w:r/>
    </w:p>
  </w:footnote>
  <w:footnote w:id="5">
    <w:p>
      <w:pPr>
        <w:pStyle w:val="523"/>
      </w:pPr>
      <w:r>
        <w:rPr>
          <w:rStyle w:val="525"/>
        </w:rPr>
        <w:footnoteRef/>
      </w:r>
      <w:r>
        <w:t xml:space="preserve"> </w:t>
      </w:r>
      <w:r>
        <w:t xml:space="preserve">Стратегія розвитку Менської міської об'єднаної територіальної громади, 2018–</w:t>
      </w:r>
      <w:r>
        <w:t xml:space="preserve">2024 роки  / http://mena.cg.gov.ua/web_docs/18717/2019/02/docs/%D0%A1%D1%82%D1%80%D0%B0%D1%82%D0%B5%D0%B3%D1%96%D1%8F%20%D1%80%D0%BE%D0%B7%D0%B2%D0%B8%D1%82%D0%BA%D1%83%20%D0%9C%D0%B5%D0%BD%D1%81%D1%8C%D0%BA%D0%BE%D1%97%20%D0%9E%D0%A2%D0%93%202018-2024.pdf</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528"/>
      <w:ind w:left="-709" w:right="-740"/>
      <w:tabs>
        <w:tab w:val="clear" w:pos="4677" w:leader="none"/>
        <w:tab w:val="center" w:pos="6379" w:leader="none"/>
      </w:tabs>
      <w:rPr>
        <w:rFonts w:ascii="Arial" w:hAnsi="Arial" w:cs="Arial"/>
        <w:b/>
        <w:sz w:val="16"/>
        <w:szCs w:val="16"/>
      </w:rPr>
    </w:pPr>
    <w:r>
      <w:rPr>
        <w:lang w:val="uk-UA" w:eastAsia="uk-UA"/>
      </w:rPr>
      <mc:AlternateContent>
        <mc:Choice Requires="wpg">
          <w:drawing>
            <wp:anchor xmlns:wp="http://schemas.openxmlformats.org/drawingml/2006/wordprocessingDrawing" distT="0" distB="0" distL="114300" distR="114300" simplePos="0" relativeHeight="251657216" behindDoc="1" locked="0" layoutInCell="1" allowOverlap="1">
              <wp:simplePos x="0" y="0"/>
              <wp:positionH relativeFrom="column">
                <wp:posOffset>8566785</wp:posOffset>
              </wp:positionH>
              <wp:positionV relativeFrom="paragraph">
                <wp:posOffset>-3810</wp:posOffset>
              </wp:positionV>
              <wp:extent cx="647700" cy="422275"/>
              <wp:effectExtent l="0" t="0" r="0" b="0"/>
              <wp:wrapTight wrapText="bothSides">
                <wp:wrapPolygon edited="1">
                  <wp:start x="0" y="0"/>
                  <wp:lineTo x="0" y="20463"/>
                  <wp:lineTo x="20965" y="20463"/>
                  <wp:lineTo x="20965" y="0"/>
                  <wp:lineTo x="0" y="0"/>
                </wp:wrapPolygon>
              </wp:wrapTight>
              <wp:docPr id="1" name="Рисунок 80" descr="Похожее изображение"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Picture 2" descr="Похожее изображение" hidden="0"/>
                      <pic:cNvPicPr>
                        <a:picLocks noChangeAspect="1"/>
                      </pic:cNvPicPr>
                    </pic:nvPicPr>
                    <pic:blipFill>
                      <a:blip r:embed="rId1"/>
                      <a:stretch/>
                    </pic:blipFill>
                    <pic:spPr bwMode="auto">
                      <a:xfrm>
                        <a:off x="0" y="0"/>
                        <a:ext cx="647700" cy="42227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7216;o:allowoverlap:true;o:allowincell:true;mso-position-horizontal-relative:text;margin-left:674.5pt;mso-position-horizontal:absolute;mso-position-vertical-relative:text;margin-top:-0.3pt;mso-position-vertical:absolute;width:51.0pt;height:33.2pt;" wrapcoords="0 0 0 94736 97060 94736 97060 0 0 0">
              <v:path textboxrect="0,0,0,0"/>
              <v:imagedata r:id="rId1" o:title=""/>
            </v:shape>
          </w:pict>
        </mc:Fallback>
      </mc:AlternateContent>
    </w:r>
    <w:r>
      <w:rPr>
        <w:b/>
        <w:color w:val="2E74B5"/>
        <w:sz w:val="38"/>
        <w:szCs w:val="38"/>
        <w:lang w:val="uk-UA" w:eastAsia="uk-UA"/>
      </w:rPr>
      <mc:AlternateContent>
        <mc:Choice Requires="wpg">
          <w:drawing>
            <wp:inline xmlns:wp="http://schemas.openxmlformats.org/drawingml/2006/wordprocessingDrawing" distT="0" distB="0" distL="0" distR="0">
              <wp:extent cx="330526" cy="426720"/>
              <wp:effectExtent l="0" t="0" r="0" b="0"/>
              <wp:docPr id="2" name="Рисунок 2" descr="Mena gerb.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Picture 2" descr="Mena gerb.png" hidden="0"/>
                      <pic:cNvPicPr>
                        <a:picLocks noChangeAspect="1"/>
                      </pic:cNvPicPr>
                    </pic:nvPicPr>
                    <pic:blipFill>
                      <a:blip r:embed="rId2"/>
                      <a:stretch/>
                    </pic:blipFill>
                    <pic:spPr bwMode="auto">
                      <a:xfrm>
                        <a:off x="0" y="0"/>
                        <a:ext cx="334340" cy="431643"/>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6.0pt;height:33.6pt;" strokeweight="0.75pt">
              <v:path textboxrect="0,0,0,0"/>
              <v:imagedata r:id="rId2" o:title=""/>
            </v:shape>
          </w:pict>
        </mc:Fallback>
      </mc:AlternateContent>
    </w:r>
    <w:r>
      <w:rPr>
        <w:rFonts w:ascii="Arial" w:hAnsi="Arial" w:cs="Arial"/>
        <w:b/>
        <w:sz w:val="16"/>
        <w:szCs w:val="16"/>
        <w:lang w:val="uk-UA"/>
      </w:rPr>
      <w:tab/>
      <w:t xml:space="preserve">                                                                                                                                                            </w:t>
    </w:r>
    <w:r>
      <w:rPr>
        <w:rFonts w:ascii="Arial" w:hAnsi="Arial" w:cs="Arial"/>
        <w:b/>
        <w:sz w:val="16"/>
        <w:szCs w:val="16"/>
        <w:lang w:val="uk-UA"/>
      </w:rPr>
      <w:tab/>
      <w:t xml:space="preserve">            </w:t>
    </w:r>
    <w:r>
      <w:rPr>
        <w:rFonts w:ascii="Arial" w:hAnsi="Arial" w:cs="Arial"/>
        <w:b/>
        <w:sz w:val="16"/>
        <w:szCs w:val="16"/>
        <w:lang w:val="uk-UA"/>
      </w:rPr>
      <w:tab/>
    </w:r>
    <w:r>
      <w:rPr>
        <w:rFonts w:ascii="Arial" w:hAnsi="Arial" w:cs="Arial"/>
        <w:b/>
        <w:sz w:val="16"/>
        <w:szCs w:val="16"/>
        <w:lang w:val="uk-UA"/>
      </w:rPr>
      <w:tab/>
      <w:t xml:space="preserve">                                                                                                                                                                                                                                                </w: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528"/>
    </w:pPr>
    <w:r>
      <w:rPr>
        <w:lang w:eastAsia="ru-RU"/>
      </w:rPr>
      <mc:AlternateContent>
        <mc:Choice Requires="wpg">
          <w:drawing>
            <wp:anchor xmlns:wp="http://schemas.openxmlformats.org/drawingml/2006/wordprocessingDrawing" distT="0" distB="0" distL="114300" distR="114300" simplePos="0" relativeHeight="251658240" behindDoc="1" locked="0" layoutInCell="0" allowOverlap="1">
              <wp:simplePos x="0" y="0"/>
              <wp:positionH relativeFrom="margin">
                <wp:align>center</wp:align>
              </wp:positionH>
              <wp:positionV relativeFrom="margin">
                <wp:align>center</wp:align>
              </wp:positionV>
              <wp:extent cx="11012805" cy="7785735"/>
              <wp:effectExtent l="0" t="0" r="0" b="0"/>
              <wp:wrapNone/>
              <wp:docPr id="3" name="" hidden="false"/>
              <wp:cNvGraphicFramePr/>
              <a:graphic xmlns:a="http://schemas.openxmlformats.org/drawingml/2006/main">
                <a:graphicData uri="http://schemas.openxmlformats.org/drawingml/2006/picture">
                  <pic:pic xmlns:pic="http://schemas.openxmlformats.org/drawingml/2006/picture">
                    <pic:nvPicPr>
                      <pic:cNvPr id="18" name="" hidden="0"/>
                      <pic:cNvPicPr/>
                    </pic:nvPicPr>
                    <pic:blipFill>
                      <a:blip r:embed="rId1"/>
                      <a:stretch/>
                    </pic:blipFill>
                    <pic:spPr bwMode="auto">
                      <a:xfrm>
                        <a:off x="0" y="0"/>
                        <a:ext cx="11012805" cy="778573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8240;o:allowoverlap:true;o:allowincell:false;mso-position-horizontal-relative:margin;mso-position-horizontal:center;mso-position-vertical-relative:margin;mso-position-vertical:center;width:867.1pt;height:613.0pt;">
              <v:path textboxrect="0,0,0,0"/>
              <v:imagedata r:id="rId1" o:title=""/>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1077" w:firstLine="558"/>
        <w:tabs>
          <w:tab w:val="left" w:pos="1077" w:leader="none"/>
        </w:tabs>
      </w:pPr>
      <w:rPr>
        <w:rFonts w:ascii="Wingdings" w:hAnsi="Wingdings" w:hint="default"/>
      </w:rPr>
    </w:lvl>
    <w:lvl w:ilvl="1">
      <w:start w:val="1"/>
      <w:numFmt w:val="bullet"/>
      <w:isLgl w:val="false"/>
      <w:suff w:val="tab"/>
      <w:lvlText w:val="o"/>
      <w:lvlJc w:val="left"/>
      <w:pPr>
        <w:ind w:left="2148" w:hanging="360"/>
        <w:tabs>
          <w:tab w:val="left" w:pos="2148" w:leader="none"/>
        </w:tabs>
      </w:pPr>
      <w:rPr>
        <w:rFonts w:ascii="Courier New" w:hAnsi="Courier New" w:cs="Courier New" w:hint="default"/>
      </w:rPr>
    </w:lvl>
    <w:lvl w:ilvl="2">
      <w:start w:val="1"/>
      <w:numFmt w:val="bullet"/>
      <w:isLgl w:val="false"/>
      <w:suff w:val="tab"/>
      <w:lvlText w:val=""/>
      <w:lvlJc w:val="left"/>
      <w:pPr>
        <w:ind w:left="2868" w:hanging="360"/>
        <w:tabs>
          <w:tab w:val="left" w:pos="2868" w:leader="none"/>
        </w:tabs>
      </w:pPr>
      <w:rPr>
        <w:rFonts w:ascii="Wingdings" w:hAnsi="Wingdings" w:hint="default"/>
      </w:rPr>
    </w:lvl>
    <w:lvl w:ilvl="3">
      <w:start w:val="1"/>
      <w:numFmt w:val="bullet"/>
      <w:isLgl w:val="false"/>
      <w:suff w:val="tab"/>
      <w:lvlText w:val=""/>
      <w:lvlJc w:val="left"/>
      <w:pPr>
        <w:ind w:left="3588" w:hanging="360"/>
        <w:tabs>
          <w:tab w:val="left" w:pos="3588" w:leader="none"/>
        </w:tabs>
      </w:pPr>
      <w:rPr>
        <w:rFonts w:ascii="Symbol" w:hAnsi="Symbol" w:hint="default"/>
      </w:rPr>
    </w:lvl>
    <w:lvl w:ilvl="4">
      <w:start w:val="1"/>
      <w:numFmt w:val="bullet"/>
      <w:isLgl w:val="false"/>
      <w:suff w:val="tab"/>
      <w:lvlText w:val="o"/>
      <w:lvlJc w:val="left"/>
      <w:pPr>
        <w:ind w:left="4308" w:hanging="360"/>
        <w:tabs>
          <w:tab w:val="left" w:pos="4308" w:leader="none"/>
        </w:tabs>
      </w:pPr>
      <w:rPr>
        <w:rFonts w:ascii="Courier New" w:hAnsi="Courier New" w:cs="Courier New" w:hint="default"/>
      </w:rPr>
    </w:lvl>
    <w:lvl w:ilvl="5">
      <w:start w:val="1"/>
      <w:numFmt w:val="bullet"/>
      <w:isLgl w:val="false"/>
      <w:suff w:val="tab"/>
      <w:lvlText w:val=""/>
      <w:lvlJc w:val="left"/>
      <w:pPr>
        <w:ind w:left="5028" w:hanging="360"/>
        <w:tabs>
          <w:tab w:val="left" w:pos="5028" w:leader="none"/>
        </w:tabs>
      </w:pPr>
      <w:rPr>
        <w:rFonts w:ascii="Wingdings" w:hAnsi="Wingdings" w:hint="default"/>
      </w:rPr>
    </w:lvl>
    <w:lvl w:ilvl="6">
      <w:start w:val="1"/>
      <w:numFmt w:val="bullet"/>
      <w:isLgl w:val="false"/>
      <w:suff w:val="tab"/>
      <w:lvlText w:val=""/>
      <w:lvlJc w:val="left"/>
      <w:pPr>
        <w:ind w:left="5748" w:hanging="360"/>
        <w:tabs>
          <w:tab w:val="left" w:pos="5748" w:leader="none"/>
        </w:tabs>
      </w:pPr>
      <w:rPr>
        <w:rFonts w:ascii="Symbol" w:hAnsi="Symbol" w:hint="default"/>
      </w:rPr>
    </w:lvl>
    <w:lvl w:ilvl="7">
      <w:start w:val="1"/>
      <w:numFmt w:val="bullet"/>
      <w:isLgl w:val="false"/>
      <w:suff w:val="tab"/>
      <w:lvlText w:val="o"/>
      <w:lvlJc w:val="left"/>
      <w:pPr>
        <w:ind w:left="6468" w:hanging="360"/>
        <w:tabs>
          <w:tab w:val="left" w:pos="6468" w:leader="none"/>
        </w:tabs>
      </w:pPr>
      <w:rPr>
        <w:rFonts w:ascii="Courier New" w:hAnsi="Courier New" w:cs="Courier New" w:hint="default"/>
      </w:rPr>
    </w:lvl>
    <w:lvl w:ilvl="8">
      <w:start w:val="1"/>
      <w:numFmt w:val="bullet"/>
      <w:isLgl w:val="false"/>
      <w:suff w:val="tab"/>
      <w:lvlText w:val=""/>
      <w:lvlJc w:val="left"/>
      <w:pPr>
        <w:ind w:left="7188" w:hanging="360"/>
        <w:tabs>
          <w:tab w:val="left" w:pos="7188" w:leader="none"/>
        </w:tabs>
      </w:pPr>
      <w:rPr>
        <w:rFonts w:ascii="Wingdings" w:hAnsi="Wingdings" w:hint="default"/>
      </w:rPr>
    </w:lvl>
  </w:abstractNum>
  <w:abstractNum w:abstractNumId="1">
    <w:multiLevelType w:val="hybridMultilevel"/>
    <w:lvl w:ilvl="0">
      <w:start w:val="6"/>
      <w:numFmt w:val="bullet"/>
      <w:isLgl w:val="false"/>
      <w:suff w:val="tab"/>
      <w:lvlText w:val="-"/>
      <w:lvlJc w:val="left"/>
      <w:pPr>
        <w:ind w:left="720" w:hanging="360"/>
      </w:pPr>
      <w:rPr>
        <w:rFonts w:ascii="Times New Roman" w:hAnsi="Times New Roman" w:cs="Times New Roman" w:eastAsia="Times New Roman"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
    <w:multiLevelType w:val="hybridMultilevel"/>
    <w:lvl w:ilvl="0">
      <w:start w:val="1"/>
      <w:numFmt w:val="bullet"/>
      <w:isLgl w:val="false"/>
      <w:suff w:val="tab"/>
      <w:lvlText w:val=""/>
      <w:lvlJc w:val="left"/>
      <w:pPr>
        <w:ind w:left="1788" w:hanging="360"/>
      </w:pPr>
      <w:rPr>
        <w:rFonts w:ascii="Wingdings" w:hAnsi="Wingdings"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3">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
    <w:multiLevelType w:val="hybridMultilevel"/>
    <w:lvl w:ilvl="0">
      <w:start w:val="2"/>
      <w:numFmt w:val="bullet"/>
      <w:isLgl w:val="false"/>
      <w:suff w:val="tab"/>
      <w:lvlText w:val="-"/>
      <w:lvlJc w:val="left"/>
      <w:pPr>
        <w:ind w:left="1287" w:hanging="360"/>
      </w:pPr>
      <w:rPr>
        <w:rFonts w:ascii="Arial" w:hAnsi="Arial" w:cs="Arial" w:eastAsia="Times New Roman" w:hint="default"/>
      </w:rPr>
    </w:lvl>
    <w:lvl w:ilvl="1">
      <w:start w:val="1"/>
      <w:numFmt w:val="bullet"/>
      <w:isLgl w:val="false"/>
      <w:suff w:val="tab"/>
      <w:lvlText w:val="o"/>
      <w:lvlJc w:val="left"/>
      <w:pPr>
        <w:ind w:left="2007" w:hanging="360"/>
      </w:pPr>
      <w:rPr>
        <w:rFonts w:ascii="Courier New" w:hAnsi="Courier New" w:cs="Courier New" w:hint="default"/>
      </w:rPr>
    </w:lvl>
    <w:lvl w:ilvl="2">
      <w:start w:val="1"/>
      <w:numFmt w:val="bullet"/>
      <w:isLgl w:val="false"/>
      <w:suff w:val="tab"/>
      <w:lvlText w:val=""/>
      <w:lvlJc w:val="left"/>
      <w:pPr>
        <w:ind w:left="2727" w:hanging="360"/>
      </w:pPr>
      <w:rPr>
        <w:rFonts w:ascii="Wingdings" w:hAnsi="Wingdings" w:hint="default"/>
      </w:rPr>
    </w:lvl>
    <w:lvl w:ilvl="3">
      <w:start w:val="1"/>
      <w:numFmt w:val="bullet"/>
      <w:isLgl w:val="false"/>
      <w:suff w:val="tab"/>
      <w:lvlText w:val=""/>
      <w:lvlJc w:val="left"/>
      <w:pPr>
        <w:ind w:left="3447" w:hanging="360"/>
      </w:pPr>
      <w:rPr>
        <w:rFonts w:ascii="Symbol" w:hAnsi="Symbol" w:hint="default"/>
      </w:rPr>
    </w:lvl>
    <w:lvl w:ilvl="4">
      <w:start w:val="1"/>
      <w:numFmt w:val="bullet"/>
      <w:isLgl w:val="false"/>
      <w:suff w:val="tab"/>
      <w:lvlText w:val="o"/>
      <w:lvlJc w:val="left"/>
      <w:pPr>
        <w:ind w:left="4167" w:hanging="360"/>
      </w:pPr>
      <w:rPr>
        <w:rFonts w:ascii="Courier New" w:hAnsi="Courier New" w:cs="Courier New" w:hint="default"/>
      </w:rPr>
    </w:lvl>
    <w:lvl w:ilvl="5">
      <w:start w:val="1"/>
      <w:numFmt w:val="bullet"/>
      <w:isLgl w:val="false"/>
      <w:suff w:val="tab"/>
      <w:lvlText w:val=""/>
      <w:lvlJc w:val="left"/>
      <w:pPr>
        <w:ind w:left="4887" w:hanging="360"/>
      </w:pPr>
      <w:rPr>
        <w:rFonts w:ascii="Wingdings" w:hAnsi="Wingdings" w:hint="default"/>
      </w:rPr>
    </w:lvl>
    <w:lvl w:ilvl="6">
      <w:start w:val="1"/>
      <w:numFmt w:val="bullet"/>
      <w:isLgl w:val="false"/>
      <w:suff w:val="tab"/>
      <w:lvlText w:val=""/>
      <w:lvlJc w:val="left"/>
      <w:pPr>
        <w:ind w:left="5607" w:hanging="360"/>
      </w:pPr>
      <w:rPr>
        <w:rFonts w:ascii="Symbol" w:hAnsi="Symbol" w:hint="default"/>
      </w:rPr>
    </w:lvl>
    <w:lvl w:ilvl="7">
      <w:start w:val="1"/>
      <w:numFmt w:val="bullet"/>
      <w:isLgl w:val="false"/>
      <w:suff w:val="tab"/>
      <w:lvlText w:val="o"/>
      <w:lvlJc w:val="left"/>
      <w:pPr>
        <w:ind w:left="6327" w:hanging="360"/>
      </w:pPr>
      <w:rPr>
        <w:rFonts w:ascii="Courier New" w:hAnsi="Courier New" w:cs="Courier New" w:hint="default"/>
      </w:rPr>
    </w:lvl>
    <w:lvl w:ilvl="8">
      <w:start w:val="1"/>
      <w:numFmt w:val="bullet"/>
      <w:isLgl w:val="false"/>
      <w:suff w:val="tab"/>
      <w:lvlText w:val=""/>
      <w:lvlJc w:val="left"/>
      <w:pPr>
        <w:ind w:left="7047" w:hanging="360"/>
      </w:pPr>
      <w:rPr>
        <w:rFonts w:ascii="Wingdings" w:hAnsi="Wingdings" w:hint="default"/>
      </w:rPr>
    </w:lvl>
  </w:abstractNum>
  <w:abstractNum w:abstractNumId="5">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6">
    <w:multiLevelType w:val="hybridMultilevel"/>
    <w:lvl w:ilvl="0">
      <w:start w:val="1"/>
      <w:numFmt w:val="bullet"/>
      <w:isLgl w:val="false"/>
      <w:suff w:val="tab"/>
      <w:lvlText w:val=""/>
      <w:lvlJc w:val="left"/>
      <w:pPr>
        <w:ind w:left="1428" w:hanging="360"/>
      </w:pPr>
      <w:rPr>
        <w:rFonts w:ascii="Wingdings" w:hAnsi="Wingdings" w:hint="default"/>
      </w:rPr>
    </w:lvl>
    <w:lvl w:ilvl="1">
      <w:start w:val="1"/>
      <w:numFmt w:val="bullet"/>
      <w:isLgl w:val="false"/>
      <w:suff w:val="tab"/>
      <w:lvlText w:val="o"/>
      <w:lvlJc w:val="left"/>
      <w:pPr>
        <w:ind w:left="2148" w:hanging="360"/>
      </w:pPr>
      <w:rPr>
        <w:rFonts w:ascii="Courier New" w:hAnsi="Courier New" w:hint="default"/>
      </w:rPr>
    </w:lvl>
    <w:lvl w:ilvl="2">
      <w:start w:val="1"/>
      <w:numFmt w:val="bullet"/>
      <w:isLgl w:val="false"/>
      <w:suff w:val="tab"/>
      <w:lvlText w:val=""/>
      <w:lvlJc w:val="left"/>
      <w:pPr>
        <w:ind w:left="2868" w:hanging="360"/>
      </w:pPr>
      <w:rPr>
        <w:rFonts w:ascii="Wingdings" w:hAnsi="Wingdings" w:hint="default"/>
      </w:rPr>
    </w:lvl>
    <w:lvl w:ilvl="3">
      <w:start w:val="1"/>
      <w:numFmt w:val="bullet"/>
      <w:isLgl w:val="false"/>
      <w:suff w:val="tab"/>
      <w:lvlText w:val=""/>
      <w:lvlJc w:val="left"/>
      <w:pPr>
        <w:ind w:left="3588" w:hanging="360"/>
      </w:pPr>
      <w:rPr>
        <w:rFonts w:ascii="Symbol" w:hAnsi="Symbol" w:hint="default"/>
      </w:rPr>
    </w:lvl>
    <w:lvl w:ilvl="4">
      <w:start w:val="1"/>
      <w:numFmt w:val="bullet"/>
      <w:isLgl w:val="false"/>
      <w:suff w:val="tab"/>
      <w:lvlText w:val="o"/>
      <w:lvlJc w:val="left"/>
      <w:pPr>
        <w:ind w:left="4308" w:hanging="360"/>
      </w:pPr>
      <w:rPr>
        <w:rFonts w:ascii="Courier New" w:hAnsi="Courier New" w:hint="default"/>
      </w:rPr>
    </w:lvl>
    <w:lvl w:ilvl="5">
      <w:start w:val="1"/>
      <w:numFmt w:val="bullet"/>
      <w:isLgl w:val="false"/>
      <w:suff w:val="tab"/>
      <w:lvlText w:val=""/>
      <w:lvlJc w:val="left"/>
      <w:pPr>
        <w:ind w:left="5028" w:hanging="360"/>
      </w:pPr>
      <w:rPr>
        <w:rFonts w:ascii="Wingdings" w:hAnsi="Wingdings" w:hint="default"/>
      </w:rPr>
    </w:lvl>
    <w:lvl w:ilvl="6">
      <w:start w:val="1"/>
      <w:numFmt w:val="bullet"/>
      <w:isLgl w:val="false"/>
      <w:suff w:val="tab"/>
      <w:lvlText w:val=""/>
      <w:lvlJc w:val="left"/>
      <w:pPr>
        <w:ind w:left="5748" w:hanging="360"/>
      </w:pPr>
      <w:rPr>
        <w:rFonts w:ascii="Symbol" w:hAnsi="Symbol" w:hint="default"/>
      </w:rPr>
    </w:lvl>
    <w:lvl w:ilvl="7">
      <w:start w:val="1"/>
      <w:numFmt w:val="bullet"/>
      <w:isLgl w:val="false"/>
      <w:suff w:val="tab"/>
      <w:lvlText w:val="o"/>
      <w:lvlJc w:val="left"/>
      <w:pPr>
        <w:ind w:left="6468" w:hanging="360"/>
      </w:pPr>
      <w:rPr>
        <w:rFonts w:ascii="Courier New" w:hAnsi="Courier New" w:hint="default"/>
      </w:rPr>
    </w:lvl>
    <w:lvl w:ilvl="8">
      <w:start w:val="1"/>
      <w:numFmt w:val="bullet"/>
      <w:isLgl w:val="false"/>
      <w:suff w:val="tab"/>
      <w:lvlText w:val=""/>
      <w:lvlJc w:val="left"/>
      <w:pPr>
        <w:ind w:left="7188" w:hanging="360"/>
      </w:pPr>
      <w:rPr>
        <w:rFonts w:ascii="Wingdings" w:hAnsi="Wingdings" w:hint="default"/>
      </w:rPr>
    </w:lvl>
  </w:abstractNum>
  <w:abstractNum w:abstractNumId="7">
    <w:multiLevelType w:val="hybridMultilevel"/>
    <w:lvl w:ilvl="0">
      <w:start w:val="1"/>
      <w:numFmt w:val="decimal"/>
      <w:isLgl w:val="false"/>
      <w:suff w:val="tab"/>
      <w:lvlText w:val="%1."/>
      <w:lvlJc w:val="left"/>
      <w:pPr>
        <w:ind w:left="468" w:hanging="468"/>
      </w:pPr>
      <w:rPr>
        <w:rFonts w:hint="default"/>
      </w:rPr>
    </w:lvl>
    <w:lvl w:ilvl="1">
      <w:start w:val="1"/>
      <w:numFmt w:val="decimal"/>
      <w:isLgl w:val="false"/>
      <w:suff w:val="tab"/>
      <w:lvlText w:val="%1.%2."/>
      <w:lvlJc w:val="left"/>
      <w:pPr>
        <w:ind w:left="1429" w:hanging="720"/>
      </w:pPr>
      <w:rPr>
        <w:rFonts w:hint="default"/>
      </w:rPr>
    </w:lvl>
    <w:lvl w:ilvl="2">
      <w:start w:val="1"/>
      <w:numFmt w:val="decimal"/>
      <w:isLgl w:val="false"/>
      <w:suff w:val="tab"/>
      <w:lvlText w:val="%1.%2.%3."/>
      <w:lvlJc w:val="left"/>
      <w:pPr>
        <w:ind w:left="2138" w:hanging="720"/>
      </w:pPr>
      <w:rPr>
        <w:rFonts w:hint="default"/>
      </w:rPr>
    </w:lvl>
    <w:lvl w:ilvl="3">
      <w:start w:val="1"/>
      <w:numFmt w:val="decimal"/>
      <w:isLgl w:val="false"/>
      <w:suff w:val="tab"/>
      <w:lvlText w:val="%1.%2.%3.%4."/>
      <w:lvlJc w:val="left"/>
      <w:pPr>
        <w:ind w:left="3207" w:hanging="1080"/>
      </w:pPr>
      <w:rPr>
        <w:rFonts w:hint="default"/>
      </w:rPr>
    </w:lvl>
    <w:lvl w:ilvl="4">
      <w:start w:val="1"/>
      <w:numFmt w:val="decimal"/>
      <w:isLgl w:val="false"/>
      <w:suff w:val="tab"/>
      <w:lvlText w:val="%1.%2.%3.%4.%5."/>
      <w:lvlJc w:val="left"/>
      <w:pPr>
        <w:ind w:left="3916" w:hanging="1080"/>
      </w:pPr>
      <w:rPr>
        <w:rFonts w:hint="default"/>
      </w:rPr>
    </w:lvl>
    <w:lvl w:ilvl="5">
      <w:start w:val="1"/>
      <w:numFmt w:val="decimal"/>
      <w:isLgl w:val="false"/>
      <w:suff w:val="tab"/>
      <w:lvlText w:val="%1.%2.%3.%4.%5.%6."/>
      <w:lvlJc w:val="left"/>
      <w:pPr>
        <w:ind w:left="4985" w:hanging="1440"/>
      </w:pPr>
      <w:rPr>
        <w:rFonts w:hint="default"/>
      </w:rPr>
    </w:lvl>
    <w:lvl w:ilvl="6">
      <w:start w:val="1"/>
      <w:numFmt w:val="decimal"/>
      <w:isLgl w:val="false"/>
      <w:suff w:val="tab"/>
      <w:lvlText w:val="%1.%2.%3.%4.%5.%6.%7."/>
      <w:lvlJc w:val="left"/>
      <w:pPr>
        <w:ind w:left="5694" w:hanging="1440"/>
      </w:pPr>
      <w:rPr>
        <w:rFonts w:hint="default"/>
      </w:rPr>
    </w:lvl>
    <w:lvl w:ilvl="7">
      <w:start w:val="1"/>
      <w:numFmt w:val="decimal"/>
      <w:isLgl w:val="false"/>
      <w:suff w:val="tab"/>
      <w:lvlText w:val="%1.%2.%3.%4.%5.%6.%7.%8."/>
      <w:lvlJc w:val="left"/>
      <w:pPr>
        <w:ind w:left="6763" w:hanging="1800"/>
      </w:pPr>
      <w:rPr>
        <w:rFonts w:hint="default"/>
      </w:rPr>
    </w:lvl>
    <w:lvl w:ilvl="8">
      <w:start w:val="1"/>
      <w:numFmt w:val="decimal"/>
      <w:isLgl w:val="false"/>
      <w:suff w:val="tab"/>
      <w:lvlText w:val="%1.%2.%3.%4.%5.%6.%7.%8.%9."/>
      <w:lvlJc w:val="left"/>
      <w:pPr>
        <w:ind w:left="7832" w:hanging="2160"/>
      </w:pPr>
      <w:rPr>
        <w:rFonts w:hint="default"/>
      </w:rPr>
    </w:lvl>
  </w:abstractNum>
  <w:abstractNum w:abstractNumId="8">
    <w:multiLevelType w:val="hybridMultilevel"/>
    <w:lvl w:ilvl="0">
      <w:start w:val="1"/>
      <w:numFmt w:val="bullet"/>
      <w:isLgl w:val="false"/>
      <w:suff w:val="tab"/>
      <w:lvlText w:val=""/>
      <w:lvlJc w:val="left"/>
      <w:pPr>
        <w:ind w:left="720" w:hanging="360"/>
        <w:tabs>
          <w:tab w:val="left" w:pos="720" w:leader="none"/>
        </w:tabs>
      </w:pPr>
      <w:rPr>
        <w:rFonts w:ascii="Wingdings" w:hAnsi="Wingdings" w:hint="default"/>
        <w:sz w:val="20"/>
      </w:rPr>
    </w:lvl>
    <w:lvl w:ilvl="1">
      <w:start w:val="1"/>
      <w:numFmt w:val="bullet"/>
      <w:isLgl w:val="false"/>
      <w:suff w:val="tab"/>
      <w:lvlText w:val=""/>
      <w:lvlJc w:val="left"/>
      <w:pPr>
        <w:ind w:left="1440" w:hanging="360"/>
        <w:tabs>
          <w:tab w:val="left" w:pos="1440" w:leader="none"/>
        </w:tabs>
      </w:pPr>
      <w:rPr>
        <w:rFonts w:ascii="Wingdings" w:hAnsi="Wingdings"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9">
    <w:multiLevelType w:val="hybridMultilevel"/>
    <w:lvl w:ilvl="0">
      <w:start w:val="2"/>
      <w:numFmt w:val="bullet"/>
      <w:isLgl w:val="false"/>
      <w:suff w:val="tab"/>
      <w:lvlText w:val="-"/>
      <w:lvlJc w:val="left"/>
      <w:pPr>
        <w:ind w:left="1068" w:hanging="360"/>
      </w:pPr>
      <w:rPr>
        <w:rFonts w:ascii="Arial" w:hAnsi="Arial" w:cs="Arial" w:eastAsia="Times New Roman" w:hint="default"/>
      </w:rPr>
    </w:lvl>
    <w:lvl w:ilvl="1">
      <w:start w:val="1"/>
      <w:numFmt w:val="bullet"/>
      <w:isLgl w:val="false"/>
      <w:suff w:val="tab"/>
      <w:lvlText w:val="o"/>
      <w:lvlJc w:val="left"/>
      <w:pPr>
        <w:ind w:left="1788" w:hanging="360"/>
      </w:pPr>
      <w:rPr>
        <w:rFonts w:ascii="Courier New" w:hAnsi="Courier New" w:cs="Courier New" w:hint="default"/>
      </w:rPr>
    </w:lvl>
    <w:lvl w:ilvl="2">
      <w:start w:val="1"/>
      <w:numFmt w:val="bullet"/>
      <w:isLgl w:val="false"/>
      <w:suff w:val="tab"/>
      <w:lvlText w:val=""/>
      <w:lvlJc w:val="left"/>
      <w:pPr>
        <w:ind w:left="2508" w:hanging="360"/>
      </w:pPr>
      <w:rPr>
        <w:rFonts w:ascii="Wingdings" w:hAnsi="Wingdings" w:hint="default"/>
      </w:rPr>
    </w:lvl>
    <w:lvl w:ilvl="3">
      <w:start w:val="1"/>
      <w:numFmt w:val="bullet"/>
      <w:isLgl w:val="false"/>
      <w:suff w:val="tab"/>
      <w:lvlText w:val=""/>
      <w:lvlJc w:val="left"/>
      <w:pPr>
        <w:ind w:left="3228" w:hanging="360"/>
      </w:pPr>
      <w:rPr>
        <w:rFonts w:ascii="Symbol" w:hAnsi="Symbol" w:hint="default"/>
      </w:rPr>
    </w:lvl>
    <w:lvl w:ilvl="4">
      <w:start w:val="1"/>
      <w:numFmt w:val="bullet"/>
      <w:isLgl w:val="false"/>
      <w:suff w:val="tab"/>
      <w:lvlText w:val="o"/>
      <w:lvlJc w:val="left"/>
      <w:pPr>
        <w:ind w:left="3948" w:hanging="360"/>
      </w:pPr>
      <w:rPr>
        <w:rFonts w:ascii="Courier New" w:hAnsi="Courier New" w:cs="Courier New" w:hint="default"/>
      </w:rPr>
    </w:lvl>
    <w:lvl w:ilvl="5">
      <w:start w:val="1"/>
      <w:numFmt w:val="bullet"/>
      <w:isLgl w:val="false"/>
      <w:suff w:val="tab"/>
      <w:lvlText w:val=""/>
      <w:lvlJc w:val="left"/>
      <w:pPr>
        <w:ind w:left="4668" w:hanging="360"/>
      </w:pPr>
      <w:rPr>
        <w:rFonts w:ascii="Wingdings" w:hAnsi="Wingdings" w:hint="default"/>
      </w:rPr>
    </w:lvl>
    <w:lvl w:ilvl="6">
      <w:start w:val="1"/>
      <w:numFmt w:val="bullet"/>
      <w:isLgl w:val="false"/>
      <w:suff w:val="tab"/>
      <w:lvlText w:val=""/>
      <w:lvlJc w:val="left"/>
      <w:pPr>
        <w:ind w:left="5388" w:hanging="360"/>
      </w:pPr>
      <w:rPr>
        <w:rFonts w:ascii="Symbol" w:hAnsi="Symbol" w:hint="default"/>
      </w:rPr>
    </w:lvl>
    <w:lvl w:ilvl="7">
      <w:start w:val="1"/>
      <w:numFmt w:val="bullet"/>
      <w:isLgl w:val="false"/>
      <w:suff w:val="tab"/>
      <w:lvlText w:val="o"/>
      <w:lvlJc w:val="left"/>
      <w:pPr>
        <w:ind w:left="6108" w:hanging="360"/>
      </w:pPr>
      <w:rPr>
        <w:rFonts w:ascii="Courier New" w:hAnsi="Courier New" w:cs="Courier New" w:hint="default"/>
      </w:rPr>
    </w:lvl>
    <w:lvl w:ilvl="8">
      <w:start w:val="1"/>
      <w:numFmt w:val="bullet"/>
      <w:isLgl w:val="false"/>
      <w:suff w:val="tab"/>
      <w:lvlText w:val=""/>
      <w:lvlJc w:val="left"/>
      <w:pPr>
        <w:ind w:left="6828" w:hanging="360"/>
      </w:pPr>
      <w:rPr>
        <w:rFonts w:ascii="Wingdings" w:hAnsi="Wingdings" w:hint="default"/>
      </w:rPr>
    </w:lvl>
  </w:abstractNum>
  <w:abstractNum w:abstractNumId="10">
    <w:multiLevelType w:val="hybridMultilevel"/>
    <w:lvl w:ilvl="0">
      <w:start w:val="1"/>
      <w:numFmt w:val="bullet"/>
      <w:isLgl w:val="false"/>
      <w:suff w:val="tab"/>
      <w:lvlText w:val=""/>
      <w:lvlJc w:val="left"/>
      <w:pPr>
        <w:ind w:left="2136" w:hanging="360"/>
      </w:pPr>
      <w:rPr>
        <w:rFonts w:ascii="Wingdings" w:hAnsi="Wingdings" w:hint="default"/>
      </w:rPr>
    </w:lvl>
    <w:lvl w:ilvl="1">
      <w:start w:val="1"/>
      <w:numFmt w:val="bullet"/>
      <w:isLgl w:val="false"/>
      <w:suff w:val="tab"/>
      <w:lvlText w:val="o"/>
      <w:lvlJc w:val="left"/>
      <w:pPr>
        <w:ind w:left="2856" w:hanging="360"/>
      </w:pPr>
      <w:rPr>
        <w:rFonts w:ascii="Courier New" w:hAnsi="Courier New" w:hint="default"/>
      </w:rPr>
    </w:lvl>
    <w:lvl w:ilvl="2">
      <w:start w:val="1"/>
      <w:numFmt w:val="bullet"/>
      <w:isLgl w:val="false"/>
      <w:suff w:val="tab"/>
      <w:lvlText w:val=""/>
      <w:lvlJc w:val="left"/>
      <w:pPr>
        <w:ind w:left="3576" w:hanging="360"/>
      </w:pPr>
      <w:rPr>
        <w:rFonts w:ascii="Wingdings" w:hAnsi="Wingdings" w:hint="default"/>
      </w:rPr>
    </w:lvl>
    <w:lvl w:ilvl="3">
      <w:start w:val="1"/>
      <w:numFmt w:val="bullet"/>
      <w:isLgl w:val="false"/>
      <w:suff w:val="tab"/>
      <w:lvlText w:val=""/>
      <w:lvlJc w:val="left"/>
      <w:pPr>
        <w:ind w:left="4296" w:hanging="360"/>
      </w:pPr>
      <w:rPr>
        <w:rFonts w:ascii="Symbol" w:hAnsi="Symbol" w:hint="default"/>
      </w:rPr>
    </w:lvl>
    <w:lvl w:ilvl="4">
      <w:start w:val="1"/>
      <w:numFmt w:val="bullet"/>
      <w:isLgl w:val="false"/>
      <w:suff w:val="tab"/>
      <w:lvlText w:val="o"/>
      <w:lvlJc w:val="left"/>
      <w:pPr>
        <w:ind w:left="5016" w:hanging="360"/>
      </w:pPr>
      <w:rPr>
        <w:rFonts w:ascii="Courier New" w:hAnsi="Courier New" w:hint="default"/>
      </w:rPr>
    </w:lvl>
    <w:lvl w:ilvl="5">
      <w:start w:val="1"/>
      <w:numFmt w:val="bullet"/>
      <w:isLgl w:val="false"/>
      <w:suff w:val="tab"/>
      <w:lvlText w:val=""/>
      <w:lvlJc w:val="left"/>
      <w:pPr>
        <w:ind w:left="5736" w:hanging="360"/>
      </w:pPr>
      <w:rPr>
        <w:rFonts w:ascii="Wingdings" w:hAnsi="Wingdings" w:hint="default"/>
      </w:rPr>
    </w:lvl>
    <w:lvl w:ilvl="6">
      <w:start w:val="1"/>
      <w:numFmt w:val="bullet"/>
      <w:isLgl w:val="false"/>
      <w:suff w:val="tab"/>
      <w:lvlText w:val=""/>
      <w:lvlJc w:val="left"/>
      <w:pPr>
        <w:ind w:left="6456" w:hanging="360"/>
      </w:pPr>
      <w:rPr>
        <w:rFonts w:ascii="Symbol" w:hAnsi="Symbol" w:hint="default"/>
      </w:rPr>
    </w:lvl>
    <w:lvl w:ilvl="7">
      <w:start w:val="1"/>
      <w:numFmt w:val="bullet"/>
      <w:isLgl w:val="false"/>
      <w:suff w:val="tab"/>
      <w:lvlText w:val="o"/>
      <w:lvlJc w:val="left"/>
      <w:pPr>
        <w:ind w:left="7176" w:hanging="360"/>
      </w:pPr>
      <w:rPr>
        <w:rFonts w:ascii="Courier New" w:hAnsi="Courier New" w:hint="default"/>
      </w:rPr>
    </w:lvl>
    <w:lvl w:ilvl="8">
      <w:start w:val="1"/>
      <w:numFmt w:val="bullet"/>
      <w:isLgl w:val="false"/>
      <w:suff w:val="tab"/>
      <w:lvlText w:val=""/>
      <w:lvlJc w:val="left"/>
      <w:pPr>
        <w:ind w:left="7896" w:hanging="360"/>
      </w:pPr>
      <w:rPr>
        <w:rFonts w:ascii="Wingdings" w:hAnsi="Wingdings" w:hint="default"/>
      </w:rPr>
    </w:lvl>
  </w:abstractNum>
  <w:abstractNum w:abstractNumId="11">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2">
    <w:multiLevelType w:val="hybridMultilevel"/>
    <w:lvl w:ilvl="0">
      <w:start w:val="1"/>
      <w:numFmt w:val="bullet"/>
      <w:isLgl w:val="false"/>
      <w:suff w:val="tab"/>
      <w:lvlText w:val=""/>
      <w:lvlJc w:val="left"/>
      <w:pPr>
        <w:ind w:left="1287" w:hanging="360"/>
      </w:pPr>
      <w:rPr>
        <w:rFonts w:ascii="Symbol" w:hAnsi="Symbol" w:hint="default"/>
      </w:rPr>
    </w:lvl>
    <w:lvl w:ilvl="1">
      <w:start w:val="1"/>
      <w:numFmt w:val="bullet"/>
      <w:isLgl w:val="false"/>
      <w:suff w:val="tab"/>
      <w:lvlText w:val="o"/>
      <w:lvlJc w:val="left"/>
      <w:pPr>
        <w:ind w:left="2007" w:hanging="360"/>
      </w:pPr>
      <w:rPr>
        <w:rFonts w:ascii="Courier New" w:hAnsi="Courier New" w:cs="Courier New" w:hint="default"/>
      </w:rPr>
    </w:lvl>
    <w:lvl w:ilvl="2">
      <w:start w:val="1"/>
      <w:numFmt w:val="bullet"/>
      <w:isLgl w:val="false"/>
      <w:suff w:val="tab"/>
      <w:lvlText w:val=""/>
      <w:lvlJc w:val="left"/>
      <w:pPr>
        <w:ind w:left="2727" w:hanging="360"/>
      </w:pPr>
      <w:rPr>
        <w:rFonts w:ascii="Wingdings" w:hAnsi="Wingdings" w:hint="default"/>
      </w:rPr>
    </w:lvl>
    <w:lvl w:ilvl="3">
      <w:start w:val="1"/>
      <w:numFmt w:val="bullet"/>
      <w:isLgl w:val="false"/>
      <w:suff w:val="tab"/>
      <w:lvlText w:val=""/>
      <w:lvlJc w:val="left"/>
      <w:pPr>
        <w:ind w:left="3447" w:hanging="360"/>
      </w:pPr>
      <w:rPr>
        <w:rFonts w:ascii="Symbol" w:hAnsi="Symbol" w:hint="default"/>
      </w:rPr>
    </w:lvl>
    <w:lvl w:ilvl="4">
      <w:start w:val="1"/>
      <w:numFmt w:val="bullet"/>
      <w:isLgl w:val="false"/>
      <w:suff w:val="tab"/>
      <w:lvlText w:val="o"/>
      <w:lvlJc w:val="left"/>
      <w:pPr>
        <w:ind w:left="4167" w:hanging="360"/>
      </w:pPr>
      <w:rPr>
        <w:rFonts w:ascii="Courier New" w:hAnsi="Courier New" w:cs="Courier New" w:hint="default"/>
      </w:rPr>
    </w:lvl>
    <w:lvl w:ilvl="5">
      <w:start w:val="1"/>
      <w:numFmt w:val="bullet"/>
      <w:isLgl w:val="false"/>
      <w:suff w:val="tab"/>
      <w:lvlText w:val=""/>
      <w:lvlJc w:val="left"/>
      <w:pPr>
        <w:ind w:left="4887" w:hanging="360"/>
      </w:pPr>
      <w:rPr>
        <w:rFonts w:ascii="Wingdings" w:hAnsi="Wingdings" w:hint="default"/>
      </w:rPr>
    </w:lvl>
    <w:lvl w:ilvl="6">
      <w:start w:val="1"/>
      <w:numFmt w:val="bullet"/>
      <w:isLgl w:val="false"/>
      <w:suff w:val="tab"/>
      <w:lvlText w:val=""/>
      <w:lvlJc w:val="left"/>
      <w:pPr>
        <w:ind w:left="5607" w:hanging="360"/>
      </w:pPr>
      <w:rPr>
        <w:rFonts w:ascii="Symbol" w:hAnsi="Symbol" w:hint="default"/>
      </w:rPr>
    </w:lvl>
    <w:lvl w:ilvl="7">
      <w:start w:val="1"/>
      <w:numFmt w:val="bullet"/>
      <w:isLgl w:val="false"/>
      <w:suff w:val="tab"/>
      <w:lvlText w:val="o"/>
      <w:lvlJc w:val="left"/>
      <w:pPr>
        <w:ind w:left="6327" w:hanging="360"/>
      </w:pPr>
      <w:rPr>
        <w:rFonts w:ascii="Courier New" w:hAnsi="Courier New" w:cs="Courier New" w:hint="default"/>
      </w:rPr>
    </w:lvl>
    <w:lvl w:ilvl="8">
      <w:start w:val="1"/>
      <w:numFmt w:val="bullet"/>
      <w:isLgl w:val="false"/>
      <w:suff w:val="tab"/>
      <w:lvlText w:val=""/>
      <w:lvlJc w:val="left"/>
      <w:pPr>
        <w:ind w:left="7047" w:hanging="360"/>
      </w:pPr>
      <w:rPr>
        <w:rFonts w:ascii="Wingdings" w:hAnsi="Wingdings" w:hint="default"/>
      </w:rPr>
    </w:lvl>
  </w:abstractNum>
  <w:abstractNum w:abstractNumId="13">
    <w:multiLevelType w:val="hybridMultilevel"/>
    <w:lvl w:ilvl="0">
      <w:start w:val="1"/>
      <w:numFmt w:val="decimal"/>
      <w:isLgl w:val="false"/>
      <w:suff w:val="tab"/>
      <w:lvlText w:val="%1"/>
      <w:lvlJc w:val="left"/>
      <w:pPr>
        <w:ind w:left="360" w:hanging="360"/>
      </w:pPr>
      <w:rPr>
        <w:rFonts w:hint="default"/>
      </w:rPr>
    </w:lvl>
    <w:lvl w:ilvl="1">
      <w:start w:val="7"/>
      <w:numFmt w:val="decimal"/>
      <w:isLgl w:val="false"/>
      <w:suff w:val="tab"/>
      <w:lvlText w:val="%1.%2"/>
      <w:lvlJc w:val="left"/>
      <w:pPr>
        <w:ind w:left="1495" w:hanging="360"/>
      </w:pPr>
      <w:rPr>
        <w:rFonts w:hint="default"/>
      </w:rPr>
    </w:lvl>
    <w:lvl w:ilvl="2">
      <w:start w:val="1"/>
      <w:numFmt w:val="decimal"/>
      <w:isLgl w:val="false"/>
      <w:suff w:val="tab"/>
      <w:lvlText w:val="%1.%2.%3"/>
      <w:lvlJc w:val="left"/>
      <w:pPr>
        <w:ind w:left="2990" w:hanging="720"/>
      </w:pPr>
      <w:rPr>
        <w:rFonts w:hint="default"/>
      </w:rPr>
    </w:lvl>
    <w:lvl w:ilvl="3">
      <w:start w:val="1"/>
      <w:numFmt w:val="decimal"/>
      <w:isLgl w:val="false"/>
      <w:suff w:val="tab"/>
      <w:lvlText w:val="%1.%2.%3.%4"/>
      <w:lvlJc w:val="left"/>
      <w:pPr>
        <w:ind w:left="4485" w:hanging="1080"/>
      </w:pPr>
      <w:rPr>
        <w:rFonts w:hint="default"/>
      </w:rPr>
    </w:lvl>
    <w:lvl w:ilvl="4">
      <w:start w:val="1"/>
      <w:numFmt w:val="decimal"/>
      <w:isLgl w:val="false"/>
      <w:suff w:val="tab"/>
      <w:lvlText w:val="%1.%2.%3.%4.%5"/>
      <w:lvlJc w:val="left"/>
      <w:pPr>
        <w:ind w:left="5620" w:hanging="1080"/>
      </w:pPr>
      <w:rPr>
        <w:rFonts w:hint="default"/>
      </w:rPr>
    </w:lvl>
    <w:lvl w:ilvl="5">
      <w:start w:val="1"/>
      <w:numFmt w:val="decimal"/>
      <w:isLgl w:val="false"/>
      <w:suff w:val="tab"/>
      <w:lvlText w:val="%1.%2.%3.%4.%5.%6"/>
      <w:lvlJc w:val="left"/>
      <w:pPr>
        <w:ind w:left="7115" w:hanging="1440"/>
      </w:pPr>
      <w:rPr>
        <w:rFonts w:hint="default"/>
      </w:rPr>
    </w:lvl>
    <w:lvl w:ilvl="6">
      <w:start w:val="1"/>
      <w:numFmt w:val="decimal"/>
      <w:isLgl w:val="false"/>
      <w:suff w:val="tab"/>
      <w:lvlText w:val="%1.%2.%3.%4.%5.%6.%7"/>
      <w:lvlJc w:val="left"/>
      <w:pPr>
        <w:ind w:left="8250" w:hanging="1440"/>
      </w:pPr>
      <w:rPr>
        <w:rFonts w:hint="default"/>
      </w:rPr>
    </w:lvl>
    <w:lvl w:ilvl="7">
      <w:start w:val="1"/>
      <w:numFmt w:val="decimal"/>
      <w:isLgl w:val="false"/>
      <w:suff w:val="tab"/>
      <w:lvlText w:val="%1.%2.%3.%4.%5.%6.%7.%8"/>
      <w:lvlJc w:val="left"/>
      <w:pPr>
        <w:ind w:left="9745" w:hanging="1800"/>
      </w:pPr>
      <w:rPr>
        <w:rFonts w:hint="default"/>
      </w:rPr>
    </w:lvl>
    <w:lvl w:ilvl="8">
      <w:start w:val="1"/>
      <w:numFmt w:val="decimal"/>
      <w:isLgl w:val="false"/>
      <w:suff w:val="tab"/>
      <w:lvlText w:val="%1.%2.%3.%4.%5.%6.%7.%8.%9"/>
      <w:lvlJc w:val="left"/>
      <w:pPr>
        <w:ind w:left="10880" w:hanging="1800"/>
      </w:pPr>
      <w:rPr>
        <w:rFonts w:hint="default"/>
      </w:rPr>
    </w:lvl>
  </w:abstractNum>
  <w:abstractNum w:abstractNumId="14">
    <w:multiLevelType w:val="hybridMultilevel"/>
    <w:lvl w:ilvl="0">
      <w:start w:val="5"/>
      <w:numFmt w:val="bullet"/>
      <w:isLgl w:val="false"/>
      <w:suff w:val="tab"/>
      <w:lvlText w:val="-"/>
      <w:lvlJc w:val="left"/>
      <w:pPr>
        <w:ind w:left="720" w:hanging="360"/>
      </w:pPr>
      <w:rPr>
        <w:rFonts w:ascii="Arial" w:hAnsi="Arial" w:cs="Arial" w:eastAsia="Times New Roman"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5">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6">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7">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8">
    <w:multiLevelType w:val="hybridMultilevel"/>
    <w:lvl w:ilvl="0">
      <w:start w:val="1"/>
      <w:numFmt w:val="bullet"/>
      <w:isLgl w:val="false"/>
      <w:suff w:val="tab"/>
      <w:lvlText w:val=""/>
      <w:lvlJc w:val="left"/>
      <w:pPr>
        <w:ind w:left="2136" w:hanging="360"/>
      </w:pPr>
      <w:rPr>
        <w:rFonts w:ascii="Wingdings" w:hAnsi="Wingdings" w:hint="default"/>
      </w:rPr>
    </w:lvl>
    <w:lvl w:ilvl="1">
      <w:start w:val="1"/>
      <w:numFmt w:val="bullet"/>
      <w:isLgl w:val="false"/>
      <w:suff w:val="tab"/>
      <w:lvlText w:val="o"/>
      <w:lvlJc w:val="left"/>
      <w:pPr>
        <w:ind w:left="2856" w:hanging="360"/>
      </w:pPr>
      <w:rPr>
        <w:rFonts w:ascii="Courier New" w:hAnsi="Courier New" w:hint="default"/>
      </w:rPr>
    </w:lvl>
    <w:lvl w:ilvl="2">
      <w:start w:val="1"/>
      <w:numFmt w:val="bullet"/>
      <w:isLgl w:val="false"/>
      <w:suff w:val="tab"/>
      <w:lvlText w:val=""/>
      <w:lvlJc w:val="left"/>
      <w:pPr>
        <w:ind w:left="3576" w:hanging="360"/>
      </w:pPr>
      <w:rPr>
        <w:rFonts w:ascii="Wingdings" w:hAnsi="Wingdings" w:hint="default"/>
      </w:rPr>
    </w:lvl>
    <w:lvl w:ilvl="3">
      <w:start w:val="1"/>
      <w:numFmt w:val="bullet"/>
      <w:isLgl w:val="false"/>
      <w:suff w:val="tab"/>
      <w:lvlText w:val=""/>
      <w:lvlJc w:val="left"/>
      <w:pPr>
        <w:ind w:left="4296" w:hanging="360"/>
      </w:pPr>
      <w:rPr>
        <w:rFonts w:ascii="Symbol" w:hAnsi="Symbol" w:hint="default"/>
      </w:rPr>
    </w:lvl>
    <w:lvl w:ilvl="4">
      <w:start w:val="1"/>
      <w:numFmt w:val="bullet"/>
      <w:isLgl w:val="false"/>
      <w:suff w:val="tab"/>
      <w:lvlText w:val="o"/>
      <w:lvlJc w:val="left"/>
      <w:pPr>
        <w:ind w:left="5016" w:hanging="360"/>
      </w:pPr>
      <w:rPr>
        <w:rFonts w:ascii="Courier New" w:hAnsi="Courier New" w:hint="default"/>
      </w:rPr>
    </w:lvl>
    <w:lvl w:ilvl="5">
      <w:start w:val="1"/>
      <w:numFmt w:val="bullet"/>
      <w:isLgl w:val="false"/>
      <w:suff w:val="tab"/>
      <w:lvlText w:val=""/>
      <w:lvlJc w:val="left"/>
      <w:pPr>
        <w:ind w:left="5736" w:hanging="360"/>
      </w:pPr>
      <w:rPr>
        <w:rFonts w:ascii="Wingdings" w:hAnsi="Wingdings" w:hint="default"/>
      </w:rPr>
    </w:lvl>
    <w:lvl w:ilvl="6">
      <w:start w:val="1"/>
      <w:numFmt w:val="bullet"/>
      <w:isLgl w:val="false"/>
      <w:suff w:val="tab"/>
      <w:lvlText w:val=""/>
      <w:lvlJc w:val="left"/>
      <w:pPr>
        <w:ind w:left="6456" w:hanging="360"/>
      </w:pPr>
      <w:rPr>
        <w:rFonts w:ascii="Symbol" w:hAnsi="Symbol" w:hint="default"/>
      </w:rPr>
    </w:lvl>
    <w:lvl w:ilvl="7">
      <w:start w:val="1"/>
      <w:numFmt w:val="bullet"/>
      <w:isLgl w:val="false"/>
      <w:suff w:val="tab"/>
      <w:lvlText w:val="o"/>
      <w:lvlJc w:val="left"/>
      <w:pPr>
        <w:ind w:left="7176" w:hanging="360"/>
      </w:pPr>
      <w:rPr>
        <w:rFonts w:ascii="Courier New" w:hAnsi="Courier New" w:hint="default"/>
      </w:rPr>
    </w:lvl>
    <w:lvl w:ilvl="8">
      <w:start w:val="1"/>
      <w:numFmt w:val="bullet"/>
      <w:isLgl w:val="false"/>
      <w:suff w:val="tab"/>
      <w:lvlText w:val=""/>
      <w:lvlJc w:val="left"/>
      <w:pPr>
        <w:ind w:left="7896" w:hanging="360"/>
      </w:pPr>
      <w:rPr>
        <w:rFonts w:ascii="Wingdings" w:hAnsi="Wingdings" w:hint="default"/>
      </w:rPr>
    </w:lvl>
  </w:abstractNum>
  <w:abstractNum w:abstractNumId="19">
    <w:multiLevelType w:val="hybridMultilevel"/>
    <w:lvl w:ilvl="0">
      <w:start w:val="1"/>
      <w:numFmt w:val="decimal"/>
      <w:isLgl w:val="false"/>
      <w:suff w:val="tab"/>
      <w:lvlText w:val="%1."/>
      <w:lvlJc w:val="left"/>
      <w:pPr>
        <w:ind w:left="408" w:hanging="408"/>
      </w:pPr>
      <w:rPr>
        <w:rFonts w:hint="default"/>
      </w:rPr>
    </w:lvl>
    <w:lvl w:ilvl="1">
      <w:start w:val="3"/>
      <w:numFmt w:val="decimal"/>
      <w:isLgl w:val="false"/>
      <w:suff w:val="tab"/>
      <w:lvlText w:val="%1.%2."/>
      <w:lvlJc w:val="left"/>
      <w:pPr>
        <w:ind w:left="1855" w:hanging="720"/>
      </w:pPr>
      <w:rPr>
        <w:rFonts w:hint="default"/>
      </w:rPr>
    </w:lvl>
    <w:lvl w:ilvl="2">
      <w:start w:val="1"/>
      <w:numFmt w:val="decimal"/>
      <w:isLgl w:val="false"/>
      <w:suff w:val="tab"/>
      <w:lvlText w:val="%1.%2.%3."/>
      <w:lvlJc w:val="left"/>
      <w:pPr>
        <w:ind w:left="2138" w:hanging="720"/>
      </w:pPr>
      <w:rPr>
        <w:rFonts w:hint="default"/>
      </w:rPr>
    </w:lvl>
    <w:lvl w:ilvl="3">
      <w:start w:val="1"/>
      <w:numFmt w:val="decimal"/>
      <w:isLgl w:val="false"/>
      <w:suff w:val="tab"/>
      <w:lvlText w:val="%1.%2.%3.%4."/>
      <w:lvlJc w:val="left"/>
      <w:pPr>
        <w:ind w:left="3207" w:hanging="1080"/>
      </w:pPr>
      <w:rPr>
        <w:rFonts w:hint="default"/>
      </w:rPr>
    </w:lvl>
    <w:lvl w:ilvl="4">
      <w:start w:val="1"/>
      <w:numFmt w:val="decimal"/>
      <w:isLgl w:val="false"/>
      <w:suff w:val="tab"/>
      <w:lvlText w:val="%1.%2.%3.%4.%5."/>
      <w:lvlJc w:val="left"/>
      <w:pPr>
        <w:ind w:left="3916" w:hanging="1080"/>
      </w:pPr>
      <w:rPr>
        <w:rFonts w:hint="default"/>
      </w:rPr>
    </w:lvl>
    <w:lvl w:ilvl="5">
      <w:start w:val="1"/>
      <w:numFmt w:val="decimal"/>
      <w:isLgl w:val="false"/>
      <w:suff w:val="tab"/>
      <w:lvlText w:val="%1.%2.%3.%4.%5.%6."/>
      <w:lvlJc w:val="left"/>
      <w:pPr>
        <w:ind w:left="4985" w:hanging="1440"/>
      </w:pPr>
      <w:rPr>
        <w:rFonts w:hint="default"/>
      </w:rPr>
    </w:lvl>
    <w:lvl w:ilvl="6">
      <w:start w:val="1"/>
      <w:numFmt w:val="decimal"/>
      <w:isLgl w:val="false"/>
      <w:suff w:val="tab"/>
      <w:lvlText w:val="%1.%2.%3.%4.%5.%6.%7."/>
      <w:lvlJc w:val="left"/>
      <w:pPr>
        <w:ind w:left="5694" w:hanging="1440"/>
      </w:pPr>
      <w:rPr>
        <w:rFonts w:hint="default"/>
      </w:rPr>
    </w:lvl>
    <w:lvl w:ilvl="7">
      <w:start w:val="1"/>
      <w:numFmt w:val="decimal"/>
      <w:isLgl w:val="false"/>
      <w:suff w:val="tab"/>
      <w:lvlText w:val="%1.%2.%3.%4.%5.%6.%7.%8."/>
      <w:lvlJc w:val="left"/>
      <w:pPr>
        <w:ind w:left="6763" w:hanging="1800"/>
      </w:pPr>
      <w:rPr>
        <w:rFonts w:hint="default"/>
      </w:rPr>
    </w:lvl>
    <w:lvl w:ilvl="8">
      <w:start w:val="1"/>
      <w:numFmt w:val="decimal"/>
      <w:isLgl w:val="false"/>
      <w:suff w:val="tab"/>
      <w:lvlText w:val="%1.%2.%3.%4.%5.%6.%7.%8.%9."/>
      <w:lvlJc w:val="left"/>
      <w:pPr>
        <w:ind w:left="7832" w:hanging="2160"/>
      </w:pPr>
      <w:rPr>
        <w:rFonts w:hint="default"/>
      </w:rPr>
    </w:lvl>
  </w:abstractNum>
  <w:abstractNum w:abstractNumId="20">
    <w:multiLevelType w:val="hybridMultilevel"/>
    <w:lvl w:ilvl="0">
      <w:start w:val="1"/>
      <w:numFmt w:val="bullet"/>
      <w:isLgl w:val="false"/>
      <w:suff w:val="tab"/>
      <w:lvlText w:val=""/>
      <w:lvlJc w:val="left"/>
      <w:pPr>
        <w:ind w:left="2136" w:hanging="360"/>
      </w:pPr>
      <w:rPr>
        <w:rFonts w:ascii="Wingdings" w:hAnsi="Wingdings" w:hint="default"/>
      </w:rPr>
    </w:lvl>
    <w:lvl w:ilvl="1">
      <w:start w:val="1"/>
      <w:numFmt w:val="bullet"/>
      <w:isLgl w:val="false"/>
      <w:suff w:val="tab"/>
      <w:lvlText w:val="o"/>
      <w:lvlJc w:val="left"/>
      <w:pPr>
        <w:ind w:left="2856" w:hanging="360"/>
      </w:pPr>
      <w:rPr>
        <w:rFonts w:ascii="Courier New" w:hAnsi="Courier New" w:hint="default"/>
      </w:rPr>
    </w:lvl>
    <w:lvl w:ilvl="2">
      <w:start w:val="1"/>
      <w:numFmt w:val="bullet"/>
      <w:isLgl w:val="false"/>
      <w:suff w:val="tab"/>
      <w:lvlText w:val=""/>
      <w:lvlJc w:val="left"/>
      <w:pPr>
        <w:ind w:left="3576" w:hanging="360"/>
      </w:pPr>
      <w:rPr>
        <w:rFonts w:ascii="Wingdings" w:hAnsi="Wingdings" w:hint="default"/>
      </w:rPr>
    </w:lvl>
    <w:lvl w:ilvl="3">
      <w:start w:val="1"/>
      <w:numFmt w:val="bullet"/>
      <w:isLgl w:val="false"/>
      <w:suff w:val="tab"/>
      <w:lvlText w:val=""/>
      <w:lvlJc w:val="left"/>
      <w:pPr>
        <w:ind w:left="4296" w:hanging="360"/>
      </w:pPr>
      <w:rPr>
        <w:rFonts w:ascii="Symbol" w:hAnsi="Symbol" w:hint="default"/>
      </w:rPr>
    </w:lvl>
    <w:lvl w:ilvl="4">
      <w:start w:val="1"/>
      <w:numFmt w:val="bullet"/>
      <w:isLgl w:val="false"/>
      <w:suff w:val="tab"/>
      <w:lvlText w:val="o"/>
      <w:lvlJc w:val="left"/>
      <w:pPr>
        <w:ind w:left="5016" w:hanging="360"/>
      </w:pPr>
      <w:rPr>
        <w:rFonts w:ascii="Courier New" w:hAnsi="Courier New" w:hint="default"/>
      </w:rPr>
    </w:lvl>
    <w:lvl w:ilvl="5">
      <w:start w:val="1"/>
      <w:numFmt w:val="bullet"/>
      <w:isLgl w:val="false"/>
      <w:suff w:val="tab"/>
      <w:lvlText w:val=""/>
      <w:lvlJc w:val="left"/>
      <w:pPr>
        <w:ind w:left="5736" w:hanging="360"/>
      </w:pPr>
      <w:rPr>
        <w:rFonts w:ascii="Wingdings" w:hAnsi="Wingdings" w:hint="default"/>
      </w:rPr>
    </w:lvl>
    <w:lvl w:ilvl="6">
      <w:start w:val="1"/>
      <w:numFmt w:val="bullet"/>
      <w:isLgl w:val="false"/>
      <w:suff w:val="tab"/>
      <w:lvlText w:val=""/>
      <w:lvlJc w:val="left"/>
      <w:pPr>
        <w:ind w:left="6456" w:hanging="360"/>
      </w:pPr>
      <w:rPr>
        <w:rFonts w:ascii="Symbol" w:hAnsi="Symbol" w:hint="default"/>
      </w:rPr>
    </w:lvl>
    <w:lvl w:ilvl="7">
      <w:start w:val="1"/>
      <w:numFmt w:val="bullet"/>
      <w:isLgl w:val="false"/>
      <w:suff w:val="tab"/>
      <w:lvlText w:val="o"/>
      <w:lvlJc w:val="left"/>
      <w:pPr>
        <w:ind w:left="7176" w:hanging="360"/>
      </w:pPr>
      <w:rPr>
        <w:rFonts w:ascii="Courier New" w:hAnsi="Courier New" w:hint="default"/>
      </w:rPr>
    </w:lvl>
    <w:lvl w:ilvl="8">
      <w:start w:val="1"/>
      <w:numFmt w:val="bullet"/>
      <w:isLgl w:val="false"/>
      <w:suff w:val="tab"/>
      <w:lvlText w:val=""/>
      <w:lvlJc w:val="left"/>
      <w:pPr>
        <w:ind w:left="7896" w:hanging="360"/>
      </w:pPr>
      <w:rPr>
        <w:rFonts w:ascii="Wingdings" w:hAnsi="Wingdings" w:hint="default"/>
      </w:rPr>
    </w:lvl>
  </w:abstractNum>
  <w:abstractNum w:abstractNumId="21">
    <w:multiLevelType w:val="hybridMultilevel"/>
    <w:lvl w:ilvl="0">
      <w:start w:val="1"/>
      <w:numFmt w:val="bullet"/>
      <w:isLgl w:val="false"/>
      <w:suff w:val="tab"/>
      <w:lvlText w:val=""/>
      <w:lvlJc w:val="left"/>
      <w:pPr>
        <w:ind w:left="2136" w:hanging="360"/>
      </w:pPr>
      <w:rPr>
        <w:rFonts w:ascii="Wingdings" w:hAnsi="Wingdings" w:hint="default"/>
      </w:rPr>
    </w:lvl>
    <w:lvl w:ilvl="1">
      <w:start w:val="1"/>
      <w:numFmt w:val="bullet"/>
      <w:isLgl w:val="false"/>
      <w:suff w:val="tab"/>
      <w:lvlText w:val="o"/>
      <w:lvlJc w:val="left"/>
      <w:pPr>
        <w:ind w:left="2856" w:hanging="360"/>
      </w:pPr>
      <w:rPr>
        <w:rFonts w:ascii="Courier New" w:hAnsi="Courier New" w:hint="default"/>
      </w:rPr>
    </w:lvl>
    <w:lvl w:ilvl="2">
      <w:start w:val="1"/>
      <w:numFmt w:val="bullet"/>
      <w:isLgl w:val="false"/>
      <w:suff w:val="tab"/>
      <w:lvlText w:val=""/>
      <w:lvlJc w:val="left"/>
      <w:pPr>
        <w:ind w:left="3576" w:hanging="360"/>
      </w:pPr>
      <w:rPr>
        <w:rFonts w:ascii="Wingdings" w:hAnsi="Wingdings" w:hint="default"/>
      </w:rPr>
    </w:lvl>
    <w:lvl w:ilvl="3">
      <w:start w:val="1"/>
      <w:numFmt w:val="bullet"/>
      <w:isLgl w:val="false"/>
      <w:suff w:val="tab"/>
      <w:lvlText w:val=""/>
      <w:lvlJc w:val="left"/>
      <w:pPr>
        <w:ind w:left="4296" w:hanging="360"/>
      </w:pPr>
      <w:rPr>
        <w:rFonts w:ascii="Symbol" w:hAnsi="Symbol" w:hint="default"/>
      </w:rPr>
    </w:lvl>
    <w:lvl w:ilvl="4">
      <w:start w:val="1"/>
      <w:numFmt w:val="bullet"/>
      <w:isLgl w:val="false"/>
      <w:suff w:val="tab"/>
      <w:lvlText w:val="o"/>
      <w:lvlJc w:val="left"/>
      <w:pPr>
        <w:ind w:left="5016" w:hanging="360"/>
      </w:pPr>
      <w:rPr>
        <w:rFonts w:ascii="Courier New" w:hAnsi="Courier New" w:hint="default"/>
      </w:rPr>
    </w:lvl>
    <w:lvl w:ilvl="5">
      <w:start w:val="1"/>
      <w:numFmt w:val="bullet"/>
      <w:isLgl w:val="false"/>
      <w:suff w:val="tab"/>
      <w:lvlText w:val=""/>
      <w:lvlJc w:val="left"/>
      <w:pPr>
        <w:ind w:left="5736" w:hanging="360"/>
      </w:pPr>
      <w:rPr>
        <w:rFonts w:ascii="Wingdings" w:hAnsi="Wingdings" w:hint="default"/>
      </w:rPr>
    </w:lvl>
    <w:lvl w:ilvl="6">
      <w:start w:val="1"/>
      <w:numFmt w:val="bullet"/>
      <w:isLgl w:val="false"/>
      <w:suff w:val="tab"/>
      <w:lvlText w:val=""/>
      <w:lvlJc w:val="left"/>
      <w:pPr>
        <w:ind w:left="6456" w:hanging="360"/>
      </w:pPr>
      <w:rPr>
        <w:rFonts w:ascii="Symbol" w:hAnsi="Symbol" w:hint="default"/>
      </w:rPr>
    </w:lvl>
    <w:lvl w:ilvl="7">
      <w:start w:val="1"/>
      <w:numFmt w:val="bullet"/>
      <w:isLgl w:val="false"/>
      <w:suff w:val="tab"/>
      <w:lvlText w:val="o"/>
      <w:lvlJc w:val="left"/>
      <w:pPr>
        <w:ind w:left="7176" w:hanging="360"/>
      </w:pPr>
      <w:rPr>
        <w:rFonts w:ascii="Courier New" w:hAnsi="Courier New" w:hint="default"/>
      </w:rPr>
    </w:lvl>
    <w:lvl w:ilvl="8">
      <w:start w:val="1"/>
      <w:numFmt w:val="bullet"/>
      <w:isLgl w:val="false"/>
      <w:suff w:val="tab"/>
      <w:lvlText w:val=""/>
      <w:lvlJc w:val="left"/>
      <w:pPr>
        <w:ind w:left="7896" w:hanging="360"/>
      </w:pPr>
      <w:rPr>
        <w:rFonts w:ascii="Wingdings" w:hAnsi="Wingdings" w:hint="default"/>
      </w:rPr>
    </w:lvl>
  </w:abstractNum>
  <w:abstractNum w:abstractNumId="2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3">
    <w:multiLevelType w:val="hybridMultilevel"/>
    <w:lvl w:ilvl="0">
      <w:start w:val="1"/>
      <w:numFmt w:val="bullet"/>
      <w:isLgl w:val="false"/>
      <w:suff w:val="tab"/>
      <w:lvlText w:val=""/>
      <w:lvlJc w:val="left"/>
      <w:pPr>
        <w:ind w:left="1077" w:firstLine="558"/>
        <w:tabs>
          <w:tab w:val="left" w:pos="1077" w:leader="none"/>
        </w:tabs>
      </w:pPr>
      <w:rPr>
        <w:rFonts w:ascii="Wingdings" w:hAnsi="Wingdings" w:hint="default"/>
      </w:rPr>
    </w:lvl>
    <w:lvl w:ilvl="1">
      <w:start w:val="1"/>
      <w:numFmt w:val="bullet"/>
      <w:isLgl w:val="false"/>
      <w:suff w:val="tab"/>
      <w:lvlText w:val="o"/>
      <w:lvlJc w:val="left"/>
      <w:pPr>
        <w:ind w:left="2148" w:hanging="360"/>
        <w:tabs>
          <w:tab w:val="left" w:pos="2148" w:leader="none"/>
        </w:tabs>
      </w:pPr>
      <w:rPr>
        <w:rFonts w:ascii="Courier New" w:hAnsi="Courier New" w:cs="Courier New" w:hint="default"/>
      </w:rPr>
    </w:lvl>
    <w:lvl w:ilvl="2">
      <w:start w:val="1"/>
      <w:numFmt w:val="bullet"/>
      <w:isLgl w:val="false"/>
      <w:suff w:val="tab"/>
      <w:lvlText w:val=""/>
      <w:lvlJc w:val="left"/>
      <w:pPr>
        <w:ind w:left="2868" w:hanging="360"/>
        <w:tabs>
          <w:tab w:val="left" w:pos="2868" w:leader="none"/>
        </w:tabs>
      </w:pPr>
      <w:rPr>
        <w:rFonts w:ascii="Wingdings" w:hAnsi="Wingdings" w:hint="default"/>
      </w:rPr>
    </w:lvl>
    <w:lvl w:ilvl="3">
      <w:start w:val="1"/>
      <w:numFmt w:val="bullet"/>
      <w:isLgl w:val="false"/>
      <w:suff w:val="tab"/>
      <w:lvlText w:val=""/>
      <w:lvlJc w:val="left"/>
      <w:pPr>
        <w:ind w:left="3588" w:hanging="360"/>
        <w:tabs>
          <w:tab w:val="left" w:pos="3588" w:leader="none"/>
        </w:tabs>
      </w:pPr>
      <w:rPr>
        <w:rFonts w:ascii="Symbol" w:hAnsi="Symbol" w:hint="default"/>
      </w:rPr>
    </w:lvl>
    <w:lvl w:ilvl="4">
      <w:start w:val="1"/>
      <w:numFmt w:val="bullet"/>
      <w:isLgl w:val="false"/>
      <w:suff w:val="tab"/>
      <w:lvlText w:val="o"/>
      <w:lvlJc w:val="left"/>
      <w:pPr>
        <w:ind w:left="4308" w:hanging="360"/>
        <w:tabs>
          <w:tab w:val="left" w:pos="4308" w:leader="none"/>
        </w:tabs>
      </w:pPr>
      <w:rPr>
        <w:rFonts w:ascii="Courier New" w:hAnsi="Courier New" w:cs="Courier New" w:hint="default"/>
      </w:rPr>
    </w:lvl>
    <w:lvl w:ilvl="5">
      <w:start w:val="1"/>
      <w:numFmt w:val="bullet"/>
      <w:isLgl w:val="false"/>
      <w:suff w:val="tab"/>
      <w:lvlText w:val=""/>
      <w:lvlJc w:val="left"/>
      <w:pPr>
        <w:ind w:left="5028" w:hanging="360"/>
        <w:tabs>
          <w:tab w:val="left" w:pos="5028" w:leader="none"/>
        </w:tabs>
      </w:pPr>
      <w:rPr>
        <w:rFonts w:ascii="Wingdings" w:hAnsi="Wingdings" w:hint="default"/>
      </w:rPr>
    </w:lvl>
    <w:lvl w:ilvl="6">
      <w:start w:val="1"/>
      <w:numFmt w:val="bullet"/>
      <w:isLgl w:val="false"/>
      <w:suff w:val="tab"/>
      <w:lvlText w:val=""/>
      <w:lvlJc w:val="left"/>
      <w:pPr>
        <w:ind w:left="5748" w:hanging="360"/>
        <w:tabs>
          <w:tab w:val="left" w:pos="5748" w:leader="none"/>
        </w:tabs>
      </w:pPr>
      <w:rPr>
        <w:rFonts w:ascii="Symbol" w:hAnsi="Symbol" w:hint="default"/>
      </w:rPr>
    </w:lvl>
    <w:lvl w:ilvl="7">
      <w:start w:val="1"/>
      <w:numFmt w:val="bullet"/>
      <w:isLgl w:val="false"/>
      <w:suff w:val="tab"/>
      <w:lvlText w:val="o"/>
      <w:lvlJc w:val="left"/>
      <w:pPr>
        <w:ind w:left="6468" w:hanging="360"/>
        <w:tabs>
          <w:tab w:val="left" w:pos="6468" w:leader="none"/>
        </w:tabs>
      </w:pPr>
      <w:rPr>
        <w:rFonts w:ascii="Courier New" w:hAnsi="Courier New" w:cs="Courier New" w:hint="default"/>
      </w:rPr>
    </w:lvl>
    <w:lvl w:ilvl="8">
      <w:start w:val="1"/>
      <w:numFmt w:val="bullet"/>
      <w:isLgl w:val="false"/>
      <w:suff w:val="tab"/>
      <w:lvlText w:val=""/>
      <w:lvlJc w:val="left"/>
      <w:pPr>
        <w:ind w:left="7188" w:hanging="360"/>
        <w:tabs>
          <w:tab w:val="left" w:pos="7188" w:leader="none"/>
        </w:tabs>
      </w:pPr>
      <w:rPr>
        <w:rFonts w:ascii="Wingdings" w:hAnsi="Wingdings" w:hint="default"/>
      </w:rPr>
    </w:lvl>
  </w:abstractNum>
  <w:num w:numId="1">
    <w:abstractNumId w:val="22"/>
  </w:num>
  <w:num w:numId="2">
    <w:abstractNumId w:val="6"/>
  </w:num>
  <w:num w:numId="3">
    <w:abstractNumId w:val="21"/>
  </w:num>
  <w:num w:numId="4">
    <w:abstractNumId w:val="20"/>
  </w:num>
  <w:num w:numId="5">
    <w:abstractNumId w:val="10"/>
  </w:num>
  <w:num w:numId="6">
    <w:abstractNumId w:val="18"/>
  </w:num>
  <w:num w:numId="7">
    <w:abstractNumId w:val="23"/>
  </w:num>
  <w:num w:numId="8">
    <w:abstractNumId w:val="0"/>
  </w:num>
  <w:num w:numId="9">
    <w:abstractNumId w:val="7"/>
  </w:num>
  <w:num w:numId="10">
    <w:abstractNumId w:val="19"/>
  </w:num>
  <w:num w:numId="11">
    <w:abstractNumId w:val="16"/>
  </w:num>
  <w:num w:numId="12">
    <w:abstractNumId w:val="11"/>
  </w:num>
  <w:num w:numId="13">
    <w:abstractNumId w:val="9"/>
  </w:num>
  <w:num w:numId="14">
    <w:abstractNumId w:val="5"/>
  </w:num>
  <w:num w:numId="15">
    <w:abstractNumId w:val="2"/>
  </w:num>
  <w:num w:numId="16">
    <w:abstractNumId w:val="14"/>
  </w:num>
  <w:num w:numId="17">
    <w:abstractNumId w:val="15"/>
  </w:num>
  <w:num w:numId="18">
    <w:abstractNumId w:val="3"/>
  </w:num>
  <w:num w:numId="19">
    <w:abstractNumId w:val="8"/>
  </w:num>
  <w:num w:numId="20">
    <w:abstractNumId w:val="17"/>
  </w:num>
  <w:num w:numId="21">
    <w:abstractNumId w:val="1"/>
  </w:num>
  <w:num w:numId="22">
    <w:abstractNumId w:val="12"/>
  </w:num>
  <w:num w:numId="23">
    <w:abstractNumId w:val="4"/>
  </w:num>
  <w:num w:numId="24">
    <w:abstractNumId w:val="13"/>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9"/>
  <m:mathPr>
    <m:brkBin m:val="before"/>
    <m:defJc m:val="centerGroup"/>
    <m:intLim m:val="subSup"/>
    <m:lMargin m:val="0"/>
    <m:mathFont m:val="Cambria Math"/>
    <m:naryLim m:val="undOvr"/>
    <m:rMargin m:val="0"/>
    <m:smallFrac m:val="false"/>
    <m:wrapIndent m:val="1440"/>
  </m:mathPr>
  <w:trackRevisions w:val="false"/>
  <w:footnotePr>
    <w:footnote w:id="-1"/>
    <w:footnote w:id="0"/>
    <w:numFmt w:val="decimal"/>
    <w:numRestart w:val="continuous"/>
    <w:numStart w:val="1"/>
    <w:pos w:val="pageBottom"/>
  </w:foot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Times New Roman" w:eastAsia="Times New Roman"/>
        <w:color w:val="auto"/>
        <w:spacing w:val="0"/>
        <w:position w:val="0"/>
        <w:sz w:val="20"/>
        <w:szCs w:val="22"/>
        <w:lang w:val="uk-UA" w:bidi="ar-SA" w:eastAsia="uk-UA"/>
      </w:rPr>
    </w:rPrDefault>
    <w:pPrDefault>
      <w:pPr>
        <w:ind w:left="0" w:right="0" w:firstLine="0"/>
        <w:jc w:val="left"/>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509"/>
    <w:link w:val="502"/>
    <w:uiPriority w:val="9"/>
    <w:rPr>
      <w:rFonts w:ascii="Arial" w:hAnsi="Arial" w:cs="Arial" w:eastAsia="Arial"/>
      <w:sz w:val="40"/>
      <w:szCs w:val="40"/>
    </w:rPr>
  </w:style>
  <w:style w:type="character" w:styleId="14">
    <w:name w:val="Heading 2 Char"/>
    <w:basedOn w:val="509"/>
    <w:link w:val="503"/>
    <w:uiPriority w:val="9"/>
    <w:rPr>
      <w:rFonts w:ascii="Arial" w:hAnsi="Arial" w:cs="Arial" w:eastAsia="Arial"/>
      <w:sz w:val="34"/>
    </w:rPr>
  </w:style>
  <w:style w:type="character" w:styleId="16">
    <w:name w:val="Heading 3 Char"/>
    <w:basedOn w:val="509"/>
    <w:link w:val="504"/>
    <w:uiPriority w:val="9"/>
    <w:rPr>
      <w:rFonts w:ascii="Arial" w:hAnsi="Arial" w:cs="Arial" w:eastAsia="Arial"/>
      <w:sz w:val="30"/>
      <w:szCs w:val="30"/>
    </w:rPr>
  </w:style>
  <w:style w:type="character" w:styleId="18">
    <w:name w:val="Heading 4 Char"/>
    <w:basedOn w:val="509"/>
    <w:link w:val="505"/>
    <w:uiPriority w:val="9"/>
    <w:rPr>
      <w:rFonts w:ascii="Arial" w:hAnsi="Arial" w:cs="Arial" w:eastAsia="Arial"/>
      <w:b/>
      <w:bCs/>
      <w:sz w:val="26"/>
      <w:szCs w:val="26"/>
    </w:rPr>
  </w:style>
  <w:style w:type="character" w:styleId="20">
    <w:name w:val="Heading 5 Char"/>
    <w:basedOn w:val="509"/>
    <w:link w:val="506"/>
    <w:uiPriority w:val="9"/>
    <w:rPr>
      <w:rFonts w:ascii="Arial" w:hAnsi="Arial" w:cs="Arial" w:eastAsia="Arial"/>
      <w:b/>
      <w:bCs/>
      <w:sz w:val="24"/>
      <w:szCs w:val="24"/>
    </w:rPr>
  </w:style>
  <w:style w:type="paragraph" w:styleId="21">
    <w:name w:val="Heading 6"/>
    <w:basedOn w:val="501"/>
    <w:next w:val="501"/>
    <w:link w:val="22"/>
    <w:qFormat/>
    <w:uiPriority w:val="9"/>
    <w:unhideWhenUsed/>
    <w:rPr>
      <w:rFonts w:ascii="Arial" w:hAnsi="Arial" w:cs="Arial" w:eastAsia="Arial"/>
      <w:b/>
      <w:bCs/>
      <w:sz w:val="22"/>
      <w:szCs w:val="22"/>
    </w:rPr>
    <w:pPr>
      <w:keepLines/>
      <w:keepNext/>
      <w:spacing w:after="200" w:before="320"/>
      <w:outlineLvl w:val="5"/>
    </w:pPr>
  </w:style>
  <w:style w:type="character" w:styleId="22">
    <w:name w:val="Heading 6 Char"/>
    <w:basedOn w:val="509"/>
    <w:link w:val="21"/>
    <w:uiPriority w:val="9"/>
    <w:rPr>
      <w:rFonts w:ascii="Arial" w:hAnsi="Arial" w:cs="Arial" w:eastAsia="Arial"/>
      <w:b/>
      <w:bCs/>
      <w:sz w:val="22"/>
      <w:szCs w:val="22"/>
    </w:rPr>
  </w:style>
  <w:style w:type="character" w:styleId="24">
    <w:name w:val="Heading 7 Char"/>
    <w:basedOn w:val="509"/>
    <w:link w:val="507"/>
    <w:uiPriority w:val="9"/>
    <w:rPr>
      <w:rFonts w:ascii="Arial" w:hAnsi="Arial" w:cs="Arial" w:eastAsia="Arial"/>
      <w:b/>
      <w:bCs/>
      <w:i/>
      <w:iCs/>
      <w:sz w:val="22"/>
      <w:szCs w:val="22"/>
    </w:rPr>
  </w:style>
  <w:style w:type="character" w:styleId="26">
    <w:name w:val="Heading 8 Char"/>
    <w:basedOn w:val="509"/>
    <w:link w:val="508"/>
    <w:uiPriority w:val="9"/>
    <w:rPr>
      <w:rFonts w:ascii="Arial" w:hAnsi="Arial" w:cs="Arial" w:eastAsia="Arial"/>
      <w:i/>
      <w:iCs/>
      <w:sz w:val="22"/>
      <w:szCs w:val="22"/>
    </w:rPr>
  </w:style>
  <w:style w:type="paragraph" w:styleId="27">
    <w:name w:val="Heading 9"/>
    <w:basedOn w:val="501"/>
    <w:next w:val="501"/>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509"/>
    <w:link w:val="27"/>
    <w:uiPriority w:val="9"/>
    <w:rPr>
      <w:rFonts w:ascii="Arial" w:hAnsi="Arial" w:cs="Arial" w:eastAsia="Arial"/>
      <w:i/>
      <w:iCs/>
      <w:sz w:val="21"/>
      <w:szCs w:val="21"/>
    </w:rPr>
  </w:style>
  <w:style w:type="paragraph" w:styleId="34">
    <w:name w:val="Subtitle"/>
    <w:basedOn w:val="501"/>
    <w:next w:val="501"/>
    <w:link w:val="35"/>
    <w:qFormat/>
    <w:uiPriority w:val="11"/>
    <w:rPr>
      <w:sz w:val="24"/>
      <w:szCs w:val="24"/>
    </w:rPr>
    <w:pPr>
      <w:spacing w:after="200" w:before="200"/>
    </w:pPr>
  </w:style>
  <w:style w:type="character" w:styleId="35">
    <w:name w:val="Subtitle Char"/>
    <w:basedOn w:val="509"/>
    <w:link w:val="34"/>
    <w:uiPriority w:val="11"/>
    <w:rPr>
      <w:sz w:val="24"/>
      <w:szCs w:val="24"/>
    </w:rPr>
  </w:style>
  <w:style w:type="paragraph" w:styleId="36">
    <w:name w:val="Quote"/>
    <w:basedOn w:val="501"/>
    <w:next w:val="501"/>
    <w:link w:val="37"/>
    <w:qFormat/>
    <w:uiPriority w:val="29"/>
    <w:rPr>
      <w:i/>
    </w:rPr>
    <w:pPr>
      <w:ind w:left="720" w:right="720"/>
    </w:pPr>
  </w:style>
  <w:style w:type="character" w:styleId="37">
    <w:name w:val="Quote Char"/>
    <w:link w:val="36"/>
    <w:uiPriority w:val="29"/>
    <w:rPr>
      <w:i/>
    </w:rPr>
  </w:style>
  <w:style w:type="paragraph" w:styleId="38">
    <w:name w:val="Intense Quote"/>
    <w:basedOn w:val="501"/>
    <w:next w:val="501"/>
    <w:link w:val="39"/>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509"/>
    <w:link w:val="528"/>
    <w:uiPriority w:val="99"/>
  </w:style>
  <w:style w:type="character" w:styleId="43">
    <w:name w:val="Footer Char"/>
    <w:basedOn w:val="509"/>
    <w:link w:val="530"/>
    <w:uiPriority w:val="99"/>
  </w:style>
  <w:style w:type="table" w:styleId="45">
    <w:name w:val="Table Grid Light"/>
    <w:basedOn w:val="51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6">
    <w:name w:val="Plain Table 1"/>
    <w:basedOn w:val="510"/>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7">
    <w:name w:val="Plain Table 2"/>
    <w:basedOn w:val="510"/>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48">
    <w:name w:val="Plain Table 3"/>
    <w:basedOn w:val="51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49">
    <w:name w:val="Plain Table 4"/>
    <w:basedOn w:val="51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0">
    <w:name w:val="Plain Table 5"/>
    <w:basedOn w:val="510"/>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51">
    <w:name w:val="Grid Table 1 Light"/>
    <w:basedOn w:val="510"/>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2">
    <w:name w:val="Grid Table 1 Light - Accent 1"/>
    <w:basedOn w:val="51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3">
    <w:name w:val="Grid Table 1 Light - Accent 2"/>
    <w:basedOn w:val="51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4">
    <w:name w:val="Grid Table 1 Light - Accent 3"/>
    <w:basedOn w:val="51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5">
    <w:name w:val="Grid Table 1 Light - Accent 4"/>
    <w:basedOn w:val="51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6">
    <w:name w:val="Grid Table 1 Light - Accent 5"/>
    <w:basedOn w:val="51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7">
    <w:name w:val="Grid Table 1 Light - Accent 6"/>
    <w:basedOn w:val="51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58">
    <w:name w:val="Grid Table 2"/>
    <w:basedOn w:val="51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59">
    <w:name w:val="Grid Table 2 - Accent 1"/>
    <w:basedOn w:val="51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0">
    <w:name w:val="Grid Table 2 - Accent 2"/>
    <w:basedOn w:val="51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1">
    <w:name w:val="Grid Table 2 - Accent 3"/>
    <w:basedOn w:val="51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2">
    <w:name w:val="Grid Table 2 - Accent 4"/>
    <w:basedOn w:val="51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3">
    <w:name w:val="Grid Table 2 - Accent 5"/>
    <w:basedOn w:val="51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64">
    <w:name w:val="Grid Table 2 - Accent 6"/>
    <w:basedOn w:val="51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65">
    <w:name w:val="Grid Table 3"/>
    <w:basedOn w:val="510"/>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6">
    <w:name w:val="Grid Table 3 - Accent 1"/>
    <w:basedOn w:val="510"/>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7">
    <w:name w:val="Grid Table 3 - Accent 2"/>
    <w:basedOn w:val="510"/>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3"/>
    <w:basedOn w:val="510"/>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4"/>
    <w:basedOn w:val="510"/>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5"/>
    <w:basedOn w:val="510"/>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6"/>
    <w:basedOn w:val="510"/>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2">
    <w:name w:val="Grid Table 4"/>
    <w:basedOn w:val="510"/>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3">
    <w:name w:val="Grid Table 4 - Accent 1"/>
    <w:basedOn w:val="510"/>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4">
    <w:name w:val="Grid Table 4 - Accent 2"/>
    <w:basedOn w:val="510"/>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5">
    <w:name w:val="Grid Table 4 - Accent 3"/>
    <w:basedOn w:val="510"/>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6">
    <w:name w:val="Grid Table 4 - Accent 4"/>
    <w:basedOn w:val="510"/>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7">
    <w:name w:val="Grid Table 4 - Accent 5"/>
    <w:basedOn w:val="510"/>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8">
    <w:name w:val="Grid Table 4 - Accent 6"/>
    <w:basedOn w:val="510"/>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9">
    <w:name w:val="Grid Table 5 Dark"/>
    <w:basedOn w:val="51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80">
    <w:name w:val="Grid Table 5 Dark- Accent 1"/>
    <w:basedOn w:val="51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81">
    <w:name w:val="Grid Table 5 Dark - Accent 2"/>
    <w:basedOn w:val="51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82">
    <w:name w:val="Grid Table 5 Dark - Accent 3"/>
    <w:basedOn w:val="51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83">
    <w:name w:val="Grid Table 5 Dark- Accent 4"/>
    <w:basedOn w:val="51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84">
    <w:name w:val="Grid Table 5 Dark - Accent 5"/>
    <w:basedOn w:val="51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85">
    <w:name w:val="Grid Table 5 Dark - Accent 6"/>
    <w:basedOn w:val="510"/>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86">
    <w:name w:val="Grid Table 6 Colorful"/>
    <w:basedOn w:val="510"/>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7">
    <w:name w:val="Grid Table 6 Colorful - Accent 1"/>
    <w:basedOn w:val="510"/>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01C458" w:themeColor="accent1" w:themeTint="80" w:themeShade="95"/>
      </w:rPr>
    </w:tblStylePr>
    <w:tblStylePr w:type="firstRow">
      <w:rPr>
        <w:b/>
        <w:color w:val="01C458" w:themeColor="accent1" w:themeTint="80" w:themeShade="95"/>
      </w:rPr>
      <w:tcPr>
        <w:tcBorders>
          <w:bottom w:val="single" w:color="000000" w:sz="12" w:space="0" w:themeColor="accent1" w:themeTint="80"/>
        </w:tcBorders>
      </w:tcPr>
    </w:tblStylePr>
    <w:tblStylePr w:type="lastCol">
      <w:rPr>
        <w:b/>
        <w:color w:val="01C458" w:themeColor="accent1" w:themeTint="80" w:themeShade="95"/>
      </w:rPr>
    </w:tblStylePr>
    <w:tblStylePr w:type="lastRow">
      <w:rPr>
        <w:b/>
        <w:color w:val="01C458" w:themeColor="accent1" w:themeTint="80" w:themeShade="95"/>
      </w:rPr>
    </w:tblStylePr>
    <w:tblStylePr w:type="wholeTable">
      <w:rPr>
        <w:rFonts w:ascii="Arial" w:hAnsi="Arial"/>
        <w:color w:val="404040" w:themeColor="accent1" w:themeTint="80" w:themeShade="95"/>
        <w:sz w:val="22"/>
      </w:rPr>
    </w:tblStylePr>
  </w:style>
  <w:style w:type="table" w:styleId="88">
    <w:name w:val="Grid Table 6 Colorful - Accent 2"/>
    <w:basedOn w:val="51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CFC800" w:themeColor="accent2" w:themeTint="97" w:themeShade="95"/>
      </w:rPr>
    </w:tblStylePr>
    <w:tblStylePr w:type="firstRow">
      <w:rPr>
        <w:b/>
        <w:color w:val="CFC800" w:themeColor="accent2" w:themeTint="97" w:themeShade="95"/>
      </w:rPr>
      <w:tcPr>
        <w:tcBorders>
          <w:bottom w:val="single" w:color="000000" w:sz="12" w:space="0" w:themeColor="accent2" w:themeTint="97"/>
        </w:tcBorders>
      </w:tcPr>
    </w:tblStylePr>
    <w:tblStylePr w:type="lastCol">
      <w:rPr>
        <w:b/>
        <w:color w:val="CFC800" w:themeColor="accent2" w:themeTint="97" w:themeShade="95"/>
      </w:rPr>
    </w:tblStylePr>
    <w:tblStylePr w:type="lastRow">
      <w:rPr>
        <w:b/>
        <w:color w:val="CFC800" w:themeColor="accent2" w:themeTint="97" w:themeShade="95"/>
      </w:rPr>
    </w:tblStylePr>
    <w:tblStylePr w:type="wholeTable">
      <w:rPr>
        <w:rFonts w:ascii="Arial" w:hAnsi="Arial"/>
        <w:color w:val="404040" w:themeColor="accent2" w:themeTint="97" w:themeShade="95"/>
        <w:sz w:val="22"/>
      </w:rPr>
    </w:tblStylePr>
  </w:style>
  <w:style w:type="table" w:styleId="89">
    <w:name w:val="Grid Table 6 Colorful - Accent 3"/>
    <w:basedOn w:val="510"/>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94003B" w:themeColor="accent3" w:themeTint="FE" w:themeShade="95"/>
      </w:rPr>
    </w:tblStylePr>
    <w:tblStylePr w:type="firstRow">
      <w:rPr>
        <w:b/>
        <w:color w:val="94003B" w:themeColor="accent3" w:themeTint="FE" w:themeShade="95"/>
      </w:rPr>
      <w:tcPr>
        <w:tcBorders>
          <w:bottom w:val="single" w:color="000000" w:sz="12" w:space="0" w:themeColor="accent3" w:themeTint="FE"/>
        </w:tcBorders>
      </w:tcPr>
    </w:tblStylePr>
    <w:tblStylePr w:type="lastCol">
      <w:rPr>
        <w:b/>
        <w:color w:val="94003B" w:themeColor="accent3" w:themeTint="FE" w:themeShade="95"/>
      </w:rPr>
    </w:tblStylePr>
    <w:tblStylePr w:type="lastRow">
      <w:rPr>
        <w:b/>
        <w:color w:val="94003B" w:themeColor="accent3" w:themeTint="FE" w:themeShade="95"/>
      </w:rPr>
    </w:tblStylePr>
    <w:tblStylePr w:type="wholeTable">
      <w:rPr>
        <w:rFonts w:ascii="Arial" w:hAnsi="Arial"/>
        <w:color w:val="404040" w:themeColor="accent3" w:themeTint="FE" w:themeShade="95"/>
        <w:sz w:val="22"/>
      </w:rPr>
    </w:tblStylePr>
  </w:style>
  <w:style w:type="table" w:styleId="90">
    <w:name w:val="Grid Table 6 Colorful - Accent 4"/>
    <w:basedOn w:val="51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CD0000" w:themeColor="accent4" w:themeTint="9A" w:themeShade="95"/>
      </w:rPr>
    </w:tblStylePr>
    <w:tblStylePr w:type="firstRow">
      <w:rPr>
        <w:b/>
        <w:color w:val="CD0000" w:themeColor="accent4" w:themeTint="9A" w:themeShade="95"/>
      </w:rPr>
      <w:tcPr>
        <w:tcBorders>
          <w:bottom w:val="single" w:color="000000" w:sz="12" w:space="0" w:themeColor="accent4" w:themeTint="9A"/>
        </w:tcBorders>
      </w:tcPr>
    </w:tblStylePr>
    <w:tblStylePr w:type="lastCol">
      <w:rPr>
        <w:b/>
        <w:color w:val="CD0000" w:themeColor="accent4" w:themeTint="9A" w:themeShade="95"/>
      </w:rPr>
    </w:tblStylePr>
    <w:tblStylePr w:type="lastRow">
      <w:rPr>
        <w:b/>
        <w:color w:val="CD0000" w:themeColor="accent4" w:themeTint="9A" w:themeShade="95"/>
      </w:rPr>
    </w:tblStylePr>
    <w:tblStylePr w:type="wholeTable">
      <w:rPr>
        <w:rFonts w:ascii="Arial" w:hAnsi="Arial"/>
        <w:color w:val="404040" w:themeColor="accent4" w:themeTint="9A" w:themeShade="95"/>
        <w:sz w:val="22"/>
      </w:rPr>
    </w:tblStylePr>
  </w:style>
  <w:style w:type="table" w:styleId="91">
    <w:name w:val="Grid Table 6 Colorful - Accent 5"/>
    <w:basedOn w:val="510"/>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2">
    <w:name w:val="Grid Table 6 Colorful - Accent 6"/>
    <w:basedOn w:val="510"/>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3">
    <w:name w:val="Grid Table 7 Colorful"/>
    <w:basedOn w:val="510"/>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style>
  <w:style w:type="table" w:styleId="94">
    <w:name w:val="Grid Table 7 Colorful - Accent 1"/>
    <w:basedOn w:val="510"/>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01C458"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01C458" w:themeColor="accent1" w:themeTint="80" w:themeShade="95"/>
        <w:sz w:val="22"/>
      </w:rPr>
    </w:tblStylePr>
    <w:tblStylePr w:type="firstCol">
      <w:rPr>
        <w:rFonts w:ascii="Arial" w:hAnsi="Arial"/>
        <w:i/>
        <w:color w:val="01C458" w:themeColor="accent1" w:themeTint="80" w:themeShade="95"/>
        <w:sz w:val="22"/>
      </w:rPr>
      <w:pPr>
        <w:jc w:val="right"/>
      </w:pPr>
      <w:tcPr>
        <w:shd w:color="auto" w:fill="FFFFFF"/>
        <w:tcBorders>
          <w:left w:val="none"/>
          <w:top w:val="none"/>
          <w:right w:val="single" w:color="000000" w:sz="4" w:space="0" w:themeColor="accent1" w:themeTint="80"/>
          <w:bottom w:val="none"/>
        </w:tcBorders>
      </w:tcPr>
    </w:tblStylePr>
    <w:tblStylePr w:type="firstRow">
      <w:rPr>
        <w:rFonts w:ascii="Arial" w:hAnsi="Arial"/>
        <w:b/>
        <w:color w:val="01C458" w:themeColor="accent1" w:themeTint="80" w:themeShade="95"/>
        <w:sz w:val="22"/>
      </w:rPr>
      <w:tcPr>
        <w:shd w:val="clear" w:color="auto" w:fill="FFFFFF" w:themeFill="light1"/>
        <w:tcBorders>
          <w:left w:val="none"/>
          <w:top w:val="none"/>
          <w:right w:val="none"/>
          <w:bottom w:val="single" w:color="000000" w:sz="4" w:space="0" w:themeColor="accent1" w:themeTint="80"/>
        </w:tcBorders>
      </w:tcPr>
    </w:tblStylePr>
    <w:tblStylePr w:type="lastCol">
      <w:rPr>
        <w:rFonts w:ascii="Arial" w:hAnsi="Arial"/>
        <w:i/>
        <w:color w:val="01C458" w:themeColor="accent1" w:themeTint="80" w:themeShade="95"/>
        <w:sz w:val="22"/>
      </w:rPr>
      <w:tcPr>
        <w:shd w:color="auto" w:fill="FFFFFF"/>
        <w:tcBorders>
          <w:left w:val="single" w:color="000000" w:sz="4" w:space="0" w:themeColor="accent1" w:themeTint="80"/>
          <w:top w:val="none"/>
          <w:right w:val="none"/>
          <w:bottom w:val="none"/>
        </w:tcBorders>
      </w:tcPr>
    </w:tblStylePr>
    <w:tblStylePr w:type="lastRow">
      <w:rPr>
        <w:rFonts w:ascii="Arial" w:hAnsi="Arial"/>
        <w:b/>
        <w:color w:val="01C458" w:themeColor="accent1" w:themeTint="80" w:themeShade="95"/>
        <w:sz w:val="22"/>
      </w:rPr>
      <w:tcPr>
        <w:shd w:val="clear" w:color="auto" w:fill="FFFFFF" w:themeFill="light1"/>
        <w:tcBorders>
          <w:left w:val="none"/>
          <w:top w:val="single" w:color="000000" w:sz="4" w:space="0" w:themeColor="accent1" w:themeTint="80"/>
          <w:right w:val="none"/>
          <w:bottom w:val="none"/>
        </w:tcBorders>
      </w:tcPr>
    </w:tblStylePr>
  </w:style>
  <w:style w:type="table" w:styleId="95">
    <w:name w:val="Grid Table 7 Colorful - Accent 2"/>
    <w:basedOn w:val="510"/>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FC80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CFC800" w:themeColor="accent2" w:themeTint="97" w:themeShade="95"/>
        <w:sz w:val="22"/>
      </w:rPr>
    </w:tblStylePr>
    <w:tblStylePr w:type="firstCol">
      <w:rPr>
        <w:rFonts w:ascii="Arial" w:hAnsi="Arial"/>
        <w:i/>
        <w:color w:val="CFC800"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b/>
        <w:color w:val="CFC800"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CFC800"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b/>
        <w:color w:val="CFC800"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style>
  <w:style w:type="table" w:styleId="96">
    <w:name w:val="Grid Table 7 Colorful - Accent 3"/>
    <w:basedOn w:val="510"/>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94003B"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94003B" w:themeColor="accent3" w:themeTint="FE" w:themeShade="95"/>
        <w:sz w:val="22"/>
      </w:rPr>
    </w:tblStylePr>
    <w:tblStylePr w:type="firstCol">
      <w:rPr>
        <w:rFonts w:ascii="Arial" w:hAnsi="Arial"/>
        <w:i/>
        <w:color w:val="94003B" w:themeColor="accent3" w:themeTint="FE" w:themeShade="95"/>
        <w:sz w:val="22"/>
      </w:rPr>
      <w:pPr>
        <w:jc w:val="right"/>
      </w:pPr>
      <w:tcPr>
        <w:shd w:color="auto" w:fill="FFFFFF"/>
        <w:tcBorders>
          <w:left w:val="none"/>
          <w:top w:val="none"/>
          <w:right w:val="single" w:color="000000" w:sz="4" w:space="0" w:themeColor="accent3" w:themeTint="FE"/>
          <w:bottom w:val="none"/>
        </w:tcBorders>
      </w:tcPr>
    </w:tblStylePr>
    <w:tblStylePr w:type="firstRow">
      <w:rPr>
        <w:rFonts w:ascii="Arial" w:hAnsi="Arial"/>
        <w:b/>
        <w:color w:val="94003B" w:themeColor="accent3" w:themeTint="FE" w:themeShade="95"/>
        <w:sz w:val="22"/>
      </w:rPr>
      <w:tcPr>
        <w:shd w:val="clear" w:color="auto" w:fill="FFFFFF" w:themeFill="light1"/>
        <w:tcBorders>
          <w:left w:val="none"/>
          <w:top w:val="none"/>
          <w:right w:val="none"/>
          <w:bottom w:val="single" w:color="000000" w:sz="4" w:space="0" w:themeColor="accent3" w:themeTint="FE"/>
        </w:tcBorders>
      </w:tcPr>
    </w:tblStylePr>
    <w:tblStylePr w:type="lastCol">
      <w:rPr>
        <w:rFonts w:ascii="Arial" w:hAnsi="Arial"/>
        <w:i/>
        <w:color w:val="94003B" w:themeColor="accent3" w:themeTint="FE" w:themeShade="95"/>
        <w:sz w:val="22"/>
      </w:rPr>
      <w:tcPr>
        <w:shd w:color="auto" w:fill="FFFFFF"/>
        <w:tcBorders>
          <w:left w:val="single" w:color="000000" w:sz="4" w:space="0" w:themeColor="accent3" w:themeTint="FE"/>
          <w:top w:val="none"/>
          <w:right w:val="none"/>
          <w:bottom w:val="none"/>
        </w:tcBorders>
      </w:tcPr>
    </w:tblStylePr>
    <w:tblStylePr w:type="lastRow">
      <w:rPr>
        <w:rFonts w:ascii="Arial" w:hAnsi="Arial"/>
        <w:b/>
        <w:color w:val="94003B" w:themeColor="accent3" w:themeTint="FE" w:themeShade="95"/>
        <w:sz w:val="22"/>
      </w:rPr>
      <w:tcPr>
        <w:shd w:val="clear" w:color="auto" w:fill="FFFFFF" w:themeFill="light1"/>
        <w:tcBorders>
          <w:left w:val="none"/>
          <w:top w:val="single" w:color="000000" w:sz="4" w:space="0" w:themeColor="accent3" w:themeTint="FE"/>
          <w:right w:val="none"/>
          <w:bottom w:val="none"/>
        </w:tcBorders>
      </w:tcPr>
    </w:tblStylePr>
  </w:style>
  <w:style w:type="table" w:styleId="97">
    <w:name w:val="Grid Table 7 Colorful - Accent 4"/>
    <w:basedOn w:val="510"/>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000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CD0000" w:themeColor="accent4" w:themeTint="9A" w:themeShade="95"/>
        <w:sz w:val="22"/>
      </w:rPr>
    </w:tblStylePr>
    <w:tblStylePr w:type="firstCol">
      <w:rPr>
        <w:rFonts w:ascii="Arial" w:hAnsi="Arial"/>
        <w:i/>
        <w:color w:val="CD0000"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b/>
        <w:color w:val="CD0000"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CD0000"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b/>
        <w:color w:val="CD0000"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style>
  <w:style w:type="table" w:styleId="98">
    <w:name w:val="Grid Table 7 Colorful - Accent 5"/>
    <w:basedOn w:val="510"/>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auto" w:fill="FFFFFF"/>
        <w:tcBorders>
          <w:left w:val="none"/>
          <w:top w:val="none"/>
          <w:right w:val="single" w:color="000000" w:sz="4" w:space="0" w:themeColor="accent5" w:themeTint="90"/>
          <w:bottom w:val="none"/>
        </w:tcBorders>
      </w:tcPr>
    </w:tblStylePr>
    <w:tblStylePr w:type="firstRow">
      <w:rPr>
        <w:rFonts w:ascii="Arial" w:hAnsi="Arial"/>
        <w:b/>
        <w:color w:val="254374" w:themeColor="accent5" w:themeShade="95"/>
        <w:sz w:val="22"/>
      </w:rPr>
      <w:tcPr>
        <w:shd w:val="clear" w:color="auto" w:fill="FFFFFF" w:themeFill="light1"/>
        <w:tcBorders>
          <w:left w:val="none"/>
          <w:top w:val="none"/>
          <w:right w:val="none"/>
          <w:bottom w:val="single" w:color="000000" w:sz="4" w:space="0" w:themeColor="accent5" w:themeTint="90"/>
        </w:tcBorders>
      </w:tcPr>
    </w:tblStylePr>
    <w:tblStylePr w:type="lastCol">
      <w:rPr>
        <w:rFonts w:ascii="Arial" w:hAnsi="Arial"/>
        <w:i/>
        <w:color w:val="254374" w:themeColor="accent5" w:themeShade="95"/>
        <w:sz w:val="22"/>
      </w:rPr>
      <w:tcPr>
        <w:shd w:color="auto" w:fill="FFFFFF"/>
        <w:tcBorders>
          <w:left w:val="single" w:color="000000" w:sz="4" w:space="0" w:themeColor="accent5" w:themeTint="90"/>
          <w:top w:val="none"/>
          <w:right w:val="none"/>
          <w:bottom w:val="none"/>
        </w:tcBorders>
      </w:tcPr>
    </w:tblStylePr>
    <w:tblStylePr w:type="lastRow">
      <w:rPr>
        <w:rFonts w:ascii="Arial" w:hAnsi="Arial"/>
        <w:b/>
        <w:color w:val="254374" w:themeColor="accent5" w:themeShade="95"/>
        <w:sz w:val="22"/>
      </w:rPr>
      <w:tcPr>
        <w:shd w:val="clear" w:color="auto" w:fill="FFFFFF" w:themeFill="light1"/>
        <w:tcBorders>
          <w:left w:val="none"/>
          <w:top w:val="single" w:color="000000" w:sz="4" w:space="0" w:themeColor="accent5" w:themeTint="90"/>
          <w:right w:val="none"/>
          <w:bottom w:val="none"/>
        </w:tcBorders>
      </w:tcPr>
    </w:tblStylePr>
  </w:style>
  <w:style w:type="table" w:styleId="99">
    <w:name w:val="Grid Table 7 Colorful - Accent 6"/>
    <w:basedOn w:val="510"/>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01B250"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01B250" w:themeColor="accent6" w:themeShade="95"/>
        <w:sz w:val="22"/>
      </w:rPr>
    </w:tblStylePr>
    <w:tblStylePr w:type="firstCol">
      <w:rPr>
        <w:rFonts w:ascii="Arial" w:hAnsi="Arial"/>
        <w:i/>
        <w:color w:val="01B250" w:themeColor="accent6" w:themeShade="95"/>
        <w:sz w:val="22"/>
      </w:rPr>
      <w:pPr>
        <w:jc w:val="right"/>
      </w:pPr>
      <w:tcPr>
        <w:shd w:color="auto" w:fill="FFFFFF"/>
        <w:tcBorders>
          <w:left w:val="none"/>
          <w:top w:val="none"/>
          <w:right w:val="single" w:color="000000" w:sz="4" w:space="0" w:themeColor="accent6" w:themeTint="90"/>
          <w:bottom w:val="none"/>
        </w:tcBorders>
      </w:tcPr>
    </w:tblStylePr>
    <w:tblStylePr w:type="firstRow">
      <w:rPr>
        <w:rFonts w:ascii="Arial" w:hAnsi="Arial"/>
        <w:b/>
        <w:color w:val="01B250" w:themeColor="accent6" w:themeShade="95"/>
        <w:sz w:val="22"/>
      </w:rPr>
      <w:tcPr>
        <w:shd w:val="clear" w:color="auto" w:fill="FFFFFF" w:themeFill="light1"/>
        <w:tcBorders>
          <w:left w:val="none"/>
          <w:top w:val="none"/>
          <w:right w:val="none"/>
          <w:bottom w:val="single" w:color="000000" w:sz="4" w:space="0" w:themeColor="accent6" w:themeTint="90"/>
        </w:tcBorders>
      </w:tcPr>
    </w:tblStylePr>
    <w:tblStylePr w:type="lastCol">
      <w:rPr>
        <w:rFonts w:ascii="Arial" w:hAnsi="Arial"/>
        <w:i/>
        <w:color w:val="01B250" w:themeColor="accent6" w:themeShade="95"/>
        <w:sz w:val="22"/>
      </w:rPr>
      <w:tcPr>
        <w:shd w:color="auto" w:fill="FFFFFF"/>
        <w:tcBorders>
          <w:left w:val="single" w:color="000000" w:sz="4" w:space="0" w:themeColor="accent6" w:themeTint="90"/>
          <w:top w:val="none"/>
          <w:right w:val="none"/>
          <w:bottom w:val="none"/>
        </w:tcBorders>
      </w:tcPr>
    </w:tblStylePr>
    <w:tblStylePr w:type="lastRow">
      <w:rPr>
        <w:rFonts w:ascii="Arial" w:hAnsi="Arial"/>
        <w:b/>
        <w:color w:val="01B250" w:themeColor="accent6" w:themeShade="95"/>
        <w:sz w:val="22"/>
      </w:rPr>
      <w:tcPr>
        <w:shd w:val="clear" w:color="auto" w:fill="FFFFFF" w:themeFill="light1"/>
        <w:tcBorders>
          <w:left w:val="none"/>
          <w:top w:val="single" w:color="000000" w:sz="4" w:space="0" w:themeColor="accent6" w:themeTint="90"/>
          <w:right w:val="none"/>
          <w:bottom w:val="none"/>
        </w:tcBorders>
      </w:tcPr>
    </w:tblStylePr>
  </w:style>
  <w:style w:type="table" w:styleId="100">
    <w:name w:val="List Table 1 Light"/>
    <w:basedOn w:val="510"/>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1">
    <w:name w:val="List Table 1 Light - Accent 1"/>
    <w:basedOn w:val="510"/>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2">
    <w:name w:val="List Table 1 Light - Accent 2"/>
    <w:basedOn w:val="510"/>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3">
    <w:name w:val="List Table 1 Light - Accent 3"/>
    <w:basedOn w:val="510"/>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4">
    <w:name w:val="List Table 1 Light - Accent 4"/>
    <w:basedOn w:val="510"/>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5">
    <w:name w:val="List Table 1 Light - Accent 5"/>
    <w:basedOn w:val="510"/>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6">
    <w:name w:val="List Table 1 Light - Accent 6"/>
    <w:basedOn w:val="510"/>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7">
    <w:name w:val="List Table 2"/>
    <w:basedOn w:val="510"/>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08">
    <w:name w:val="List Table 2 - Accent 1"/>
    <w:basedOn w:val="510"/>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09">
    <w:name w:val="List Table 2 - Accent 2"/>
    <w:basedOn w:val="510"/>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0">
    <w:name w:val="List Table 2 - Accent 3"/>
    <w:basedOn w:val="510"/>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1">
    <w:name w:val="List Table 2 - Accent 4"/>
    <w:basedOn w:val="510"/>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2">
    <w:name w:val="List Table 2 - Accent 5"/>
    <w:basedOn w:val="510"/>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3">
    <w:name w:val="List Table 2 - Accent 6"/>
    <w:basedOn w:val="510"/>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4">
    <w:name w:val="List Table 3"/>
    <w:basedOn w:val="51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15">
    <w:name w:val="List Table 3 - Accent 1"/>
    <w:basedOn w:val="510"/>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16">
    <w:name w:val="List Table 3 - Accent 2"/>
    <w:basedOn w:val="510"/>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117">
    <w:name w:val="List Table 3 - Accent 3"/>
    <w:basedOn w:val="510"/>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118">
    <w:name w:val="List Table 3 - Accent 4"/>
    <w:basedOn w:val="510"/>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119">
    <w:name w:val="List Table 3 - Accent 5"/>
    <w:basedOn w:val="510"/>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120">
    <w:name w:val="List Table 3 - Accent 6"/>
    <w:basedOn w:val="510"/>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121">
    <w:name w:val="List Table 4"/>
    <w:basedOn w:val="510"/>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22">
    <w:name w:val="List Table 4 - Accent 1"/>
    <w:basedOn w:val="510"/>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23">
    <w:name w:val="List Table 4 - Accent 2"/>
    <w:basedOn w:val="510"/>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124">
    <w:name w:val="List Table 4 - Accent 3"/>
    <w:basedOn w:val="510"/>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125">
    <w:name w:val="List Table 4 - Accent 4"/>
    <w:basedOn w:val="510"/>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126">
    <w:name w:val="List Table 4 - Accent 5"/>
    <w:basedOn w:val="510"/>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127">
    <w:name w:val="List Table 4 - Accent 6"/>
    <w:basedOn w:val="510"/>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128">
    <w:name w:val="List Table 5 Dark"/>
    <w:basedOn w:val="510"/>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9">
    <w:name w:val="List Table 5 Dark - Accent 1"/>
    <w:basedOn w:val="510"/>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0">
    <w:name w:val="List Table 5 Dark - Accent 2"/>
    <w:basedOn w:val="510"/>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3"/>
    <w:basedOn w:val="510"/>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4"/>
    <w:basedOn w:val="510"/>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5"/>
    <w:basedOn w:val="510"/>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6"/>
    <w:basedOn w:val="510"/>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6 Colorful"/>
    <w:basedOn w:val="510"/>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6">
    <w:name w:val="List Table 6 Colorful - Accent 1"/>
    <w:basedOn w:val="510"/>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00662D" w:themeColor="accent1" w:themeShade="95"/>
      </w:rPr>
    </w:tblStylePr>
    <w:tblStylePr w:type="firstRow">
      <w:rPr>
        <w:b/>
        <w:color w:val="00662D" w:themeColor="accent1" w:themeShade="95"/>
      </w:rPr>
      <w:tcPr>
        <w:tcBorders>
          <w:bottom w:val="single" w:color="000000" w:sz="4" w:space="0" w:themeColor="accent1"/>
        </w:tcBorders>
      </w:tcPr>
    </w:tblStylePr>
    <w:tblStylePr w:type="lastCol">
      <w:rPr>
        <w:b/>
        <w:color w:val="00662D" w:themeColor="accent1" w:themeShade="95"/>
      </w:rPr>
    </w:tblStylePr>
    <w:tblStylePr w:type="lastRow">
      <w:rPr>
        <w:b/>
        <w:color w:val="00662D" w:themeColor="accent1" w:themeShade="95"/>
      </w:rPr>
      <w:tcPr>
        <w:tcBorders>
          <w:top w:val="single" w:color="000000" w:sz="4" w:space="0" w:themeColor="accent1"/>
        </w:tcBorders>
      </w:tcPr>
    </w:tblStylePr>
  </w:style>
  <w:style w:type="table" w:styleId="137">
    <w:name w:val="List Table 6 Colorful - Accent 2"/>
    <w:basedOn w:val="510"/>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CFC800" w:themeColor="accent2" w:themeTint="97" w:themeShade="95"/>
      </w:rPr>
    </w:tblStylePr>
    <w:tblStylePr w:type="firstRow">
      <w:rPr>
        <w:b/>
        <w:color w:val="CFC800" w:themeColor="accent2" w:themeTint="97" w:themeShade="95"/>
      </w:rPr>
      <w:tcPr>
        <w:tcBorders>
          <w:bottom w:val="single" w:color="000000" w:sz="4" w:space="0" w:themeColor="accent2" w:themeTint="97"/>
        </w:tcBorders>
      </w:tcPr>
    </w:tblStylePr>
    <w:tblStylePr w:type="lastCol">
      <w:rPr>
        <w:b/>
        <w:color w:val="CFC800" w:themeColor="accent2" w:themeTint="97" w:themeShade="95"/>
      </w:rPr>
    </w:tblStylePr>
    <w:tblStylePr w:type="lastRow">
      <w:rPr>
        <w:b/>
        <w:color w:val="CFC800" w:themeColor="accent2" w:themeTint="97" w:themeShade="95"/>
      </w:rPr>
      <w:tcPr>
        <w:tcBorders>
          <w:top w:val="single" w:color="000000" w:sz="4" w:space="0" w:themeColor="accent2" w:themeTint="97"/>
        </w:tcBorders>
      </w:tcPr>
    </w:tblStylePr>
  </w:style>
  <w:style w:type="table" w:styleId="138">
    <w:name w:val="List Table 6 Colorful - Accent 3"/>
    <w:basedOn w:val="510"/>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CF0053" w:themeColor="accent3" w:themeTint="98" w:themeShade="95"/>
      </w:rPr>
    </w:tblStylePr>
    <w:tblStylePr w:type="firstRow">
      <w:rPr>
        <w:b/>
        <w:color w:val="CF0053" w:themeColor="accent3" w:themeTint="98" w:themeShade="95"/>
      </w:rPr>
      <w:tcPr>
        <w:tcBorders>
          <w:bottom w:val="single" w:color="000000" w:sz="4" w:space="0" w:themeColor="accent3" w:themeTint="98"/>
        </w:tcBorders>
      </w:tcPr>
    </w:tblStylePr>
    <w:tblStylePr w:type="lastCol">
      <w:rPr>
        <w:b/>
        <w:color w:val="CF0053" w:themeColor="accent3" w:themeTint="98" w:themeShade="95"/>
      </w:rPr>
    </w:tblStylePr>
    <w:tblStylePr w:type="lastRow">
      <w:rPr>
        <w:b/>
        <w:color w:val="CF0053" w:themeColor="accent3" w:themeTint="98" w:themeShade="95"/>
      </w:rPr>
      <w:tcPr>
        <w:tcBorders>
          <w:top w:val="single" w:color="000000" w:sz="4" w:space="0" w:themeColor="accent3" w:themeTint="98"/>
        </w:tcBorders>
      </w:tcPr>
    </w:tblStylePr>
  </w:style>
  <w:style w:type="table" w:styleId="139">
    <w:name w:val="List Table 6 Colorful - Accent 4"/>
    <w:basedOn w:val="510"/>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CD0000" w:themeColor="accent4" w:themeTint="9A" w:themeShade="95"/>
      </w:rPr>
    </w:tblStylePr>
    <w:tblStylePr w:type="firstRow">
      <w:rPr>
        <w:b/>
        <w:color w:val="CD0000" w:themeColor="accent4" w:themeTint="9A" w:themeShade="95"/>
      </w:rPr>
      <w:tcPr>
        <w:tcBorders>
          <w:bottom w:val="single" w:color="000000" w:sz="4" w:space="0" w:themeColor="accent4" w:themeTint="9A"/>
        </w:tcBorders>
      </w:tcPr>
    </w:tblStylePr>
    <w:tblStylePr w:type="lastCol">
      <w:rPr>
        <w:b/>
        <w:color w:val="CD0000" w:themeColor="accent4" w:themeTint="9A" w:themeShade="95"/>
      </w:rPr>
    </w:tblStylePr>
    <w:tblStylePr w:type="lastRow">
      <w:rPr>
        <w:b/>
        <w:color w:val="CD0000" w:themeColor="accent4" w:themeTint="9A" w:themeShade="95"/>
      </w:rPr>
      <w:tcPr>
        <w:tcBorders>
          <w:top w:val="single" w:color="000000" w:sz="4" w:space="0" w:themeColor="accent4" w:themeTint="9A"/>
        </w:tcBorders>
      </w:tcPr>
    </w:tblStylePr>
  </w:style>
  <w:style w:type="table" w:styleId="140">
    <w:name w:val="List Table 6 Colorful - Accent 5"/>
    <w:basedOn w:val="510"/>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141">
    <w:name w:val="List Table 6 Colorful - Accent 6"/>
    <w:basedOn w:val="510"/>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02DF60" w:themeColor="accent6" w:themeTint="98" w:themeShade="95"/>
      </w:rPr>
    </w:tblStylePr>
    <w:tblStylePr w:type="firstRow">
      <w:rPr>
        <w:b/>
        <w:color w:val="02DF60" w:themeColor="accent6" w:themeTint="98" w:themeShade="95"/>
      </w:rPr>
      <w:tcPr>
        <w:tcBorders>
          <w:bottom w:val="single" w:color="000000" w:sz="4" w:space="0" w:themeColor="accent6" w:themeTint="98"/>
        </w:tcBorders>
      </w:tcPr>
    </w:tblStylePr>
    <w:tblStylePr w:type="lastCol">
      <w:rPr>
        <w:b/>
        <w:color w:val="02DF60" w:themeColor="accent6" w:themeTint="98" w:themeShade="95"/>
      </w:rPr>
    </w:tblStylePr>
    <w:tblStylePr w:type="lastRow">
      <w:rPr>
        <w:b/>
        <w:color w:val="02DF60" w:themeColor="accent6" w:themeTint="98" w:themeShade="95"/>
      </w:rPr>
      <w:tcPr>
        <w:tcBorders>
          <w:top w:val="single" w:color="000000" w:sz="4" w:space="0" w:themeColor="accent6" w:themeTint="98"/>
        </w:tcBorders>
      </w:tcPr>
    </w:tblStylePr>
  </w:style>
  <w:style w:type="table" w:styleId="142">
    <w:name w:val="List Table 7 Colorful"/>
    <w:basedOn w:val="510"/>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3">
    <w:name w:val="List Table 7 Colorful - Accent 1"/>
    <w:basedOn w:val="510"/>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00662D"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00662D" w:themeColor="accent1" w:themeShade="95"/>
        <w:sz w:val="22"/>
      </w:rPr>
    </w:tblStylePr>
    <w:tblStylePr w:type="firstCol">
      <w:rPr>
        <w:rFonts w:ascii="Arial" w:hAnsi="Arial"/>
        <w:i/>
        <w:color w:val="00662D" w:themeColor="accent1" w:themeShade="95"/>
        <w:sz w:val="22"/>
      </w:rPr>
      <w:pPr>
        <w:jc w:val="right"/>
      </w:pPr>
      <w:tcPr>
        <w:shd w:color="auto" w:fill="FFFFFF"/>
        <w:tcBorders>
          <w:left w:val="none"/>
          <w:top w:val="none"/>
          <w:right w:val="single" w:color="000000" w:sz="4" w:space="0" w:themeColor="accent1"/>
          <w:bottom w:val="none"/>
        </w:tcBorders>
      </w:tcPr>
    </w:tblStylePr>
    <w:tblStylePr w:type="firstRow">
      <w:rPr>
        <w:rFonts w:ascii="Arial" w:hAnsi="Arial"/>
        <w:i/>
        <w:color w:val="00662D" w:themeColor="accent1" w:themeShade="95"/>
        <w:sz w:val="22"/>
      </w:rPr>
      <w:tcPr>
        <w:shd w:val="clear" w:color="auto" w:fill="FFFFFF" w:themeFill="light1"/>
        <w:tcBorders>
          <w:left w:val="none"/>
          <w:top w:val="none"/>
          <w:right w:val="none"/>
          <w:bottom w:val="single" w:color="000000" w:sz="4" w:space="0" w:themeColor="accent1"/>
        </w:tcBorders>
      </w:tcPr>
    </w:tblStylePr>
    <w:tblStylePr w:type="lastCol">
      <w:rPr>
        <w:rFonts w:ascii="Arial" w:hAnsi="Arial"/>
        <w:i/>
        <w:color w:val="00662D" w:themeColor="accent1" w:themeShade="95"/>
        <w:sz w:val="22"/>
      </w:rPr>
      <w:tcPr>
        <w:shd w:color="auto" w:fill="FFFFFF"/>
        <w:tcBorders>
          <w:left w:val="single" w:color="000000" w:sz="4" w:space="0" w:themeColor="accent1"/>
          <w:top w:val="none"/>
          <w:right w:val="none"/>
          <w:bottom w:val="none"/>
        </w:tcBorders>
      </w:tcPr>
    </w:tblStylePr>
    <w:tblStylePr w:type="lastRow">
      <w:rPr>
        <w:rFonts w:ascii="Arial" w:hAnsi="Arial"/>
        <w:i/>
        <w:color w:val="00662D" w:themeColor="accent1" w:themeShade="95"/>
        <w:sz w:val="22"/>
      </w:rPr>
      <w:tcPr>
        <w:shd w:val="clear" w:color="auto" w:fill="FFFFFF" w:themeFill="light1"/>
        <w:tcBorders>
          <w:left w:val="none"/>
          <w:top w:val="single" w:color="000000" w:sz="4" w:space="0" w:themeColor="accent1"/>
          <w:right w:val="none"/>
          <w:bottom w:val="none"/>
        </w:tcBorders>
      </w:tcPr>
    </w:tblStylePr>
    <w:tblStylePr w:type="wholeTable">
      <w:rPr>
        <w:rFonts w:ascii="Arial" w:hAnsi="Arial"/>
        <w:color w:val="00662D" w:themeColor="accent1" w:themeShade="95"/>
        <w:sz w:val="22"/>
      </w:rPr>
    </w:tblStylePr>
  </w:style>
  <w:style w:type="table" w:styleId="144">
    <w:name w:val="List Table 7 Colorful - Accent 2"/>
    <w:basedOn w:val="510"/>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FC80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CFC800" w:themeColor="accent2" w:themeTint="97" w:themeShade="95"/>
        <w:sz w:val="22"/>
      </w:rPr>
    </w:tblStylePr>
    <w:tblStylePr w:type="firstCol">
      <w:rPr>
        <w:rFonts w:ascii="Arial" w:hAnsi="Arial"/>
        <w:i/>
        <w:color w:val="CFC800"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i/>
        <w:color w:val="CFC800"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CFC800"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i/>
        <w:color w:val="CFC800"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tblStylePr w:type="wholeTable">
      <w:rPr>
        <w:rFonts w:ascii="Arial" w:hAnsi="Arial"/>
        <w:color w:val="CFC800" w:themeColor="accent2" w:themeTint="97" w:themeShade="95"/>
        <w:sz w:val="22"/>
      </w:rPr>
    </w:tblStylePr>
  </w:style>
  <w:style w:type="table" w:styleId="145">
    <w:name w:val="List Table 7 Colorful - Accent 3"/>
    <w:basedOn w:val="510"/>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CF0053"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CF0053" w:themeColor="accent3" w:themeTint="98" w:themeShade="95"/>
        <w:sz w:val="22"/>
      </w:rPr>
    </w:tblStylePr>
    <w:tblStylePr w:type="firstCol">
      <w:rPr>
        <w:rFonts w:ascii="Arial" w:hAnsi="Arial"/>
        <w:i/>
        <w:color w:val="CF0053" w:themeColor="accent3" w:themeTint="98" w:themeShade="95"/>
        <w:sz w:val="22"/>
      </w:rPr>
      <w:pPr>
        <w:jc w:val="right"/>
      </w:pPr>
      <w:tcPr>
        <w:shd w:color="auto" w:fill="FFFFFF"/>
        <w:tcBorders>
          <w:left w:val="none"/>
          <w:top w:val="none"/>
          <w:right w:val="single" w:color="000000" w:sz="4" w:space="0" w:themeColor="accent3" w:themeTint="98"/>
          <w:bottom w:val="none"/>
        </w:tcBorders>
      </w:tcPr>
    </w:tblStylePr>
    <w:tblStylePr w:type="firstRow">
      <w:rPr>
        <w:rFonts w:ascii="Arial" w:hAnsi="Arial"/>
        <w:i/>
        <w:color w:val="CF0053" w:themeColor="accent3" w:themeTint="98" w:themeShade="95"/>
        <w:sz w:val="22"/>
      </w:rPr>
      <w:tcPr>
        <w:shd w:val="clear" w:color="auto" w:fill="FFFFFF" w:themeFill="light1"/>
        <w:tcBorders>
          <w:left w:val="none"/>
          <w:top w:val="none"/>
          <w:right w:val="none"/>
          <w:bottom w:val="single" w:color="000000" w:sz="4" w:space="0" w:themeColor="accent3" w:themeTint="98"/>
        </w:tcBorders>
      </w:tcPr>
    </w:tblStylePr>
    <w:tblStylePr w:type="lastCol">
      <w:rPr>
        <w:rFonts w:ascii="Arial" w:hAnsi="Arial"/>
        <w:i/>
        <w:color w:val="CF0053" w:themeColor="accent3" w:themeTint="98" w:themeShade="95"/>
        <w:sz w:val="22"/>
      </w:rPr>
      <w:tcPr>
        <w:shd w:color="auto" w:fill="FFFFFF"/>
        <w:tcBorders>
          <w:left w:val="single" w:color="000000" w:sz="4" w:space="0" w:themeColor="accent3" w:themeTint="98"/>
          <w:top w:val="none"/>
          <w:right w:val="none"/>
          <w:bottom w:val="none"/>
        </w:tcBorders>
      </w:tcPr>
    </w:tblStylePr>
    <w:tblStylePr w:type="lastRow">
      <w:rPr>
        <w:rFonts w:ascii="Arial" w:hAnsi="Arial"/>
        <w:i/>
        <w:color w:val="CF0053" w:themeColor="accent3" w:themeTint="98" w:themeShade="95"/>
        <w:sz w:val="22"/>
      </w:rPr>
      <w:tcPr>
        <w:shd w:val="clear" w:color="auto" w:fill="FFFFFF" w:themeFill="light1"/>
        <w:tcBorders>
          <w:left w:val="none"/>
          <w:top w:val="single" w:color="000000" w:sz="4" w:space="0" w:themeColor="accent3" w:themeTint="98"/>
          <w:right w:val="none"/>
          <w:bottom w:val="none"/>
        </w:tcBorders>
      </w:tcPr>
    </w:tblStylePr>
    <w:tblStylePr w:type="wholeTable">
      <w:rPr>
        <w:rFonts w:ascii="Arial" w:hAnsi="Arial"/>
        <w:color w:val="CF0053" w:themeColor="accent3" w:themeTint="98" w:themeShade="95"/>
        <w:sz w:val="22"/>
      </w:rPr>
    </w:tblStylePr>
  </w:style>
  <w:style w:type="table" w:styleId="146">
    <w:name w:val="List Table 7 Colorful - Accent 4"/>
    <w:basedOn w:val="510"/>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000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CD0000" w:themeColor="accent4" w:themeTint="9A" w:themeShade="95"/>
        <w:sz w:val="22"/>
      </w:rPr>
    </w:tblStylePr>
    <w:tblStylePr w:type="firstCol">
      <w:rPr>
        <w:rFonts w:ascii="Arial" w:hAnsi="Arial"/>
        <w:i/>
        <w:color w:val="CD0000"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i/>
        <w:color w:val="CD0000"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CD0000"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i/>
        <w:color w:val="CD0000"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tblStylePr w:type="wholeTable">
      <w:rPr>
        <w:rFonts w:ascii="Arial" w:hAnsi="Arial"/>
        <w:color w:val="CD0000" w:themeColor="accent4" w:themeTint="9A" w:themeShade="95"/>
        <w:sz w:val="22"/>
      </w:rPr>
    </w:tblStylePr>
  </w:style>
  <w:style w:type="table" w:styleId="147">
    <w:name w:val="List Table 7 Colorful - Accent 5"/>
    <w:basedOn w:val="510"/>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auto" w:fill="FFFFFF"/>
        <w:tcBorders>
          <w:left w:val="none"/>
          <w:top w:val="none"/>
          <w:right w:val="single" w:color="000000" w:sz="4" w:space="0" w:themeColor="accent5" w:themeTint="9A"/>
          <w:bottom w:val="none"/>
        </w:tcBorders>
      </w:tcPr>
    </w:tblStylePr>
    <w:tblStylePr w:type="firstRow">
      <w:rPr>
        <w:rFonts w:ascii="Arial" w:hAnsi="Arial"/>
        <w:i/>
        <w:color w:val="335E9E" w:themeColor="accent5" w:themeTint="9A" w:themeShade="95"/>
        <w:sz w:val="22"/>
      </w:rPr>
      <w:tcPr>
        <w:shd w:val="clear" w:color="auto" w:fill="FFFFFF" w:themeFill="light1"/>
        <w:tcBorders>
          <w:left w:val="none"/>
          <w:top w:val="none"/>
          <w:right w:val="none"/>
          <w:bottom w:val="single" w:color="000000" w:sz="4" w:space="0" w:themeColor="accent5" w:themeTint="9A"/>
        </w:tcBorders>
      </w:tcPr>
    </w:tblStylePr>
    <w:tblStylePr w:type="lastCol">
      <w:rPr>
        <w:rFonts w:ascii="Arial" w:hAnsi="Arial"/>
        <w:i/>
        <w:color w:val="335E9E" w:themeColor="accent5" w:themeTint="9A" w:themeShade="95"/>
        <w:sz w:val="22"/>
      </w:rPr>
      <w:tcPr>
        <w:shd w:color="auto" w:fill="FFFFFF"/>
        <w:tcBorders>
          <w:left w:val="single" w:color="000000" w:sz="4" w:space="0" w:themeColor="accent5" w:themeTint="9A"/>
          <w:top w:val="none"/>
          <w:right w:val="none"/>
          <w:bottom w:val="none"/>
        </w:tcBorders>
      </w:tcPr>
    </w:tblStylePr>
    <w:tblStylePr w:type="lastRow">
      <w:rPr>
        <w:rFonts w:ascii="Arial" w:hAnsi="Arial"/>
        <w:i/>
        <w:color w:val="335E9E" w:themeColor="accent5" w:themeTint="9A" w:themeShade="95"/>
        <w:sz w:val="22"/>
      </w:rPr>
      <w:tcPr>
        <w:shd w:val="clear" w:color="auto" w:fill="FFFFFF" w:themeFill="light1"/>
        <w:tcBorders>
          <w:left w:val="none"/>
          <w:top w:val="single" w:color="000000" w:sz="4" w:space="0" w:themeColor="accent5" w:themeTint="9A"/>
          <w:right w:val="none"/>
          <w:bottom w:val="none"/>
        </w:tcBorders>
      </w:tcPr>
    </w:tblStylePr>
    <w:tblStylePr w:type="wholeTable">
      <w:rPr>
        <w:rFonts w:ascii="Arial" w:hAnsi="Arial"/>
        <w:color w:val="335E9E" w:themeColor="accent5" w:themeTint="9A" w:themeShade="95"/>
        <w:sz w:val="22"/>
      </w:rPr>
    </w:tblStylePr>
  </w:style>
  <w:style w:type="table" w:styleId="148">
    <w:name w:val="List Table 7 Colorful - Accent 6"/>
    <w:basedOn w:val="510"/>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02DF6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02DF60" w:themeColor="accent6" w:themeTint="98" w:themeShade="95"/>
        <w:sz w:val="22"/>
      </w:rPr>
    </w:tblStylePr>
    <w:tblStylePr w:type="firstCol">
      <w:rPr>
        <w:rFonts w:ascii="Arial" w:hAnsi="Arial"/>
        <w:i/>
        <w:color w:val="02DF60" w:themeColor="accent6" w:themeTint="98" w:themeShade="95"/>
        <w:sz w:val="22"/>
      </w:rPr>
      <w:pPr>
        <w:jc w:val="right"/>
      </w:pPr>
      <w:tcPr>
        <w:shd w:color="auto" w:fill="FFFFFF"/>
        <w:tcBorders>
          <w:left w:val="none"/>
          <w:top w:val="none"/>
          <w:right w:val="single" w:color="000000" w:sz="4" w:space="0" w:themeColor="accent6" w:themeTint="98"/>
          <w:bottom w:val="none"/>
        </w:tcBorders>
      </w:tcPr>
    </w:tblStylePr>
    <w:tblStylePr w:type="firstRow">
      <w:rPr>
        <w:rFonts w:ascii="Arial" w:hAnsi="Arial"/>
        <w:i/>
        <w:color w:val="02DF60" w:themeColor="accent6" w:themeTint="98" w:themeShade="95"/>
        <w:sz w:val="22"/>
      </w:rPr>
      <w:tcPr>
        <w:shd w:val="clear" w:color="auto" w:fill="FFFFFF" w:themeFill="light1"/>
        <w:tcBorders>
          <w:left w:val="none"/>
          <w:top w:val="none"/>
          <w:right w:val="none"/>
          <w:bottom w:val="single" w:color="000000" w:sz="4" w:space="0" w:themeColor="accent6" w:themeTint="98"/>
        </w:tcBorders>
      </w:tcPr>
    </w:tblStylePr>
    <w:tblStylePr w:type="lastCol">
      <w:rPr>
        <w:rFonts w:ascii="Arial" w:hAnsi="Arial"/>
        <w:i/>
        <w:color w:val="02DF60" w:themeColor="accent6" w:themeTint="98" w:themeShade="95"/>
        <w:sz w:val="22"/>
      </w:rPr>
      <w:tcPr>
        <w:shd w:color="auto" w:fill="FFFFFF"/>
        <w:tcBorders>
          <w:left w:val="single" w:color="000000" w:sz="4" w:space="0" w:themeColor="accent6" w:themeTint="98"/>
          <w:top w:val="none"/>
          <w:right w:val="none"/>
          <w:bottom w:val="none"/>
        </w:tcBorders>
      </w:tcPr>
    </w:tblStylePr>
    <w:tblStylePr w:type="lastRow">
      <w:rPr>
        <w:rFonts w:ascii="Arial" w:hAnsi="Arial"/>
        <w:i/>
        <w:color w:val="02DF60" w:themeColor="accent6" w:themeTint="98" w:themeShade="95"/>
        <w:sz w:val="22"/>
      </w:rPr>
      <w:tcPr>
        <w:shd w:val="clear" w:color="auto" w:fill="FFFFFF" w:themeFill="light1"/>
        <w:tcBorders>
          <w:left w:val="none"/>
          <w:top w:val="single" w:color="000000" w:sz="4" w:space="0" w:themeColor="accent6" w:themeTint="98"/>
          <w:right w:val="none"/>
          <w:bottom w:val="none"/>
        </w:tcBorders>
      </w:tcPr>
    </w:tblStylePr>
    <w:tblStylePr w:type="wholeTable">
      <w:rPr>
        <w:rFonts w:ascii="Arial" w:hAnsi="Arial"/>
        <w:color w:val="02DF60" w:themeColor="accent6" w:themeTint="98" w:themeShade="95"/>
        <w:sz w:val="22"/>
      </w:rPr>
    </w:tblStylePr>
  </w:style>
  <w:style w:type="table" w:styleId="149">
    <w:name w:val="Lined - Accent"/>
    <w:basedOn w:val="51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0">
    <w:name w:val="Lined - Accent 1"/>
    <w:basedOn w:val="51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1">
    <w:name w:val="Lined - Accent 2"/>
    <w:basedOn w:val="51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2">
    <w:name w:val="Lined - Accent 3"/>
    <w:basedOn w:val="51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53">
    <w:name w:val="Lined - Accent 4"/>
    <w:basedOn w:val="51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54">
    <w:name w:val="Lined - Accent 5"/>
    <w:basedOn w:val="51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55">
    <w:name w:val="Lined - Accent 6"/>
    <w:basedOn w:val="510"/>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56">
    <w:name w:val="Bordered &amp; Lined - Accent"/>
    <w:basedOn w:val="510"/>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7">
    <w:name w:val="Bordered &amp; Lined - Accent 1"/>
    <w:basedOn w:val="510"/>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8">
    <w:name w:val="Bordered &amp; Lined - Accent 2"/>
    <w:basedOn w:val="510"/>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9">
    <w:name w:val="Bordered &amp; Lined - Accent 3"/>
    <w:basedOn w:val="510"/>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60">
    <w:name w:val="Bordered &amp; Lined - Accent 4"/>
    <w:basedOn w:val="510"/>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61">
    <w:name w:val="Bordered &amp; Lined - Accent 5"/>
    <w:basedOn w:val="510"/>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62">
    <w:name w:val="Bordered &amp; Lined - Accent 6"/>
    <w:basedOn w:val="510"/>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63">
    <w:name w:val="Bordered"/>
    <w:basedOn w:val="510"/>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4">
    <w:name w:val="Bordered - Accent 1"/>
    <w:basedOn w:val="510"/>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5">
    <w:name w:val="Bordered - Accent 2"/>
    <w:basedOn w:val="510"/>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6">
    <w:name w:val="Bordered - Accent 3"/>
    <w:basedOn w:val="510"/>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7">
    <w:name w:val="Bordered - Accent 4"/>
    <w:basedOn w:val="510"/>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68">
    <w:name w:val="Bordered - Accent 5"/>
    <w:basedOn w:val="510"/>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69">
    <w:name w:val="Bordered - Accent 6"/>
    <w:basedOn w:val="510"/>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72">
    <w:name w:val="Footnote Text Char"/>
    <w:link w:val="523"/>
    <w:uiPriority w:val="99"/>
    <w:rPr>
      <w:sz w:val="18"/>
    </w:rPr>
  </w:style>
  <w:style w:type="paragraph" w:styleId="174">
    <w:name w:val="toc 1"/>
    <w:basedOn w:val="501"/>
    <w:next w:val="501"/>
    <w:uiPriority w:val="39"/>
    <w:unhideWhenUsed/>
    <w:pPr>
      <w:ind w:left="0" w:right="0" w:firstLine="0"/>
      <w:spacing w:after="57"/>
    </w:pPr>
  </w:style>
  <w:style w:type="paragraph" w:styleId="175">
    <w:name w:val="toc 2"/>
    <w:basedOn w:val="501"/>
    <w:next w:val="501"/>
    <w:uiPriority w:val="39"/>
    <w:unhideWhenUsed/>
    <w:pPr>
      <w:ind w:left="283" w:right="0" w:firstLine="0"/>
      <w:spacing w:after="57"/>
    </w:pPr>
  </w:style>
  <w:style w:type="paragraph" w:styleId="176">
    <w:name w:val="toc 3"/>
    <w:basedOn w:val="501"/>
    <w:next w:val="501"/>
    <w:uiPriority w:val="39"/>
    <w:unhideWhenUsed/>
    <w:pPr>
      <w:ind w:left="567" w:right="0" w:firstLine="0"/>
      <w:spacing w:after="57"/>
    </w:pPr>
  </w:style>
  <w:style w:type="paragraph" w:styleId="177">
    <w:name w:val="toc 4"/>
    <w:basedOn w:val="501"/>
    <w:next w:val="501"/>
    <w:uiPriority w:val="39"/>
    <w:unhideWhenUsed/>
    <w:pPr>
      <w:ind w:left="850" w:right="0" w:firstLine="0"/>
      <w:spacing w:after="57"/>
    </w:pPr>
  </w:style>
  <w:style w:type="paragraph" w:styleId="178">
    <w:name w:val="toc 5"/>
    <w:basedOn w:val="501"/>
    <w:next w:val="501"/>
    <w:uiPriority w:val="39"/>
    <w:unhideWhenUsed/>
    <w:pPr>
      <w:ind w:left="1134" w:right="0" w:firstLine="0"/>
      <w:spacing w:after="57"/>
    </w:pPr>
  </w:style>
  <w:style w:type="paragraph" w:styleId="179">
    <w:name w:val="toc 6"/>
    <w:basedOn w:val="501"/>
    <w:next w:val="501"/>
    <w:uiPriority w:val="39"/>
    <w:unhideWhenUsed/>
    <w:pPr>
      <w:ind w:left="1417" w:right="0" w:firstLine="0"/>
      <w:spacing w:after="57"/>
    </w:pPr>
  </w:style>
  <w:style w:type="paragraph" w:styleId="180">
    <w:name w:val="toc 7"/>
    <w:basedOn w:val="501"/>
    <w:next w:val="501"/>
    <w:uiPriority w:val="39"/>
    <w:unhideWhenUsed/>
    <w:pPr>
      <w:ind w:left="1701" w:right="0" w:firstLine="0"/>
      <w:spacing w:after="57"/>
    </w:pPr>
  </w:style>
  <w:style w:type="paragraph" w:styleId="181">
    <w:name w:val="toc 8"/>
    <w:basedOn w:val="501"/>
    <w:next w:val="501"/>
    <w:uiPriority w:val="39"/>
    <w:unhideWhenUsed/>
    <w:pPr>
      <w:ind w:left="1984" w:right="0" w:firstLine="0"/>
      <w:spacing w:after="57"/>
    </w:pPr>
  </w:style>
  <w:style w:type="paragraph" w:styleId="182">
    <w:name w:val="toc 9"/>
    <w:basedOn w:val="501"/>
    <w:next w:val="501"/>
    <w:uiPriority w:val="39"/>
    <w:unhideWhenUsed/>
    <w:pPr>
      <w:ind w:left="2268" w:right="0" w:firstLine="0"/>
      <w:spacing w:after="57"/>
    </w:pPr>
  </w:style>
  <w:style w:type="paragraph" w:styleId="183">
    <w:name w:val="TOC Heading"/>
    <w:uiPriority w:val="39"/>
    <w:unhideWhenUsed/>
  </w:style>
  <w:style w:type="paragraph" w:styleId="501" w:default="1">
    <w:name w:val="Normal"/>
    <w:qFormat/>
    <w:rPr>
      <w:sz w:val="22"/>
      <w:szCs w:val="22"/>
      <w:lang w:val="ru-RU" w:eastAsia="en-US"/>
    </w:rPr>
    <w:pPr>
      <w:spacing w:lineRule="auto" w:line="259" w:after="160"/>
    </w:pPr>
  </w:style>
  <w:style w:type="paragraph" w:styleId="502">
    <w:name w:val="Heading 1"/>
    <w:basedOn w:val="501"/>
    <w:next w:val="501"/>
    <w:link w:val="562"/>
    <w:qFormat/>
    <w:uiPriority w:val="9"/>
    <w:rPr>
      <w:rFonts w:ascii="Arial" w:hAnsi="Arial" w:cs="Arial"/>
      <w:b/>
      <w:bCs/>
      <w:sz w:val="32"/>
      <w:szCs w:val="32"/>
    </w:rPr>
    <w:pPr>
      <w:keepNext/>
      <w:spacing w:after="60" w:before="240"/>
      <w:outlineLvl w:val="0"/>
    </w:pPr>
  </w:style>
  <w:style w:type="paragraph" w:styleId="503">
    <w:name w:val="Heading 2"/>
    <w:basedOn w:val="501"/>
    <w:next w:val="501"/>
    <w:link w:val="564"/>
    <w:qFormat/>
    <w:uiPriority w:val="9"/>
    <w:rPr>
      <w:rFonts w:ascii="Arial" w:hAnsi="Arial" w:cs="Arial"/>
      <w:b/>
      <w:bCs/>
      <w:i/>
      <w:iCs/>
      <w:sz w:val="28"/>
      <w:szCs w:val="28"/>
    </w:rPr>
    <w:pPr>
      <w:keepNext/>
      <w:spacing w:after="60" w:before="240"/>
      <w:outlineLvl w:val="1"/>
    </w:pPr>
  </w:style>
  <w:style w:type="paragraph" w:styleId="504">
    <w:name w:val="Heading 3"/>
    <w:basedOn w:val="501"/>
    <w:next w:val="501"/>
    <w:link w:val="512"/>
    <w:qFormat/>
    <w:rPr>
      <w:rFonts w:ascii="Times New Roman" w:hAnsi="Times New Roman"/>
      <w:b/>
      <w:sz w:val="28"/>
      <w:szCs w:val="24"/>
      <w:u w:val="single"/>
      <w:lang w:val="uk-UA" w:eastAsia="ru-RU"/>
    </w:rPr>
    <w:pPr>
      <w:keepNext/>
      <w:spacing w:lineRule="auto" w:line="240" w:after="0"/>
      <w:outlineLvl w:val="2"/>
    </w:pPr>
  </w:style>
  <w:style w:type="paragraph" w:styleId="505">
    <w:name w:val="Heading 4"/>
    <w:basedOn w:val="501"/>
    <w:next w:val="501"/>
    <w:link w:val="571"/>
    <w:qFormat/>
    <w:uiPriority w:val="9"/>
    <w:rPr>
      <w:rFonts w:ascii="Times New Roman" w:hAnsi="Times New Roman"/>
      <w:b/>
      <w:bCs/>
      <w:sz w:val="28"/>
      <w:szCs w:val="28"/>
    </w:rPr>
    <w:pPr>
      <w:keepNext/>
      <w:spacing w:after="60" w:before="240"/>
      <w:outlineLvl w:val="3"/>
    </w:pPr>
  </w:style>
  <w:style w:type="paragraph" w:styleId="506">
    <w:name w:val="Heading 5"/>
    <w:basedOn w:val="501"/>
    <w:next w:val="501"/>
    <w:link w:val="513"/>
    <w:qFormat/>
    <w:rPr>
      <w:rFonts w:ascii="Times New Roman" w:hAnsi="Times New Roman"/>
      <w:b/>
      <w:bCs/>
      <w:sz w:val="28"/>
      <w:szCs w:val="24"/>
      <w:u w:val="single"/>
      <w:lang w:val="uk-UA" w:eastAsia="ru-RU"/>
    </w:rPr>
    <w:pPr>
      <w:jc w:val="both"/>
      <w:keepNext/>
      <w:spacing w:lineRule="auto" w:line="240" w:after="0"/>
      <w:outlineLvl w:val="4"/>
    </w:pPr>
  </w:style>
  <w:style w:type="paragraph" w:styleId="507">
    <w:name w:val="Heading 7"/>
    <w:basedOn w:val="501"/>
    <w:next w:val="501"/>
    <w:qFormat/>
    <w:rPr>
      <w:rFonts w:ascii="Times New Roman" w:hAnsi="Times New Roman"/>
      <w:sz w:val="24"/>
      <w:szCs w:val="24"/>
    </w:rPr>
    <w:pPr>
      <w:spacing w:after="60" w:before="240"/>
      <w:outlineLvl w:val="6"/>
    </w:pPr>
  </w:style>
  <w:style w:type="paragraph" w:styleId="508">
    <w:name w:val="Heading 8"/>
    <w:basedOn w:val="501"/>
    <w:next w:val="501"/>
    <w:link w:val="514"/>
    <w:qFormat/>
    <w:rPr>
      <w:rFonts w:ascii="Calibri Light" w:hAnsi="Calibri Light"/>
      <w:color w:val="272727"/>
      <w:sz w:val="21"/>
      <w:szCs w:val="21"/>
    </w:rPr>
    <w:pPr>
      <w:keepLines/>
      <w:keepNext/>
      <w:spacing w:after="0" w:before="40"/>
      <w:outlineLvl w:val="7"/>
    </w:pPr>
  </w:style>
  <w:style w:type="character" w:styleId="509" w:default="1">
    <w:name w:val="Default Paragraph Font"/>
    <w:uiPriority w:val="1"/>
    <w:semiHidden/>
    <w:unhideWhenUsed/>
  </w:style>
  <w:style w:type="table" w:styleId="510" w:default="1">
    <w:name w:val="Normal Table"/>
    <w:uiPriority w:val="99"/>
    <w:semiHidden/>
    <w:unhideWhenUsed/>
    <w:tblPr>
      <w:tblInd w:w="0" w:type="dxa"/>
      <w:tblCellMar>
        <w:left w:w="108" w:type="dxa"/>
        <w:top w:w="0" w:type="dxa"/>
        <w:right w:w="108" w:type="dxa"/>
        <w:bottom w:w="0" w:type="dxa"/>
      </w:tblCellMar>
    </w:tblPr>
  </w:style>
  <w:style w:type="numbering" w:styleId="511" w:default="1">
    <w:name w:val="No List"/>
    <w:uiPriority w:val="99"/>
    <w:semiHidden/>
    <w:unhideWhenUsed/>
  </w:style>
  <w:style w:type="character" w:styleId="512" w:customStyle="1">
    <w:name w:val="Заголовок 3 Знак"/>
    <w:link w:val="504"/>
    <w:rPr>
      <w:rFonts w:ascii="Times New Roman" w:hAnsi="Times New Roman" w:cs="Times New Roman"/>
      <w:b/>
      <w:sz w:val="24"/>
      <w:szCs w:val="24"/>
      <w:u w:val="single"/>
      <w:lang w:val="uk-UA" w:eastAsia="ru-RU"/>
    </w:rPr>
  </w:style>
  <w:style w:type="character" w:styleId="513" w:customStyle="1">
    <w:name w:val="Заголовок 5 Знак"/>
    <w:link w:val="506"/>
    <w:rPr>
      <w:rFonts w:ascii="Times New Roman" w:hAnsi="Times New Roman" w:cs="Times New Roman"/>
      <w:b/>
      <w:bCs/>
      <w:sz w:val="24"/>
      <w:szCs w:val="24"/>
      <w:u w:val="single"/>
      <w:lang w:val="uk-UA" w:eastAsia="ru-RU"/>
    </w:rPr>
  </w:style>
  <w:style w:type="character" w:styleId="514" w:customStyle="1">
    <w:name w:val="Заголовок 8 Знак"/>
    <w:link w:val="508"/>
    <w:semiHidden/>
    <w:rPr>
      <w:rFonts w:ascii="Calibri Light" w:hAnsi="Calibri Light" w:cs="Times New Roman"/>
      <w:color w:val="272727"/>
      <w:sz w:val="21"/>
      <w:szCs w:val="21"/>
    </w:rPr>
  </w:style>
  <w:style w:type="paragraph" w:styleId="515">
    <w:name w:val="Body Text 2"/>
    <w:basedOn w:val="501"/>
    <w:link w:val="516"/>
    <w:uiPriority w:val="99"/>
    <w:rPr>
      <w:rFonts w:ascii="Times New Roman" w:hAnsi="Times New Roman"/>
      <w:b/>
      <w:sz w:val="28"/>
      <w:szCs w:val="24"/>
      <w:lang w:val="uk-UA" w:eastAsia="ru-RU"/>
    </w:rPr>
    <w:pPr>
      <w:spacing w:lineRule="auto" w:line="240" w:after="0"/>
    </w:pPr>
  </w:style>
  <w:style w:type="character" w:styleId="516" w:customStyle="1">
    <w:name w:val="Основний текст 2 Знак"/>
    <w:link w:val="515"/>
    <w:uiPriority w:val="99"/>
    <w:rPr>
      <w:rFonts w:ascii="Times New Roman" w:hAnsi="Times New Roman" w:cs="Times New Roman"/>
      <w:b/>
      <w:sz w:val="24"/>
      <w:szCs w:val="24"/>
      <w:lang w:val="uk-UA" w:eastAsia="ru-RU"/>
    </w:rPr>
  </w:style>
  <w:style w:type="paragraph" w:styleId="517">
    <w:name w:val="Body Text"/>
    <w:basedOn w:val="501"/>
    <w:link w:val="518"/>
    <w:rPr>
      <w:rFonts w:ascii="Times New Roman" w:hAnsi="Times New Roman"/>
      <w:sz w:val="28"/>
      <w:szCs w:val="24"/>
      <w:lang w:val="uk-UA" w:eastAsia="ru-RU"/>
    </w:rPr>
    <w:pPr>
      <w:spacing w:lineRule="auto" w:line="240" w:after="0"/>
    </w:pPr>
  </w:style>
  <w:style w:type="character" w:styleId="518" w:customStyle="1">
    <w:name w:val="Основний текст Знак"/>
    <w:link w:val="517"/>
    <w:rPr>
      <w:rFonts w:ascii="Times New Roman" w:hAnsi="Times New Roman" w:cs="Times New Roman"/>
      <w:sz w:val="24"/>
      <w:szCs w:val="24"/>
      <w:lang w:val="uk-UA" w:eastAsia="ru-RU"/>
    </w:rPr>
  </w:style>
  <w:style w:type="paragraph" w:styleId="519" w:customStyle="1">
    <w:name w:val="Абзац списка1"/>
    <w:basedOn w:val="501"/>
    <w:qFormat/>
    <w:uiPriority w:val="34"/>
    <w:pPr>
      <w:contextualSpacing w:val="true"/>
      <w:ind w:left="720"/>
    </w:pPr>
  </w:style>
  <w:style w:type="paragraph" w:styleId="520" w:customStyle="1">
    <w:name w:val="заголовок 1"/>
    <w:basedOn w:val="501"/>
    <w:next w:val="501"/>
    <w:rPr>
      <w:rFonts w:ascii="Times New Roman" w:hAnsi="Times New Roman"/>
      <w:b/>
      <w:sz w:val="28"/>
      <w:szCs w:val="20"/>
      <w:lang w:val="uk-UA" w:eastAsia="ru-RU"/>
    </w:rPr>
    <w:pPr>
      <w:jc w:val="center"/>
      <w:keepNext/>
      <w:spacing w:lineRule="auto" w:line="240" w:after="0"/>
    </w:pPr>
  </w:style>
  <w:style w:type="table" w:styleId="521">
    <w:name w:val="Table Grid"/>
    <w:basedOn w:val="510"/>
    <w:uiPriority w:val="39"/>
    <w:rPr>
      <w:lang w:val="ru-RU" w:eastAsia="ru-RU"/>
    </w:r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character" w:styleId="522">
    <w:name w:val="Hyperlink"/>
    <w:uiPriority w:val="99"/>
    <w:rPr>
      <w:rFonts w:cs="Times New Roman"/>
      <w:color w:val="0563C1"/>
      <w:u w:val="single"/>
    </w:rPr>
  </w:style>
  <w:style w:type="paragraph" w:styleId="523">
    <w:name w:val="footnote text"/>
    <w:basedOn w:val="501"/>
    <w:link w:val="524"/>
    <w:uiPriority w:val="99"/>
    <w:semiHidden/>
    <w:rPr>
      <w:rFonts w:ascii="Times New Roman" w:hAnsi="Times New Roman"/>
      <w:sz w:val="16"/>
      <w:szCs w:val="20"/>
      <w:lang w:val="uk-UA" w:eastAsia="ru-RU"/>
    </w:rPr>
    <w:pPr>
      <w:jc w:val="both"/>
      <w:spacing w:lineRule="auto" w:line="240" w:after="0"/>
    </w:pPr>
  </w:style>
  <w:style w:type="character" w:styleId="524" w:customStyle="1">
    <w:name w:val="Текст виноски Знак"/>
    <w:link w:val="523"/>
    <w:uiPriority w:val="99"/>
    <w:semiHidden/>
    <w:rPr>
      <w:rFonts w:ascii="Times New Roman" w:hAnsi="Times New Roman" w:cs="Times New Roman"/>
      <w:sz w:val="20"/>
      <w:szCs w:val="20"/>
      <w:lang w:val="uk-UA" w:eastAsia="ru-RU"/>
    </w:rPr>
  </w:style>
  <w:style w:type="character" w:styleId="525">
    <w:name w:val="footnote reference"/>
    <w:uiPriority w:val="99"/>
    <w:semiHidden/>
    <w:rPr>
      <w:rFonts w:cs="Times New Roman"/>
      <w:vertAlign w:val="superscript"/>
    </w:rPr>
  </w:style>
  <w:style w:type="paragraph" w:styleId="526" w:customStyle="1">
    <w:name w:val="1"/>
    <w:basedOn w:val="501"/>
    <w:rPr>
      <w:rFonts w:ascii="Verdana" w:hAnsi="Verdana" w:cs="Verdana"/>
      <w:sz w:val="20"/>
      <w:szCs w:val="20"/>
      <w:lang w:val="en-US"/>
    </w:rPr>
    <w:pPr>
      <w:spacing w:lineRule="auto" w:line="240" w:after="0"/>
    </w:pPr>
  </w:style>
  <w:style w:type="table" w:styleId="527" w:customStyle="1">
    <w:name w:val="Сетка таблицы1"/>
    <w:uiPriority w:val="59"/>
    <w:rPr>
      <w:rFonts w:ascii="Times New Roman" w:hAnsi="Times New Roman"/>
    </w:r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paragraph" w:styleId="528">
    <w:name w:val="Header"/>
    <w:basedOn w:val="501"/>
    <w:link w:val="529"/>
    <w:pPr>
      <w:spacing w:lineRule="auto" w:line="240" w:after="0"/>
      <w:tabs>
        <w:tab w:val="center" w:pos="4677" w:leader="none"/>
        <w:tab w:val="right" w:pos="9355" w:leader="none"/>
      </w:tabs>
    </w:pPr>
  </w:style>
  <w:style w:type="character" w:styleId="529" w:customStyle="1">
    <w:name w:val="Верхній колонтитул Знак"/>
    <w:link w:val="528"/>
    <w:uiPriority w:val="99"/>
    <w:rPr>
      <w:rFonts w:cs="Times New Roman"/>
    </w:rPr>
  </w:style>
  <w:style w:type="paragraph" w:styleId="530">
    <w:name w:val="Footer"/>
    <w:basedOn w:val="501"/>
    <w:link w:val="531"/>
    <w:uiPriority w:val="99"/>
    <w:pPr>
      <w:spacing w:lineRule="auto" w:line="240" w:after="0"/>
      <w:tabs>
        <w:tab w:val="center" w:pos="4677" w:leader="none"/>
        <w:tab w:val="right" w:pos="9355" w:leader="none"/>
      </w:tabs>
    </w:pPr>
  </w:style>
  <w:style w:type="character" w:styleId="531" w:customStyle="1">
    <w:name w:val="Нижній колонтитул Знак"/>
    <w:link w:val="530"/>
    <w:uiPriority w:val="99"/>
    <w:rPr>
      <w:rFonts w:cs="Times New Roman"/>
    </w:rPr>
  </w:style>
  <w:style w:type="paragraph" w:styleId="532" w:customStyle="1">
    <w:name w:val="Без интервала1"/>
    <w:link w:val="533"/>
    <w:rPr>
      <w:sz w:val="22"/>
      <w:szCs w:val="22"/>
      <w:lang w:val="ru-RU" w:eastAsia="ru-RU"/>
    </w:rPr>
  </w:style>
  <w:style w:type="character" w:styleId="533" w:customStyle="1">
    <w:name w:val="No Spacing Char"/>
    <w:link w:val="532"/>
    <w:rPr>
      <w:rFonts w:cs="Times New Roman"/>
      <w:sz w:val="22"/>
      <w:szCs w:val="22"/>
      <w:lang w:val="ru-RU" w:bidi="ar-SA" w:eastAsia="ru-RU"/>
    </w:rPr>
  </w:style>
  <w:style w:type="character" w:styleId="534">
    <w:name w:val="page number"/>
    <w:uiPriority w:val="99"/>
    <w:rPr>
      <w:rFonts w:cs="Times New Roman"/>
    </w:rPr>
  </w:style>
  <w:style w:type="paragraph" w:styleId="535" w:customStyle="1">
    <w:name w:val="Table Paragraph"/>
    <w:basedOn w:val="501"/>
    <w:rPr>
      <w:rFonts w:ascii="Times New Roman" w:hAnsi="Times New Roman"/>
      <w:lang w:val="en-US"/>
    </w:rPr>
    <w:pPr>
      <w:ind w:left="107"/>
      <w:spacing w:lineRule="auto" w:line="240" w:after="0"/>
      <w:widowControl w:val="off"/>
    </w:pPr>
  </w:style>
  <w:style w:type="paragraph" w:styleId="536">
    <w:name w:val="Normal (Web)"/>
    <w:basedOn w:val="501"/>
    <w:uiPriority w:val="99"/>
    <w:rPr>
      <w:rFonts w:ascii="Times New Roman" w:hAnsi="Times New Roman"/>
      <w:sz w:val="24"/>
      <w:szCs w:val="24"/>
      <w:lang w:eastAsia="ru-RU"/>
    </w:rPr>
    <w:pPr>
      <w:spacing w:lineRule="auto" w:line="240" w:after="100" w:afterAutospacing="1" w:before="100" w:beforeAutospacing="1"/>
    </w:pPr>
  </w:style>
  <w:style w:type="character" w:styleId="537" w:customStyle="1">
    <w:name w:val="apple-converted-space"/>
    <w:rPr>
      <w:rFonts w:cs="Times New Roman"/>
    </w:rPr>
  </w:style>
  <w:style w:type="paragraph" w:styleId="538">
    <w:name w:val="Body Text Indent"/>
    <w:basedOn w:val="501"/>
    <w:pPr>
      <w:ind w:left="283"/>
      <w:spacing w:after="120"/>
    </w:pPr>
  </w:style>
  <w:style w:type="paragraph" w:styleId="539">
    <w:name w:val="Body Text Indent 2"/>
    <w:basedOn w:val="501"/>
    <w:link w:val="577"/>
    <w:uiPriority w:val="99"/>
    <w:pPr>
      <w:ind w:left="283"/>
      <w:spacing w:lineRule="auto" w:line="480" w:after="120"/>
    </w:pPr>
  </w:style>
  <w:style w:type="paragraph" w:styleId="540">
    <w:name w:val="Body Text Indent 3"/>
    <w:basedOn w:val="501"/>
    <w:rPr>
      <w:sz w:val="16"/>
      <w:szCs w:val="16"/>
    </w:rPr>
    <w:pPr>
      <w:ind w:left="283"/>
      <w:spacing w:after="120"/>
    </w:pPr>
  </w:style>
  <w:style w:type="character" w:styleId="541">
    <w:name w:val="Strong"/>
    <w:qFormat/>
    <w:uiPriority w:val="22"/>
    <w:rPr>
      <w:rFonts w:cs="Times New Roman"/>
      <w:b/>
      <w:bCs/>
    </w:rPr>
  </w:style>
  <w:style w:type="character" w:styleId="542">
    <w:name w:val="Emphasis"/>
    <w:qFormat/>
    <w:rPr>
      <w:rFonts w:cs="Times New Roman"/>
      <w:i/>
      <w:iCs/>
    </w:rPr>
  </w:style>
  <w:style w:type="paragraph" w:styleId="543" w:customStyle="1">
    <w:name w:val="Абзац списка2"/>
    <w:basedOn w:val="501"/>
    <w:qFormat/>
    <w:rPr>
      <w:rFonts w:ascii="Times New Roman" w:hAnsi="Times New Roman"/>
      <w:sz w:val="24"/>
      <w:szCs w:val="24"/>
      <w:lang w:eastAsia="ru-RU"/>
    </w:rPr>
    <w:pPr>
      <w:ind w:left="708"/>
      <w:spacing w:lineRule="auto" w:line="240" w:after="0"/>
    </w:pPr>
  </w:style>
  <w:style w:type="paragraph" w:styleId="544" w:customStyle="1">
    <w:name w:val="Без интервала2"/>
    <w:qFormat/>
    <w:rPr>
      <w:rFonts w:ascii="Times New Roman" w:hAnsi="Times New Roman"/>
      <w:sz w:val="24"/>
      <w:szCs w:val="24"/>
      <w:lang w:val="ru-RU" w:eastAsia="ru-RU"/>
    </w:rPr>
  </w:style>
  <w:style w:type="character" w:styleId="545" w:customStyle="1">
    <w:name w:val="Font Style24"/>
    <w:rPr>
      <w:rFonts w:ascii="Times New Roman" w:hAnsi="Times New Roman"/>
      <w:sz w:val="18"/>
    </w:rPr>
  </w:style>
  <w:style w:type="paragraph" w:styleId="546" w:customStyle="1">
    <w:name w:val="Style9"/>
    <w:basedOn w:val="501"/>
    <w:rPr>
      <w:rFonts w:ascii="Times New Roman" w:hAnsi="Times New Roman"/>
      <w:sz w:val="24"/>
      <w:szCs w:val="24"/>
      <w:lang w:eastAsia="ru-RU"/>
    </w:rPr>
    <w:pPr>
      <w:spacing w:lineRule="exact" w:line="326" w:after="0"/>
      <w:widowControl w:val="off"/>
    </w:pPr>
  </w:style>
  <w:style w:type="character" w:styleId="547" w:customStyle="1">
    <w:name w:val="Font Style18"/>
    <w:rPr>
      <w:rFonts w:ascii="Times New Roman" w:hAnsi="Times New Roman"/>
      <w:b/>
      <w:sz w:val="26"/>
    </w:rPr>
  </w:style>
  <w:style w:type="paragraph" w:styleId="548" w:customStyle="1">
    <w:name w:val="Default"/>
    <w:rPr>
      <w:rFonts w:ascii="Arial" w:hAnsi="Arial" w:cs="Arial"/>
      <w:color w:val="000000"/>
      <w:sz w:val="24"/>
      <w:szCs w:val="24"/>
      <w:lang w:val="ru-RU" w:eastAsia="ru-RU"/>
    </w:rPr>
  </w:style>
  <w:style w:type="paragraph" w:styleId="549">
    <w:name w:val="Balloon Text"/>
    <w:basedOn w:val="501"/>
    <w:link w:val="550"/>
    <w:uiPriority w:val="99"/>
    <w:semiHidden/>
    <w:rPr>
      <w:rFonts w:ascii="Segoe UI" w:hAnsi="Segoe UI" w:cs="Segoe UI"/>
      <w:sz w:val="18"/>
      <w:szCs w:val="18"/>
    </w:rPr>
    <w:pPr>
      <w:spacing w:lineRule="auto" w:line="240" w:after="0"/>
    </w:pPr>
  </w:style>
  <w:style w:type="character" w:styleId="550" w:customStyle="1">
    <w:name w:val="Текст у виносці Знак"/>
    <w:link w:val="549"/>
    <w:uiPriority w:val="99"/>
    <w:semiHidden/>
    <w:rPr>
      <w:rFonts w:ascii="Segoe UI" w:hAnsi="Segoe UI" w:cs="Segoe UI"/>
      <w:sz w:val="18"/>
      <w:szCs w:val="18"/>
      <w:lang w:eastAsia="en-US"/>
    </w:rPr>
  </w:style>
  <w:style w:type="paragraph" w:styleId="551" w:customStyle="1">
    <w:name w:val="Знак Знак1 Знак Знак Знак Знак"/>
    <w:basedOn w:val="501"/>
    <w:rPr>
      <w:rFonts w:ascii="Verdana" w:hAnsi="Verdana"/>
      <w:sz w:val="20"/>
      <w:szCs w:val="20"/>
      <w:lang w:val="en-US"/>
    </w:rPr>
    <w:pPr>
      <w:spacing w:lineRule="auto" w:line="240" w:after="0"/>
    </w:pPr>
  </w:style>
  <w:style w:type="character" w:styleId="552" w:customStyle="1">
    <w:name w:val="Текст примітки Знак"/>
    <w:link w:val="553"/>
    <w:uiPriority w:val="99"/>
    <w:semiHidden/>
    <w:rPr>
      <w:rFonts w:ascii="Calibri" w:hAnsi="Calibri" w:cs="Times New Roman" w:eastAsia="Times New Roman"/>
      <w:lang w:eastAsia="en-US"/>
    </w:rPr>
  </w:style>
  <w:style w:type="paragraph" w:styleId="553">
    <w:name w:val="annotation text"/>
    <w:basedOn w:val="501"/>
    <w:link w:val="552"/>
    <w:uiPriority w:val="99"/>
    <w:semiHidden/>
    <w:rPr>
      <w:sz w:val="20"/>
      <w:szCs w:val="20"/>
    </w:rPr>
    <w:pPr>
      <w:spacing w:lineRule="auto" w:line="240"/>
    </w:pPr>
  </w:style>
  <w:style w:type="character" w:styleId="554" w:customStyle="1">
    <w:name w:val="Тема примітки Знак"/>
    <w:link w:val="555"/>
    <w:semiHidden/>
    <w:rPr>
      <w:rFonts w:ascii="Calibri" w:hAnsi="Calibri" w:cs="Times New Roman" w:eastAsia="Times New Roman"/>
      <w:b/>
      <w:bCs/>
      <w:lang w:eastAsia="en-US"/>
    </w:rPr>
  </w:style>
  <w:style w:type="paragraph" w:styleId="555">
    <w:name w:val="annotation subject"/>
    <w:basedOn w:val="553"/>
    <w:next w:val="553"/>
    <w:link w:val="554"/>
    <w:semiHidden/>
    <w:rPr>
      <w:b/>
      <w:bCs/>
    </w:rPr>
  </w:style>
  <w:style w:type="paragraph" w:styleId="556" w:customStyle="1">
    <w:name w:val="Знак"/>
    <w:basedOn w:val="501"/>
    <w:rPr>
      <w:rFonts w:ascii="Verdana" w:hAnsi="Verdana" w:cs="Verdana"/>
      <w:sz w:val="20"/>
      <w:szCs w:val="20"/>
      <w:lang w:val="en-US"/>
    </w:rPr>
    <w:pPr>
      <w:spacing w:lineRule="auto" w:line="240" w:after="0"/>
    </w:pPr>
  </w:style>
  <w:style w:type="paragraph" w:styleId="557">
    <w:name w:val="List Paragraph"/>
    <w:basedOn w:val="501"/>
    <w:link w:val="570"/>
    <w:qFormat/>
    <w:uiPriority w:val="34"/>
    <w:pPr>
      <w:contextualSpacing w:val="true"/>
      <w:ind w:left="720"/>
    </w:pPr>
  </w:style>
  <w:style w:type="paragraph" w:styleId="558">
    <w:name w:val="No Spacing"/>
    <w:link w:val="575"/>
    <w:qFormat/>
    <w:uiPriority w:val="1"/>
    <w:rPr>
      <w:rFonts w:ascii="Calibri" w:hAnsi="Calibri" w:cs="Calibri" w:eastAsia="Calibri"/>
      <w:sz w:val="22"/>
      <w:szCs w:val="22"/>
      <w:lang w:val="en-US" w:eastAsia="en-US"/>
    </w:rPr>
  </w:style>
  <w:style w:type="character" w:styleId="559" w:customStyle="1">
    <w:name w:val="redline"/>
    <w:basedOn w:val="509"/>
  </w:style>
  <w:style w:type="character" w:styleId="560" w:customStyle="1">
    <w:name w:val="Основной шрифт абзаца1"/>
  </w:style>
  <w:style w:type="paragraph" w:styleId="561" w:customStyle="1">
    <w:name w:val="H5"/>
    <w:basedOn w:val="501"/>
    <w:next w:val="501"/>
    <w:rPr>
      <w:rFonts w:ascii="Times New Roman" w:hAnsi="Times New Roman"/>
      <w:sz w:val="24"/>
      <w:szCs w:val="24"/>
      <w:lang w:val="uk-UA" w:eastAsia="zh-CN"/>
    </w:rPr>
    <w:pPr>
      <w:spacing w:lineRule="auto" w:line="240" w:after="0"/>
    </w:pPr>
  </w:style>
  <w:style w:type="character" w:styleId="562" w:customStyle="1">
    <w:name w:val="Заголовок 1 Знак"/>
    <w:basedOn w:val="509"/>
    <w:link w:val="502"/>
    <w:uiPriority w:val="9"/>
    <w:rPr>
      <w:rFonts w:ascii="Arial" w:hAnsi="Arial" w:cs="Arial"/>
      <w:b/>
      <w:bCs/>
      <w:sz w:val="32"/>
      <w:szCs w:val="32"/>
      <w:lang w:val="ru-RU" w:eastAsia="en-US"/>
    </w:rPr>
  </w:style>
  <w:style w:type="table" w:styleId="563" w:customStyle="1">
    <w:name w:val="Table Grid"/>
    <w:rPr>
      <w:rFonts w:ascii="Calibri" w:hAnsi="Calibri" w:cs="Calibri" w:eastAsia="Calibri"/>
      <w:sz w:val="22"/>
      <w:szCs w:val="22"/>
    </w:rPr>
    <w:tblPr>
      <w:tblCellMar>
        <w:left w:w="0" w:type="dxa"/>
        <w:top w:w="0" w:type="dxa"/>
        <w:right w:w="0" w:type="dxa"/>
        <w:bottom w:w="0" w:type="dxa"/>
      </w:tblCellMar>
    </w:tblPr>
  </w:style>
  <w:style w:type="character" w:styleId="564" w:customStyle="1">
    <w:name w:val="Заголовок 2 Знак"/>
    <w:basedOn w:val="509"/>
    <w:link w:val="503"/>
    <w:uiPriority w:val="9"/>
    <w:rPr>
      <w:rFonts w:ascii="Arial" w:hAnsi="Arial" w:cs="Arial"/>
      <w:b/>
      <w:bCs/>
      <w:i/>
      <w:iCs/>
      <w:sz w:val="28"/>
      <w:szCs w:val="28"/>
      <w:lang w:val="ru-RU" w:eastAsia="en-US"/>
    </w:rPr>
  </w:style>
  <w:style w:type="paragraph" w:styleId="565" w:customStyle="1">
    <w:name w:val="msonormalcxspmiddle"/>
    <w:basedOn w:val="501"/>
    <w:rPr>
      <w:rFonts w:ascii="Times New Roman" w:hAnsi="Times New Roman"/>
      <w:sz w:val="24"/>
      <w:szCs w:val="24"/>
      <w:lang w:eastAsia="ru-RU"/>
    </w:rPr>
    <w:pPr>
      <w:spacing w:lineRule="auto" w:line="240" w:after="100" w:afterAutospacing="1" w:before="100" w:beforeAutospacing="1"/>
    </w:pPr>
  </w:style>
  <w:style w:type="character" w:styleId="566" w:customStyle="1">
    <w:name w:val="plainlinks"/>
    <w:basedOn w:val="509"/>
  </w:style>
  <w:style w:type="character" w:styleId="567" w:customStyle="1">
    <w:name w:val="geo-dms"/>
    <w:basedOn w:val="509"/>
  </w:style>
  <w:style w:type="character" w:styleId="568" w:customStyle="1">
    <w:name w:val="latitude"/>
    <w:basedOn w:val="509"/>
  </w:style>
  <w:style w:type="character" w:styleId="569" w:customStyle="1">
    <w:name w:val="longitude"/>
    <w:basedOn w:val="509"/>
  </w:style>
  <w:style w:type="character" w:styleId="570" w:customStyle="1">
    <w:name w:val="Абзац списку Знак"/>
    <w:link w:val="557"/>
    <w:uiPriority w:val="34"/>
    <w:rPr>
      <w:sz w:val="22"/>
      <w:szCs w:val="22"/>
      <w:lang w:val="ru-RU" w:eastAsia="en-US"/>
    </w:rPr>
  </w:style>
  <w:style w:type="character" w:styleId="571" w:customStyle="1">
    <w:name w:val="Заголовок 4 Знак"/>
    <w:basedOn w:val="509"/>
    <w:link w:val="505"/>
    <w:uiPriority w:val="9"/>
    <w:rPr>
      <w:rFonts w:ascii="Times New Roman" w:hAnsi="Times New Roman"/>
      <w:b/>
      <w:bCs/>
      <w:sz w:val="28"/>
      <w:szCs w:val="28"/>
      <w:lang w:val="ru-RU" w:eastAsia="en-US"/>
    </w:rPr>
  </w:style>
  <w:style w:type="character" w:styleId="572" w:customStyle="1">
    <w:name w:val="Balloon Text Char1"/>
    <w:basedOn w:val="509"/>
    <w:uiPriority w:val="99"/>
    <w:semiHidden/>
    <w:rPr>
      <w:rFonts w:ascii="Segoe UI" w:hAnsi="Segoe UI" w:cs="Segoe UI"/>
      <w:sz w:val="18"/>
      <w:szCs w:val="18"/>
    </w:rPr>
  </w:style>
  <w:style w:type="paragraph" w:styleId="573">
    <w:name w:val="Title"/>
    <w:basedOn w:val="501"/>
    <w:link w:val="574"/>
    <w:qFormat/>
    <w:rPr>
      <w:rFonts w:ascii="Times New Roman" w:hAnsi="Times New Roman"/>
      <w:b/>
      <w:sz w:val="28"/>
      <w:szCs w:val="20"/>
      <w:u w:val="single"/>
      <w:lang w:val="uk-UA" w:eastAsia="ru-RU"/>
    </w:rPr>
    <w:pPr>
      <w:jc w:val="center"/>
      <w:spacing w:lineRule="auto" w:line="240" w:after="0"/>
    </w:pPr>
  </w:style>
  <w:style w:type="character" w:styleId="574" w:customStyle="1">
    <w:name w:val="Назва Знак"/>
    <w:basedOn w:val="509"/>
    <w:link w:val="573"/>
    <w:rPr>
      <w:rFonts w:ascii="Times New Roman" w:hAnsi="Times New Roman"/>
      <w:b/>
      <w:sz w:val="28"/>
      <w:u w:val="single"/>
      <w:lang w:eastAsia="ru-RU"/>
    </w:rPr>
  </w:style>
  <w:style w:type="character" w:styleId="575" w:customStyle="1">
    <w:name w:val="Без інтервалів Знак"/>
    <w:link w:val="558"/>
    <w:uiPriority w:val="1"/>
    <w:rPr>
      <w:rFonts w:ascii="Calibri" w:hAnsi="Calibri" w:cs="Calibri" w:eastAsia="Calibri"/>
      <w:sz w:val="22"/>
      <w:szCs w:val="22"/>
      <w:lang w:val="en-US" w:eastAsia="en-US"/>
    </w:rPr>
  </w:style>
  <w:style w:type="character" w:styleId="576" w:customStyle="1">
    <w:name w:val="A2"/>
    <w:uiPriority w:val="99"/>
    <w:rPr>
      <w:color w:val="000000"/>
      <w:sz w:val="22"/>
      <w:szCs w:val="22"/>
    </w:rPr>
  </w:style>
  <w:style w:type="character" w:styleId="577" w:customStyle="1">
    <w:name w:val="Основний текст з відступом 2 Знак"/>
    <w:basedOn w:val="509"/>
    <w:link w:val="539"/>
    <w:uiPriority w:val="99"/>
    <w:rPr>
      <w:sz w:val="22"/>
      <w:szCs w:val="22"/>
      <w:lang w:val="ru-RU" w:eastAsia="en-US"/>
    </w:rPr>
  </w:style>
  <w:style w:type="character" w:styleId="578">
    <w:name w:val="annotation reference"/>
    <w:basedOn w:val="509"/>
    <w:uiPriority w:val="99"/>
    <w:rPr>
      <w:sz w:val="16"/>
      <w:szCs w:val="16"/>
    </w:rPr>
  </w:style>
  <w:style w:type="character" w:styleId="579" w:customStyle="1">
    <w:name w:val="Title Char"/>
    <w:basedOn w:val="509"/>
    <w:uiPriority w:val="10"/>
    <w:rPr>
      <w:sz w:val="48"/>
      <w:szCs w:val="48"/>
    </w:rPr>
  </w:style>
  <w:style w:type="character" w:styleId="1_6402" w:customStyle="1">
    <w:name w:val="Font Style19"/>
    <w:basedOn w:val="378"/>
    <w:rPr>
      <w:rFonts w:ascii="Times New Roman" w:hAnsi="Times New Roman" w:cs="Times New Roman"/>
      <w:b/>
      <w:bCs/>
      <w:sz w:val="20"/>
      <w:szCs w:val="20"/>
    </w:rPr>
  </w:style>
  <w:style w:type="paragraph" w:styleId="1_6401" w:customStyle="1">
    <w:name w:val="Style1"/>
    <w:basedOn w:val="376"/>
    <w:rPr>
      <w:rFonts w:ascii="Times New Roman" w:hAnsi="Times New Roman" w:cs="Times New Roman" w:eastAsia="Times New Roman"/>
      <w:b w:val="false"/>
      <w:bCs w:val="false"/>
      <w:i w:val="false"/>
      <w:iCs w:val="false"/>
      <w:caps w:val="false"/>
      <w:smallCaps w:val="false"/>
      <w:strike w:val="false"/>
      <w:dstrike w:val="false"/>
      <w:vanish w:val="false"/>
      <w:color w:val="auto"/>
      <w:spacing w:val="0"/>
      <w:position w:val="0"/>
      <w:sz w:val="24"/>
      <w:szCs w:val="24"/>
      <w:u w:val="none"/>
      <w:vertAlign w:val="baseline"/>
      <w:rtl w:val="false"/>
      <w:cs w:val="false"/>
      <w:lang w:val="ru-RU" w:bidi="ar-SA" w:eastAsia="ru-RU"/>
    </w:rPr>
    <w:pPr>
      <w:contextualSpacing w:val="false"/>
      <w:ind w:left="0" w:right="0" w:firstLine="1483"/>
      <w:jc w:val="left"/>
      <w:keepLines w:val="false"/>
      <w:keepNext w:val="false"/>
      <w:pageBreakBefore w:val="false"/>
      <w:spacing w:lineRule="exact" w:line="247" w:after="0" w:afterAutospacing="0" w:before="0" w:beforeAutospacing="0"/>
      <w:shd w:val="nil" w:color="auto" w:fill="000000"/>
      <w:widowControl w:val="off"/>
      <w:pBdr>
        <w:left w:val="none" w:color="000000" w:sz="4" w:space="0"/>
        <w:top w:val="none" w:color="000000" w:sz="4" w:space="0"/>
        <w:right w:val="none" w:color="000000" w:sz="4" w:space="0"/>
        <w:bottom w:val="none" w:color="000000" w:sz="4" w:space="0"/>
        <w:between w:val="none" w:color="000000" w:sz="4" w:space="0"/>
      </w:pBdr>
    </w:p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header" Target="header1.xml" /><Relationship Id="rId9" Type="http://schemas.openxmlformats.org/officeDocument/2006/relationships/header" Target="header2.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2.pn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chart" Target="charts/chart1.xml" /><Relationship Id="rId20" Type="http://schemas.openxmlformats.org/officeDocument/2006/relationships/chart" Target="charts/chart2.xml" /><Relationship Id="rId21" Type="http://schemas.openxmlformats.org/officeDocument/2006/relationships/chart" Target="charts/chart3.xml" /><Relationship Id="rId22" Type="http://schemas.openxmlformats.org/officeDocument/2006/relationships/image" Target="media/image11.jpg"/><Relationship Id="rId23" Type="http://schemas.openxmlformats.org/officeDocument/2006/relationships/chart" Target="charts/chart4.xml" /><Relationship Id="rId24" Type="http://schemas.openxmlformats.org/officeDocument/2006/relationships/chart" Target="charts/chart5.xml" /><Relationship Id="rId25" Type="http://schemas.openxmlformats.org/officeDocument/2006/relationships/chart" Target="charts/chart6.xml" /><Relationship Id="rId26" Type="http://schemas.openxmlformats.org/officeDocument/2006/relationships/chart" Target="charts/chart7.xml" /><Relationship Id="rId27" Type="http://schemas.openxmlformats.org/officeDocument/2006/relationships/chart" Target="charts/chart8.xml" /><Relationship Id="rId28" Type="http://schemas.openxmlformats.org/officeDocument/2006/relationships/chart" Target="charts/chart9.xml" /><Relationship Id="rId29" Type="http://schemas.openxmlformats.org/officeDocument/2006/relationships/chart" Target="charts/chart10.xml" /><Relationship Id="rId30" Type="http://schemas.openxmlformats.org/officeDocument/2006/relationships/chart" Target="charts/chart11.xml" /><Relationship Id="rId31" Type="http://schemas.openxmlformats.org/officeDocument/2006/relationships/chart" Target="charts/chart12.xml" /><Relationship Id="rId32" Type="http://schemas.openxmlformats.org/officeDocument/2006/relationships/chart" Target="charts/chart13.xml" /><Relationship Id="rId33" Type="http://schemas.openxmlformats.org/officeDocument/2006/relationships/chart" Target="charts/chart14.xml" /><Relationship Id="rId34" Type="http://schemas.openxmlformats.org/officeDocument/2006/relationships/chart" Target="charts/chart15.xml" /><Relationship Id="rId35" Type="http://schemas.openxmlformats.org/officeDocument/2006/relationships/chart" Target="charts/chart16.xml" /><Relationship Id="rId36" Type="http://schemas.openxmlformats.org/officeDocument/2006/relationships/chart" Target="charts/chart17.xml" /><Relationship Id="rId37" Type="http://schemas.openxmlformats.org/officeDocument/2006/relationships/image" Target="media/image12.png"/><Relationship Id="rId38" Type="http://schemas.openxmlformats.org/officeDocument/2006/relationships/image" Target="media/image13.jpg"/><Relationship Id="rId39" Type="http://schemas.openxmlformats.org/officeDocument/2006/relationships/hyperlink" Target="https://decentralization.gov.ua/newgromada" TargetMode="External"/><Relationship Id="rId40" Type="http://schemas.openxmlformats.org/officeDocument/2006/relationships/chart" Target="charts/chart18.xml" /><Relationship Id="rId41" Type="http://schemas.openxmlformats.org/officeDocument/2006/relationships/chart" Target="charts/chart19.xml" /><Relationship Id="rId42" Type="http://schemas.openxmlformats.org/officeDocument/2006/relationships/chart" Target="charts/chart20.xml" /><Relationship Id="rId43" Type="http://schemas.openxmlformats.org/officeDocument/2006/relationships/chart" Target="charts/chart21.xml" /><Relationship Id="rId44" Type="http://schemas.openxmlformats.org/officeDocument/2006/relationships/hyperlink" Target="http://www.uhodameriv.eu" TargetMode="External"/><Relationship Id="rId45" Type="http://schemas.openxmlformats.org/officeDocument/2006/relationships/image" Target="media/image14.png"/><Relationship Id="rId46" Type="http://schemas.openxmlformats.org/officeDocument/2006/relationships/image" Target="media/image4.png"/></Relationships>
</file>

<file path=word/_rels/footer1.xml.rels><?xml version="1.0" encoding="UTF-8" standalone="yes"?><Relationships xmlns="http://schemas.openxmlformats.org/package/2006/relationships"><Relationship Id="rId1" Type="http://schemas.openxmlformats.org/officeDocument/2006/relationships/image" Target="media/image4.png"/></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3.jpg"/></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10.xml.rels><?xml version="1.0" encoding="UTF-8" standalone="yes"?><Relationships xmlns="http://schemas.openxmlformats.org/package/2006/relationships"><Relationship Id="rId1" Type="http://schemas.openxmlformats.org/officeDocument/2006/relationships/package" Target="../embeddings/Microsoft_Excel_Worksheet10.xlsx" /></Relationships>
</file>

<file path=word/charts/_rels/chart11.xml.rels><?xml version="1.0" encoding="UTF-8" standalone="yes"?><Relationships xmlns="http://schemas.openxmlformats.org/package/2006/relationships"><Relationship Id="rId1" Type="http://schemas.openxmlformats.org/officeDocument/2006/relationships/package" Target="../embeddings/Microsoft_Excel_Worksheet11.xlsx" /></Relationships>
</file>

<file path=word/charts/_rels/chart12.xml.rels><?xml version="1.0" encoding="UTF-8" standalone="yes"?><Relationships xmlns="http://schemas.openxmlformats.org/package/2006/relationships"><Relationship Id="rId1" Type="http://schemas.openxmlformats.org/officeDocument/2006/relationships/package" Target="../embeddings/Microsoft_Excel_Worksheet12.xlsx" /></Relationships>
</file>

<file path=word/charts/_rels/chart13.xml.rels><?xml version="1.0" encoding="UTF-8" standalone="yes"?><Relationships xmlns="http://schemas.openxmlformats.org/package/2006/relationships"><Relationship Id="rId1" Type="http://schemas.openxmlformats.org/officeDocument/2006/relationships/package" Target="../embeddings/Microsoft_Excel_Worksheet13.xlsx" /></Relationships>
</file>

<file path=word/charts/_rels/chart14.xml.rels><?xml version="1.0" encoding="UTF-8" standalone="yes"?><Relationships xmlns="http://schemas.openxmlformats.org/package/2006/relationships"><Relationship Id="rId1" Type="http://schemas.openxmlformats.org/officeDocument/2006/relationships/package" Target="../embeddings/Microsoft_Excel_Worksheet14.xlsx" /></Relationships>
</file>

<file path=word/charts/_rels/chart15.xml.rels><?xml version="1.0" encoding="UTF-8" standalone="yes"?><Relationships xmlns="http://schemas.openxmlformats.org/package/2006/relationships"><Relationship Id="rId1" Type="http://schemas.openxmlformats.org/officeDocument/2006/relationships/package" Target="../embeddings/Microsoft_Excel_Worksheet15.xlsx" /></Relationships>
</file>

<file path=word/charts/_rels/chart16.xml.rels><?xml version="1.0" encoding="UTF-8" standalone="yes"?><Relationships xmlns="http://schemas.openxmlformats.org/package/2006/relationships"><Relationship Id="rId1" Type="http://schemas.openxmlformats.org/officeDocument/2006/relationships/package" Target="../embeddings/Microsoft_Excel_Worksheet16.xlsx" /></Relationships>
</file>

<file path=word/charts/_rels/chart17.xml.rels><?xml version="1.0" encoding="UTF-8" standalone="yes"?><Relationships xmlns="http://schemas.openxmlformats.org/package/2006/relationships"><Relationship Id="rId1" Type="http://schemas.openxmlformats.org/officeDocument/2006/relationships/package" Target="../embeddings/Microsoft_Excel_Worksheet17.xlsx" /></Relationships>
</file>

<file path=word/charts/_rels/chart18.xml.rels><?xml version="1.0" encoding="UTF-8" standalone="yes"?><Relationships xmlns="http://schemas.openxmlformats.org/package/2006/relationships"><Relationship Id="rId1" Type="http://schemas.openxmlformats.org/officeDocument/2006/relationships/package" Target="../embeddings/Microsoft_Excel_Worksheet18.xlsx" /></Relationships>
</file>

<file path=word/charts/_rels/chart19.xml.rels><?xml version="1.0" encoding="UTF-8" standalone="yes"?><Relationships xmlns="http://schemas.openxmlformats.org/package/2006/relationships"><Relationship Id="rId1" Type="http://schemas.openxmlformats.org/officeDocument/2006/relationships/package" Target="../embeddings/Microsoft_Excel_Worksheet19.xlsx"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20.xml.rels><?xml version="1.0" encoding="UTF-8" standalone="yes"?><Relationships xmlns="http://schemas.openxmlformats.org/package/2006/relationships"><Relationship Id="rId1" Type="http://schemas.openxmlformats.org/officeDocument/2006/relationships/package" Target="../embeddings/Microsoft_Excel_Worksheet20.xlsx" /></Relationships>
</file>

<file path=word/charts/_rels/chart21.xml.rels><?xml version="1.0" encoding="UTF-8" standalone="yes"?><Relationships xmlns="http://schemas.openxmlformats.org/package/2006/relationships"><Relationship Id="rId1" Type="http://schemas.openxmlformats.org/officeDocument/2006/relationships/package" Target="../embeddings/Microsoft_Excel_Worksheet21.xlsx"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3.xlsx" /></Relationships>
</file>

<file path=word/charts/_rels/chart4.xml.rels><?xml version="1.0" encoding="UTF-8" standalone="yes"?><Relationships xmlns="http://schemas.openxmlformats.org/package/2006/relationships"><Relationship Id="rId1" Type="http://schemas.openxmlformats.org/officeDocument/2006/relationships/package" Target="../embeddings/Microsoft_Excel_Worksheet4.xlsx" /></Relationships>
</file>

<file path=word/charts/_rels/chart5.xml.rels><?xml version="1.0" encoding="UTF-8" standalone="yes"?><Relationships xmlns="http://schemas.openxmlformats.org/package/2006/relationships"><Relationship Id="rId1" Type="http://schemas.openxmlformats.org/officeDocument/2006/relationships/package" Target="../embeddings/Microsoft_Excel_Worksheet5.xlsx" /></Relationships>
</file>

<file path=word/charts/_rels/chart6.xml.rels><?xml version="1.0" encoding="UTF-8" standalone="yes"?><Relationships xmlns="http://schemas.openxmlformats.org/package/2006/relationships"><Relationship Id="rId1" Type="http://schemas.openxmlformats.org/officeDocument/2006/relationships/package" Target="../embeddings/Microsoft_Excel_Worksheet6.xlsx" /></Relationships>
</file>

<file path=word/charts/_rels/chart7.xml.rels><?xml version="1.0" encoding="UTF-8" standalone="yes"?><Relationships xmlns="http://schemas.openxmlformats.org/package/2006/relationships"><Relationship Id="rId1" Type="http://schemas.openxmlformats.org/officeDocument/2006/relationships/package" Target="../embeddings/Microsoft_Excel_Worksheet7.xlsx" /></Relationships>
</file>

<file path=word/charts/_rels/chart8.xml.rels><?xml version="1.0" encoding="UTF-8" standalone="yes"?><Relationships xmlns="http://schemas.openxmlformats.org/package/2006/relationships"><Relationship Id="rId1" Type="http://schemas.openxmlformats.org/officeDocument/2006/relationships/package" Target="../embeddings/Microsoft_Excel_Worksheet8.xlsx" /></Relationships>
</file>

<file path=word/charts/_rels/chart9.xml.rels><?xml version="1.0" encoding="UTF-8" standalone="yes"?><Relationships xmlns="http://schemas.openxmlformats.org/package/2006/relationships"><Relationship Id="rId1" Type="http://schemas.openxmlformats.org/officeDocument/2006/relationships/package" Target="../embeddings/Microsoft_Excel_Worksheet9.xlsx" /></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r>
              <a:rPr lang="uk-UA" b="1"/>
              <a:t>Доходи бюджету громади 2018 - 2019 роки </a:t>
            </a:r>
            <a:endParaRPr/>
          </a:p>
        </c:rich>
      </c:tx>
      <c:layout/>
      <c:overlay val="0"/>
      <c:spPr bwMode="auto">
        <a:prstGeom prst="rect">
          <a:avLst/>
        </a:prstGeom>
        <a:noFill/>
        <a:ln>
          <a:noFill/>
        </a:ln>
      </c:spPr>
      <c:txPr>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endParaRPr lang="uk-UA"/>
        </a:p>
      </c:txPr>
    </c:title>
    <c:autoTitleDeleted val="0"/>
    <c:plotArea>
      <c:layout/>
      <c:barChart>
        <c:barDir val="col"/>
        <c:grouping val="stacked"/>
        <c:varyColors val="0"/>
        <c:ser>
          <c:idx val="0"/>
          <c:order val="0"/>
          <c:tx>
            <c:strRef>
              <c:f>Лист1!$B$1</c:f>
              <c:strCache>
                <c:ptCount val="1"/>
                <c:pt idx="0">
                  <c:v xml:space="preserve">Загальний фонд</c:v>
                </c:pt>
              </c:strCache>
            </c:strRef>
          </c:tx>
          <c:spPr bwMode="auto">
            <a:prstGeom prst="rect">
              <a:avLst/>
            </a:prstGeom>
            <a:solidFill>
              <a:schemeClr val="accent1"/>
            </a:solidFill>
            <a:ln>
              <a:noFill/>
            </a:ln>
          </c:spPr>
          <c:invertIfNegative val="0"/>
          <c:cat>
            <c:numRef>
              <c:f>Лист1!$A$2:$A$3</c:f>
              <c:numCache>
                <c:formatCode>General</c:formatCode>
                <c:ptCount val="2"/>
                <c:pt idx="0">
                  <c:v>2018</c:v>
                </c:pt>
                <c:pt idx="1">
                  <c:v>2019</c:v>
                </c:pt>
              </c:numCache>
            </c:numRef>
          </c:cat>
          <c:val>
            <c:numRef>
              <c:f>Лист1!$B$2:$B$3</c:f>
              <c:numCache>
                <c:formatCode>General</c:formatCode>
                <c:ptCount val="2"/>
                <c:pt idx="0">
                  <c:v>176220.68</c:v>
                </c:pt>
                <c:pt idx="1">
                  <c:v>186671.3</c:v>
                </c:pt>
              </c:numCache>
            </c:numRef>
          </c:val>
        </c:ser>
        <c:ser>
          <c:idx val="1"/>
          <c:order val="1"/>
          <c:tx>
            <c:strRef>
              <c:f>Лист1!$C$1</c:f>
              <c:strCache>
                <c:ptCount val="1"/>
                <c:pt idx="0">
                  <c:v xml:space="preserve">Спеціальний фонд</c:v>
                </c:pt>
              </c:strCache>
            </c:strRef>
          </c:tx>
          <c:spPr bwMode="auto">
            <a:prstGeom prst="rect">
              <a:avLst/>
            </a:prstGeom>
            <a:solidFill>
              <a:schemeClr val="accent2"/>
            </a:solidFill>
            <a:ln>
              <a:noFill/>
            </a:ln>
          </c:spPr>
          <c:invertIfNegative val="0"/>
          <c:dPt>
            <c:idx val="0"/>
            <c:invertIfNegative val="0"/>
            <c:bubble3D val="0"/>
            <c:spPr bwMode="auto">
              <a:prstGeom prst="rect">
                <a:avLst/>
              </a:prstGeom>
              <a:solidFill>
                <a:srgbClr val="C00000"/>
              </a:solidFill>
              <a:ln>
                <a:noFill/>
              </a:ln>
            </c:spPr>
          </c:dPt>
          <c:dPt>
            <c:idx val="1"/>
            <c:invertIfNegative val="0"/>
            <c:bubble3D val="0"/>
            <c:spPr bwMode="auto">
              <a:prstGeom prst="rect">
                <a:avLst/>
              </a:prstGeom>
              <a:solidFill>
                <a:srgbClr val="C00000"/>
              </a:solidFill>
              <a:ln>
                <a:noFill/>
              </a:ln>
            </c:spPr>
          </c:dPt>
          <c:cat>
            <c:numRef>
              <c:f>Лист1!$A$2:$A$3</c:f>
              <c:numCache>
                <c:formatCode>General</c:formatCode>
                <c:ptCount val="2"/>
                <c:pt idx="0">
                  <c:v>2018</c:v>
                </c:pt>
                <c:pt idx="1">
                  <c:v>2019</c:v>
                </c:pt>
              </c:numCache>
            </c:numRef>
          </c:cat>
          <c:val>
            <c:numRef>
              <c:f>Лист1!$C$2:$C$3</c:f>
              <c:numCache>
                <c:formatCode>General</c:formatCode>
                <c:ptCount val="2"/>
                <c:pt idx="0">
                  <c:v>5076.69</c:v>
                </c:pt>
                <c:pt idx="1">
                  <c:v>7199.21</c:v>
                </c:pt>
              </c:numCache>
            </c:numRef>
          </c:val>
        </c:ser>
        <c:dLbls>
          <c:showBubbleSize val="0"/>
          <c:showCatName val="0"/>
          <c:showLeaderLines val="0"/>
          <c:showLegendKey val="0"/>
          <c:showPercent val="0"/>
          <c:showSerName val="0"/>
          <c:showVal val="0"/>
        </c:dLbls>
        <c:gapWidth val="150"/>
        <c:overlap val="100"/>
        <c:axId val="635412624"/>
        <c:axId val="635414584"/>
      </c:barChart>
      <c:catAx>
        <c:axId val="635412624"/>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5414584"/>
        <c:crosses val="autoZero"/>
        <c:auto val="1"/>
        <c:lblAlgn val="ctr"/>
        <c:lblOffset val="100"/>
        <c:noMultiLvlLbl val="0"/>
      </c:catAx>
      <c:valAx>
        <c:axId val="635414584"/>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5412624"/>
        <c:crosses val="autoZero"/>
        <c:crossBetween val="between"/>
      </c:valAx>
      <c:spPr bwMode="auto">
        <a:prstGeom prst="rect">
          <a:avLst/>
        </a:prstGeom>
        <a:noFill/>
        <a:ln>
          <a:noFill/>
        </a:ln>
      </c:spPr>
    </c:plotArea>
    <c:legend>
      <c:legendPos val="b"/>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marL="0" marR="0" indent="0" algn="ctr" defTabSz="914400">
              <a:lnSpc>
                <a:spcPct val="100000"/>
              </a:lnSpc>
              <a:spcBef>
                <a:spcPts val="0"/>
              </a:spcBef>
              <a:spcAft>
                <a:spcPts val="0"/>
              </a:spcAft>
              <a:buClrTx/>
              <a:buSzTx/>
              <a:buFontTx/>
              <a:defRPr sz="1400" b="0" i="0" u="none" strike="noStrike" spc="0">
                <a:solidFill>
                  <a:sysClr val="windowText" lastClr="000000">
                    <a:lumMod val="65000"/>
                    <a:lumOff val="35000"/>
                  </a:sysClr>
                </a:solidFill>
                <a:latin typeface="+mn-lt"/>
                <a:ea typeface="+mn-ea"/>
                <a:cs typeface="+mn-cs"/>
              </a:defRPr>
            </a:pPr>
            <a:r>
              <a:rPr lang="uk-UA" sz="1200" b="1" i="0">
                <a:solidFill>
                  <a:sysClr val="windowText" lastClr="000000"/>
                </a:solidFill>
              </a:rPr>
              <a:t>Споживання електроенергії в МВт*год за категоріями споживачів</a:t>
            </a:r>
            <a:endParaRPr lang="uk-UA" sz="1200">
              <a:solidFill>
                <a:sysClr val="windowText" lastClr="000000"/>
              </a:solidFill>
            </a:endParaRPr>
          </a:p>
        </c:rich>
      </c:tx>
      <c:layout/>
      <c:overlay val="0"/>
      <c:spPr bwMode="auto">
        <a:prstGeom prst="rect">
          <a:avLst/>
        </a:prstGeom>
        <a:noFill/>
        <a:ln>
          <a:noFill/>
        </a:ln>
      </c:spPr>
      <c:txPr>
        <a:bodyPr rot="0" spcFirstLastPara="true" vertOverflow="ellipsis" vert="horz" wrap="square" anchor="ctr" anchorCtr="true"/>
        <a:lstStyle/>
        <a:p>
          <a:pPr marL="0" marR="0" indent="0" algn="ctr" defTabSz="914400">
            <a:lnSpc>
              <a:spcPct val="100000"/>
            </a:lnSpc>
            <a:spcBef>
              <a:spcPts val="0"/>
            </a:spcBef>
            <a:spcAft>
              <a:spcPts val="0"/>
            </a:spcAft>
            <a:buClrTx/>
            <a:buSzTx/>
            <a:buFontTx/>
            <a:defRPr sz="1400" b="0" i="0" u="none" strike="noStrike" spc="0">
              <a:solidFill>
                <a:sysClr val="windowText" lastClr="000000">
                  <a:lumMod val="65000"/>
                  <a:lumOff val="35000"/>
                </a:sysClr>
              </a:solidFill>
              <a:latin typeface="+mn-lt"/>
              <a:ea typeface="+mn-ea"/>
              <a:cs typeface="+mn-cs"/>
            </a:defRPr>
          </a:pPr>
          <a:endParaRPr lang="uk-UA"/>
        </a:p>
      </c:txPr>
    </c:title>
    <c:autoTitleDeleted val="0"/>
    <c:plotArea>
      <c:layout>
        <c:manualLayout>
          <c:layoutTarget val="inner"/>
          <c:xMode val="edge"/>
          <c:yMode val="edge"/>
          <c:x val="0.10599418315953749"/>
          <c:y val="0.16616766467065866"/>
          <c:w val="0.86303734837199408"/>
          <c:h val="0.59370038484453247"/>
        </c:manualLayout>
      </c:layout>
      <c:barChart>
        <c:barDir val="col"/>
        <c:grouping val="clustered"/>
        <c:varyColors val="0"/>
        <c:ser>
          <c:idx val="0"/>
          <c:order val="0"/>
          <c:tx>
            <c:strRef>
              <c:f>Лист1!$B$1</c:f>
              <c:strCache>
                <c:ptCount val="1"/>
                <c:pt idx="0">
                  <c:v xml:space="preserve">Муніципальний сектор</c:v>
                </c:pt>
              </c:strCache>
            </c:strRef>
          </c:tx>
          <c:spPr bwMode="auto">
            <a:prstGeom prst="rect">
              <a:avLst/>
            </a:prstGeom>
            <a:solidFill>
              <a:schemeClr val="accent1"/>
            </a:solidFill>
            <a:ln>
              <a:noFill/>
            </a:ln>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1325</c:v>
                </c:pt>
                <c:pt idx="1">
                  <c:v>888</c:v>
                </c:pt>
                <c:pt idx="2">
                  <c:v>885</c:v>
                </c:pt>
              </c:numCache>
            </c:numRef>
          </c:val>
        </c:ser>
        <c:ser>
          <c:idx val="1"/>
          <c:order val="1"/>
          <c:tx>
            <c:strRef>
              <c:f>Лист1!$C$1</c:f>
              <c:strCache>
                <c:ptCount val="1"/>
                <c:pt idx="0">
                  <c:v>Населення</c:v>
                </c:pt>
              </c:strCache>
            </c:strRef>
          </c:tx>
          <c:spPr bwMode="auto">
            <a:prstGeom prst="rect">
              <a:avLst/>
            </a:prstGeom>
            <a:solidFill>
              <a:schemeClr val="accent2"/>
            </a:solidFill>
            <a:ln>
              <a:noFill/>
            </a:ln>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7685</c:v>
                </c:pt>
                <c:pt idx="1">
                  <c:v>7707</c:v>
                </c:pt>
                <c:pt idx="2">
                  <c:v>7706</c:v>
                </c:pt>
              </c:numCache>
            </c:numRef>
          </c:val>
        </c:ser>
        <c:ser>
          <c:idx val="2"/>
          <c:order val="2"/>
          <c:tx>
            <c:strRef>
              <c:f>Лист1!$D$1</c:f>
              <c:strCache>
                <c:ptCount val="1"/>
                <c:pt idx="0">
                  <c:v xml:space="preserve">Третинний сектор</c:v>
                </c:pt>
              </c:strCache>
            </c:strRef>
          </c:tx>
          <c:spPr bwMode="auto">
            <a:prstGeom prst="rect">
              <a:avLst/>
            </a:prstGeom>
            <a:solidFill>
              <a:schemeClr val="accent3"/>
            </a:solidFill>
            <a:ln>
              <a:noFill/>
            </a:ln>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2272</c:v>
                </c:pt>
                <c:pt idx="1">
                  <c:v>2267</c:v>
                </c:pt>
                <c:pt idx="2">
                  <c:v>2268</c:v>
                </c:pt>
              </c:numCache>
            </c:numRef>
          </c:val>
        </c:ser>
        <c:ser>
          <c:idx val="3"/>
          <c:order val="3"/>
          <c:tx>
            <c:strRef>
              <c:f>Лист1!$E$1</c:f>
              <c:strCache>
                <c:ptCount val="1"/>
                <c:pt idx="0">
                  <c:v>Промисловість</c:v>
                </c:pt>
              </c:strCache>
            </c:strRef>
          </c:tx>
          <c:spPr bwMode="auto">
            <a:prstGeom prst="rect">
              <a:avLst/>
            </a:prstGeom>
            <a:solidFill>
              <a:schemeClr val="accent4"/>
            </a:solidFill>
            <a:ln>
              <a:noFill/>
            </a:ln>
          </c:spPr>
          <c:invertIfNegative val="0"/>
          <c:cat>
            <c:numRef>
              <c:f>Лист1!$A$2:$A$4</c:f>
              <c:numCache>
                <c:formatCode>General</c:formatCode>
                <c:ptCount val="3"/>
                <c:pt idx="0">
                  <c:v>2017</c:v>
                </c:pt>
                <c:pt idx="1">
                  <c:v>2018</c:v>
                </c:pt>
                <c:pt idx="2">
                  <c:v>2019</c:v>
                </c:pt>
              </c:numCache>
            </c:numRef>
          </c:cat>
          <c:val>
            <c:numRef>
              <c:f>Лист1!$E$2:$E$4</c:f>
              <c:numCache>
                <c:formatCode>General</c:formatCode>
                <c:ptCount val="3"/>
                <c:pt idx="0">
                  <c:v>8001</c:v>
                </c:pt>
                <c:pt idx="1">
                  <c:v>7997</c:v>
                </c:pt>
                <c:pt idx="2">
                  <c:v>8015</c:v>
                </c:pt>
              </c:numCache>
            </c:numRef>
          </c:val>
        </c:ser>
        <c:ser>
          <c:idx val="4"/>
          <c:order val="4"/>
          <c:tx>
            <c:strRef>
              <c:f>Лист1!$F$1</c:f>
              <c:strCache>
                <c:ptCount val="1"/>
                <c:pt idx="0">
                  <c:v>Інші</c:v>
                </c:pt>
              </c:strCache>
            </c:strRef>
          </c:tx>
          <c:spPr bwMode="auto">
            <a:prstGeom prst="rect">
              <a:avLst/>
            </a:prstGeom>
            <a:solidFill>
              <a:schemeClr val="accent5"/>
            </a:solidFill>
            <a:ln>
              <a:noFill/>
            </a:ln>
          </c:spPr>
          <c:invertIfNegative val="0"/>
          <c:cat>
            <c:numRef>
              <c:f>Лист1!$A$2:$A$4</c:f>
              <c:numCache>
                <c:formatCode>General</c:formatCode>
                <c:ptCount val="3"/>
                <c:pt idx="0">
                  <c:v>2017</c:v>
                </c:pt>
                <c:pt idx="1">
                  <c:v>2018</c:v>
                </c:pt>
                <c:pt idx="2">
                  <c:v>2019</c:v>
                </c:pt>
              </c:numCache>
            </c:numRef>
          </c:cat>
          <c:val>
            <c:numRef>
              <c:f>Лист1!$F$2:$F$4</c:f>
              <c:numCache>
                <c:formatCode>General</c:formatCode>
                <c:ptCount val="3"/>
                <c:pt idx="0">
                  <c:v>2270</c:v>
                </c:pt>
                <c:pt idx="1">
                  <c:v>2270</c:v>
                </c:pt>
                <c:pt idx="2">
                  <c:v>2268</c:v>
                </c:pt>
              </c:numCache>
            </c:numRef>
          </c:val>
        </c:ser>
        <c:dLbls>
          <c:showBubbleSize val="0"/>
          <c:showCatName val="0"/>
          <c:showLeaderLines val="0"/>
          <c:showLegendKey val="0"/>
          <c:showPercent val="0"/>
          <c:showSerName val="0"/>
          <c:showVal val="0"/>
        </c:dLbls>
        <c:gapWidth val="219"/>
        <c:overlap val="-27"/>
        <c:axId val="152447896"/>
        <c:axId val="632709200"/>
      </c:barChart>
      <c:catAx>
        <c:axId val="152447896"/>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2709200"/>
        <c:crosses val="autoZero"/>
        <c:auto val="1"/>
        <c:lblAlgn val="ctr"/>
        <c:lblOffset val="100"/>
        <c:noMultiLvlLbl val="0"/>
      </c:catAx>
      <c:valAx>
        <c:axId val="632709200"/>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152447896"/>
        <c:crosses val="autoZero"/>
        <c:crossBetween val="between"/>
      </c:valAx>
      <c:spPr bwMode="auto">
        <a:prstGeom prst="rect">
          <a:avLst/>
        </a:prstGeom>
        <a:noFill/>
        <a:ln>
          <a:noFill/>
        </a:ln>
      </c:spPr>
    </c:plotArea>
    <c:legend>
      <c:legendPos val="b"/>
      <c:layout>
        <c:manualLayout>
          <c:xMode val="edge"/>
          <c:yMode val="edge"/>
          <c:x val="0.081551081887959884"/>
          <c:y val="0.82489654284012048"/>
          <c:w val="0.84262521308547766"/>
          <c:h val="0.16487850828462391"/>
        </c:manualLayout>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1" i="0" u="none" strike="noStrike" cap="all" spc="50">
                <a:solidFill>
                  <a:schemeClr val="tx1">
                    <a:lumMod val="65000"/>
                    <a:lumOff val="35000"/>
                  </a:schemeClr>
                </a:solidFill>
                <a:latin typeface="+mn-lt"/>
                <a:ea typeface="+mn-ea"/>
                <a:cs typeface="+mn-cs"/>
              </a:defRPr>
            </a:pPr>
            <a:r>
              <a:rPr lang="uk-UA"/>
              <a:t>Структура споживання електроенергії в базовому 2019 році</a:t>
            </a:r>
            <a:endParaRPr/>
          </a:p>
        </c:rich>
      </c:tx>
      <c:layout>
        <c:manualLayout>
          <c:xMode val="edge"/>
          <c:yMode val="edge"/>
          <c:x val="0.11811743943670849"/>
          <c:y val="0"/>
        </c:manualLayout>
      </c:layout>
      <c:overlay val="0"/>
      <c:spPr bwMode="auto">
        <a:prstGeom prst="rect">
          <a:avLst/>
        </a:prstGeom>
        <a:noFill/>
        <a:ln>
          <a:noFill/>
        </a:ln>
      </c:spPr>
      <c:txPr>
        <a:bodyPr rot="0" spcFirstLastPara="true" vertOverflow="ellipsis" vert="horz" wrap="square" anchor="ctr" anchorCtr="true"/>
        <a:lstStyle/>
        <a:p>
          <a:pPr>
            <a:defRPr sz="1400" b="1" i="0" u="none" strike="noStrike" cap="all" spc="5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034848820635831119"/>
          <c:y val="0.18085585585585587"/>
          <c:w val="0.62146799116997797"/>
          <c:h val="0.81914414414414416"/>
        </c:manualLayout>
      </c:layout>
      <c:pieChart>
        <c:varyColors val="1"/>
        <c:ser>
          <c:idx val="0"/>
          <c:order val="0"/>
          <c:tx>
            <c:strRef>
              <c:f>Лист1!$B$1</c:f>
              <c:strCache>
                <c:ptCount val="1"/>
                <c:pt idx="0">
                  <c:v>Продажи</c:v>
                </c:pt>
              </c:strCache>
            </c:strRef>
          </c:tx>
          <c:dPt>
            <c:idx val="0"/>
            <c:bubble3D val="0"/>
            <c:spPr bwMode="auto">
              <a:prstGeom prst="rect">
                <a:avLst/>
              </a:prstGeom>
              <a:solidFill>
                <a:schemeClr val="accent1"/>
              </a:solidFill>
              <a:ln>
                <a:noFill/>
              </a:ln>
            </c:spPr>
          </c:dPt>
          <c:dPt>
            <c:idx val="1"/>
            <c:bubble3D val="0"/>
            <c:spPr bwMode="auto">
              <a:prstGeom prst="rect">
                <a:avLst/>
              </a:prstGeom>
              <a:solidFill>
                <a:schemeClr val="accent2"/>
              </a:solidFill>
              <a:ln>
                <a:noFill/>
              </a:ln>
            </c:spPr>
          </c:dPt>
          <c:dPt>
            <c:idx val="2"/>
            <c:bubble3D val="0"/>
            <c:spPr bwMode="auto">
              <a:prstGeom prst="rect">
                <a:avLst/>
              </a:prstGeom>
              <a:solidFill>
                <a:srgbClr val="7030A0"/>
              </a:solidFill>
              <a:ln>
                <a:noFill/>
              </a:ln>
            </c:spPr>
          </c:dPt>
          <c:dPt>
            <c:idx val="3"/>
            <c:bubble3D val="0"/>
            <c:spPr bwMode="auto">
              <a:prstGeom prst="rect">
                <a:avLst/>
              </a:prstGeom>
              <a:solidFill>
                <a:schemeClr val="accent4"/>
              </a:solidFill>
              <a:ln>
                <a:noFill/>
              </a:ln>
            </c:spPr>
          </c:dPt>
          <c:dPt>
            <c:idx val="4"/>
            <c:bubble3D val="0"/>
            <c:spPr bwMode="auto">
              <a:prstGeom prst="rect">
                <a:avLst/>
              </a:prstGeom>
              <a:solidFill>
                <a:schemeClr val="accent5"/>
              </a:solidFill>
              <a:ln>
                <a:noFill/>
              </a:ln>
            </c:spPr>
          </c:dPt>
          <c:dLbls>
            <c:dLbl>
              <c:idx val="0"/>
              <c:dLblPos val="inEnd"/>
              <c:layout/>
              <c:showBubbleSize val="0"/>
              <c:showCatName val="0"/>
              <c:showLegendKey val="0"/>
              <c:showPercent val="1"/>
              <c:showSerName val="0"/>
              <c:showVal val="0"/>
              <c:tx>
                <c:rich>
                  <a:bodyPr/>
                  <a:lstStyle/>
                  <a:p>
                    <a:pPr>
                      <a:defRPr/>
                    </a:pPr>
                    <a:fld id="{C8DBAAF5-992B-45A1-8E06-C0349C94A32C}" type="PERCENTAGE">
                      <a:rPr lang="en-US">
                        <a:solidFill>
                          <a:schemeClr val="bg1"/>
                        </a:solidFill>
                      </a:rPr>
                      <a:t/>
                    </a:fld>
                    <a:endParaRPr lang="uk-UA"/>
                  </a:p>
                </c:rich>
              </c:tx>
            </c:dLbl>
            <c:dLbl>
              <c:idx val="2"/>
              <c:dLblPos val="inEnd"/>
              <c:layout/>
              <c:showBubbleSize val="0"/>
              <c:showCatName val="0"/>
              <c:showLegendKey val="0"/>
              <c:showPercent val="1"/>
              <c:showSerName val="0"/>
              <c:showVal val="0"/>
              <c:tx>
                <c:rich>
                  <a:bodyPr/>
                  <a:lstStyle/>
                  <a:p>
                    <a:pPr>
                      <a:defRPr/>
                    </a:pPr>
                    <a:fld id="{AC973181-8A7E-4438-9D1F-9AC30EAA8B23}" type="PERCENTAGE">
                      <a:rPr lang="en-US">
                        <a:solidFill>
                          <a:schemeClr val="bg1"/>
                        </a:solidFill>
                      </a:rPr>
                      <a:t/>
                    </a:fld>
                    <a:endParaRPr lang="uk-UA"/>
                  </a:p>
                </c:rich>
              </c:tx>
            </c:dLbl>
            <c:dLbl>
              <c:idx val="3"/>
              <c:dLblPos val="inEnd"/>
              <c:layout/>
              <c:showBubbleSize val="0"/>
              <c:showCatName val="0"/>
              <c:showLegendKey val="0"/>
              <c:showPercent val="1"/>
              <c:showSerName val="0"/>
              <c:showVal val="0"/>
              <c:tx>
                <c:rich>
                  <a:bodyPr/>
                  <a:lstStyle/>
                  <a:p>
                    <a:pPr>
                      <a:defRPr/>
                    </a:pPr>
                    <a:fld id="{523F17C8-B706-4ADE-9D73-BFE6BF535185}" type="PERCENTAGE">
                      <a:rPr lang="en-US">
                        <a:solidFill>
                          <a:schemeClr val="bg1"/>
                        </a:solidFill>
                      </a:rPr>
                      <a:t/>
                    </a:fld>
                    <a:endParaRPr lang="uk-UA"/>
                  </a:p>
                </c:rich>
              </c:tx>
            </c:dLbl>
            <c:dLbl>
              <c:idx val="4"/>
              <c:dLblPos val="inEnd"/>
              <c:layout/>
              <c:showBubbleSize val="0"/>
              <c:showCatName val="0"/>
              <c:showLegendKey val="0"/>
              <c:showPercent val="1"/>
              <c:showSerName val="0"/>
              <c:showVal val="0"/>
              <c:tx>
                <c:rich>
                  <a:bodyPr/>
                  <a:lstStyle/>
                  <a:p>
                    <a:pPr>
                      <a:defRPr/>
                    </a:pPr>
                    <a:fld id="{3A6AD195-6867-4585-9B98-155743134AEF}" type="PERCENTAGE">
                      <a:rPr lang="en-US">
                        <a:solidFill>
                          <a:schemeClr val="bg1"/>
                        </a:solidFill>
                      </a:rPr>
                      <a:t/>
                    </a:fld>
                    <a:endParaRPr lang="uk-UA"/>
                  </a:p>
                </c:rich>
              </c:tx>
            </c:dLbl>
            <c:dLblPos val="inEnd"/>
            <c:leaderLines>
              <c:spPr bwMode="auto">
                <a:prstGeom prst="rect">
                  <a:avLst/>
                </a:prstGeom>
                <a:ln w="9525" cap="flat" cmpd="sng" algn="ctr">
                  <a:solidFill>
                    <a:schemeClr val="tx1">
                      <a:lumMod val="35000"/>
                      <a:lumOff val="65000"/>
                    </a:schemeClr>
                  </a:solidFill>
                  <a:round/>
                </a:ln>
              </c:spPr>
            </c:leaderLines>
            <c:showBubbleSize val="0"/>
            <c:showCatName val="0"/>
            <c:showLeaderLines val="1"/>
            <c:showLegendKey val="0"/>
            <c:showPercent val="1"/>
            <c:showSerName val="0"/>
            <c:showVal val="0"/>
            <c:spPr bwMode="auto">
              <a:prstGeom prst="rect">
                <a:avLst/>
              </a:prstGeom>
              <a:noFill/>
              <a:ln>
                <a:noFill/>
              </a:ln>
            </c:spPr>
            <c:txPr>
              <a:bodyPr rot="0" spcFirstLastPara="true" vertOverflow="ellipsis" vert="horz" wrap="square" lIns="38100" tIns="19050" rIns="38100" bIns="19050" anchor="ctr" anchorCtr="true">
                <a:spAutoFit/>
              </a:bodyPr>
              <a:lstStyle/>
              <a:p>
                <a:pPr>
                  <a:defRPr sz="1000" b="1" i="0" u="none" strike="noStrike">
                    <a:solidFill>
                      <a:sysClr val="windowText" lastClr="000000"/>
                    </a:solidFill>
                    <a:latin typeface="+mn-lt"/>
                    <a:ea typeface="+mn-ea"/>
                    <a:cs typeface="+mn-cs"/>
                  </a:defRPr>
                </a:pPr>
                <a:endParaRPr lang="uk-UA"/>
              </a:p>
            </c:txPr>
          </c:dLbls>
          <c:cat>
            <c:strRef>
              <c:f>Лист1!$A$2:$A$6</c:f>
              <c:strCache>
                <c:ptCount val="5"/>
                <c:pt idx="0">
                  <c:v xml:space="preserve">Муніципальний сектор</c:v>
                </c:pt>
                <c:pt idx="1">
                  <c:v>Населення</c:v>
                </c:pt>
                <c:pt idx="2">
                  <c:v xml:space="preserve">Третинний сектор</c:v>
                </c:pt>
                <c:pt idx="3">
                  <c:v>Промисловість</c:v>
                </c:pt>
                <c:pt idx="4">
                  <c:v>Інші</c:v>
                </c:pt>
              </c:strCache>
            </c:strRef>
          </c:cat>
          <c:val>
            <c:numRef>
              <c:f>Лист1!$B$2:$B$6</c:f>
              <c:numCache>
                <c:formatCode>General</c:formatCode>
                <c:ptCount val="5"/>
                <c:pt idx="0">
                  <c:v>885</c:v>
                </c:pt>
                <c:pt idx="1">
                  <c:v>7706</c:v>
                </c:pt>
                <c:pt idx="2">
                  <c:v>2268</c:v>
                </c:pt>
                <c:pt idx="3">
                  <c:v>8015</c:v>
                </c:pt>
                <c:pt idx="4">
                  <c:v>2269</c:v>
                </c:pt>
              </c:numCache>
            </c:numRef>
          </c:val>
        </c:ser>
        <c:dLbls>
          <c:dLblPos val="inEnd"/>
          <c:showBubbleSize val="0"/>
          <c:showCatName val="0"/>
          <c:showLeaderLines val="1"/>
          <c:showLegendKey val="0"/>
          <c:showPercent val="1"/>
          <c:showSerName val="0"/>
          <c:showVal val="0"/>
        </c:dLbls>
        <c:firstSliceAng val="0"/>
      </c:pieChart>
      <c:spPr bwMode="auto">
        <a:prstGeom prst="rect">
          <a:avLst/>
        </a:prstGeom>
        <a:noFill/>
        <a:ln>
          <a:noFill/>
        </a:ln>
      </c:spPr>
    </c:plotArea>
    <c:legend>
      <c:legendPos val="r"/>
      <c:layout>
        <c:manualLayout>
          <c:xMode val="edge"/>
          <c:yMode val="edge"/>
          <c:x val="0.70443238110594542"/>
          <c:y val="0.28958255218097734"/>
          <c:w val="0.27850277247767236"/>
          <c:h val="0.50981196794845085"/>
        </c:manualLayout>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r>
              <a:rPr lang="uk-UA" sz="1200" b="0">
                <a:solidFill>
                  <a:sysClr val="windowText" lastClr="000000"/>
                </a:solidFill>
              </a:rPr>
              <a:t>Водопостачання</a:t>
            </a:r>
            <a:r>
              <a:rPr lang="uk-UA" sz="1200" b="0">
                <a:solidFill>
                  <a:sysClr val="windowText" lastClr="000000"/>
                </a:solidFill>
              </a:rPr>
              <a:t> за категоріями споживачів в тис м</a:t>
            </a:r>
            <a:r>
              <a:rPr lang="uk-UA" sz="1200" b="0" baseline="30000">
                <a:solidFill>
                  <a:sysClr val="windowText" lastClr="000000"/>
                </a:solidFill>
              </a:rPr>
              <a:t>3</a:t>
            </a:r>
            <a:endParaRPr lang="uk-UA" sz="1200" b="0">
              <a:solidFill>
                <a:sysClr val="windowText" lastClr="000000"/>
              </a:solidFill>
            </a:endParaRPr>
          </a:p>
        </c:rich>
      </c:tx>
      <c:layout/>
      <c:overlay val="0"/>
      <c:spPr bwMode="auto">
        <a:prstGeom prst="rect">
          <a:avLst/>
        </a:prstGeom>
        <a:noFill/>
        <a:ln>
          <a:noFill/>
        </a:ln>
      </c:spPr>
      <c:txPr>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 xml:space="preserve">Муніципальні будівлі</c:v>
                </c:pt>
              </c:strCache>
            </c:strRef>
          </c:tx>
          <c:spPr bwMode="auto">
            <a:prstGeom prst="rect">
              <a:avLst/>
            </a:prstGeom>
            <a:solidFill>
              <a:schemeClr val="accent1"/>
            </a:solidFill>
            <a:ln>
              <a:noFill/>
            </a:ln>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26</c:v>
                </c:pt>
                <c:pt idx="1">
                  <c:v>24</c:v>
                </c:pt>
                <c:pt idx="2">
                  <c:v>24</c:v>
                </c:pt>
              </c:numCache>
            </c:numRef>
          </c:val>
        </c:ser>
        <c:ser>
          <c:idx val="1"/>
          <c:order val="1"/>
          <c:tx>
            <c:strRef>
              <c:f>Лист1!$C$1</c:f>
              <c:strCache>
                <c:ptCount val="1"/>
                <c:pt idx="0">
                  <c:v>Населення</c:v>
                </c:pt>
              </c:strCache>
            </c:strRef>
          </c:tx>
          <c:spPr bwMode="auto">
            <a:prstGeom prst="rect">
              <a:avLst/>
            </a:prstGeom>
            <a:solidFill>
              <a:srgbClr val="00B050"/>
            </a:solidFill>
            <a:ln>
              <a:noFill/>
            </a:ln>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3760</c:v>
                </c:pt>
                <c:pt idx="1">
                  <c:v>3580</c:v>
                </c:pt>
                <c:pt idx="2">
                  <c:v>3533</c:v>
                </c:pt>
              </c:numCache>
            </c:numRef>
          </c:val>
        </c:ser>
        <c:ser>
          <c:idx val="2"/>
          <c:order val="2"/>
          <c:tx>
            <c:strRef>
              <c:f>Лист1!$D$1</c:f>
              <c:strCache>
                <c:ptCount val="1"/>
                <c:pt idx="0">
                  <c:v>Промисловість</c:v>
                </c:pt>
              </c:strCache>
            </c:strRef>
          </c:tx>
          <c:spPr bwMode="auto">
            <a:prstGeom prst="rect">
              <a:avLst/>
            </a:prstGeom>
            <a:solidFill>
              <a:schemeClr val="accent3"/>
            </a:solidFill>
            <a:ln>
              <a:noFill/>
            </a:ln>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113</c:v>
                </c:pt>
                <c:pt idx="1">
                  <c:v>96</c:v>
                </c:pt>
                <c:pt idx="2">
                  <c:v>97</c:v>
                </c:pt>
              </c:numCache>
            </c:numRef>
          </c:val>
        </c:ser>
        <c:dLbls>
          <c:showBubbleSize val="0"/>
          <c:showCatName val="0"/>
          <c:showLeaderLines val="0"/>
          <c:showLegendKey val="0"/>
          <c:showPercent val="0"/>
          <c:showSerName val="0"/>
          <c:showVal val="0"/>
        </c:dLbls>
        <c:gapWidth val="219"/>
        <c:overlap val="-27"/>
        <c:axId val="632710768"/>
        <c:axId val="632711160"/>
      </c:barChart>
      <c:catAx>
        <c:axId val="632710768"/>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2711160"/>
        <c:crosses val="autoZero"/>
        <c:auto val="1"/>
        <c:lblAlgn val="ctr"/>
        <c:lblOffset val="100"/>
        <c:noMultiLvlLbl val="0"/>
      </c:catAx>
      <c:valAx>
        <c:axId val="632711160"/>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2710768"/>
        <c:crosses val="autoZero"/>
        <c:crossBetween val="between"/>
      </c:valAx>
      <c:spPr bwMode="auto">
        <a:prstGeom prst="rect">
          <a:avLst/>
        </a:prstGeom>
        <a:noFill/>
        <a:ln>
          <a:noFill/>
        </a:ln>
      </c:spPr>
    </c:plotArea>
    <c:legend>
      <c:legendPos val="b"/>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r>
              <a:rPr lang="uk-UA" sz="1200" b="0">
                <a:solidFill>
                  <a:sysClr val="windowText" lastClr="000000"/>
                </a:solidFill>
              </a:rPr>
              <a:t>Водовідведення </a:t>
            </a:r>
            <a:r>
              <a:rPr lang="uk-UA" sz="1200" b="0">
                <a:solidFill>
                  <a:sysClr val="windowText" lastClr="000000"/>
                </a:solidFill>
              </a:rPr>
              <a:t>за категоріями споживачів в тис м</a:t>
            </a:r>
            <a:r>
              <a:rPr lang="uk-UA" sz="1200" b="0" baseline="30000">
                <a:solidFill>
                  <a:sysClr val="windowText" lastClr="000000"/>
                </a:solidFill>
              </a:rPr>
              <a:t>3</a:t>
            </a:r>
            <a:endParaRPr lang="uk-UA" sz="1200" b="0">
              <a:solidFill>
                <a:sysClr val="windowText" lastClr="000000"/>
              </a:solidFill>
            </a:endParaRPr>
          </a:p>
        </c:rich>
      </c:tx>
      <c:layout/>
      <c:overlay val="0"/>
      <c:spPr bwMode="auto">
        <a:prstGeom prst="rect">
          <a:avLst/>
        </a:prstGeom>
        <a:noFill/>
        <a:ln>
          <a:noFill/>
        </a:ln>
      </c:spPr>
      <c:txPr>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 xml:space="preserve">Муніципальні будівлі</c:v>
                </c:pt>
              </c:strCache>
            </c:strRef>
          </c:tx>
          <c:spPr bwMode="auto">
            <a:prstGeom prst="rect">
              <a:avLst/>
            </a:prstGeom>
            <a:solidFill>
              <a:schemeClr val="accent1"/>
            </a:solidFill>
            <a:ln>
              <a:noFill/>
            </a:ln>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10</c:v>
                </c:pt>
                <c:pt idx="1">
                  <c:v>10</c:v>
                </c:pt>
                <c:pt idx="2">
                  <c:v>10</c:v>
                </c:pt>
              </c:numCache>
            </c:numRef>
          </c:val>
        </c:ser>
        <c:ser>
          <c:idx val="1"/>
          <c:order val="1"/>
          <c:tx>
            <c:strRef>
              <c:f>Лист1!$C$1</c:f>
              <c:strCache>
                <c:ptCount val="1"/>
                <c:pt idx="0">
                  <c:v>Населення</c:v>
                </c:pt>
              </c:strCache>
            </c:strRef>
          </c:tx>
          <c:spPr bwMode="auto">
            <a:prstGeom prst="rect">
              <a:avLst/>
            </a:prstGeom>
            <a:solidFill>
              <a:srgbClr val="00B050"/>
            </a:solidFill>
            <a:ln>
              <a:noFill/>
            </a:ln>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889</c:v>
                </c:pt>
                <c:pt idx="1">
                  <c:v>880</c:v>
                </c:pt>
                <c:pt idx="2">
                  <c:v>895</c:v>
                </c:pt>
              </c:numCache>
            </c:numRef>
          </c:val>
        </c:ser>
        <c:ser>
          <c:idx val="2"/>
          <c:order val="2"/>
          <c:tx>
            <c:strRef>
              <c:f>Лист1!$D$1</c:f>
              <c:strCache>
                <c:ptCount val="1"/>
                <c:pt idx="0">
                  <c:v>Промисловість</c:v>
                </c:pt>
              </c:strCache>
            </c:strRef>
          </c:tx>
          <c:spPr bwMode="auto">
            <a:prstGeom prst="rect">
              <a:avLst/>
            </a:prstGeom>
            <a:solidFill>
              <a:schemeClr val="accent3"/>
            </a:solidFill>
            <a:ln>
              <a:noFill/>
            </a:ln>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46</c:v>
                </c:pt>
                <c:pt idx="1">
                  <c:v>43</c:v>
                </c:pt>
                <c:pt idx="2">
                  <c:v>44</c:v>
                </c:pt>
              </c:numCache>
            </c:numRef>
          </c:val>
        </c:ser>
        <c:dLbls>
          <c:showBubbleSize val="0"/>
          <c:showCatName val="0"/>
          <c:showLeaderLines val="0"/>
          <c:showLegendKey val="0"/>
          <c:showPercent val="0"/>
          <c:showSerName val="0"/>
          <c:showVal val="0"/>
        </c:dLbls>
        <c:gapWidth val="219"/>
        <c:overlap val="-27"/>
        <c:axId val="632710376"/>
        <c:axId val="632711944"/>
      </c:barChart>
      <c:catAx>
        <c:axId val="632710376"/>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2711944"/>
        <c:crosses val="autoZero"/>
        <c:auto val="1"/>
        <c:lblAlgn val="ctr"/>
        <c:lblOffset val="100"/>
        <c:noMultiLvlLbl val="0"/>
      </c:catAx>
      <c:valAx>
        <c:axId val="632711944"/>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2710376"/>
        <c:crosses val="autoZero"/>
        <c:crossBetween val="between"/>
      </c:valAx>
      <c:spPr bwMode="auto">
        <a:prstGeom prst="rect">
          <a:avLst/>
        </a:prstGeom>
        <a:noFill/>
        <a:ln>
          <a:noFill/>
        </a:ln>
      </c:spPr>
    </c:plotArea>
    <c:legend>
      <c:legendPos val="b"/>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600" b="1" i="0" u="none" strike="noStrike" cap="all" spc="120">
                <a:solidFill>
                  <a:schemeClr val="tx1">
                    <a:lumMod val="65000"/>
                    <a:lumOff val="35000"/>
                  </a:schemeClr>
                </a:solidFill>
                <a:latin typeface="+mn-lt"/>
                <a:ea typeface="+mn-ea"/>
                <a:cs typeface="+mn-cs"/>
              </a:defRPr>
            </a:pPr>
            <a:r>
              <a:rPr lang="uk-UA" sz="1100">
                <a:solidFill>
                  <a:sysClr val="windowText" lastClr="000000"/>
                </a:solidFill>
                <a:latin typeface="Arial"/>
                <a:cs typeface="Arial"/>
              </a:rPr>
              <a:t>Загальне використання</a:t>
            </a:r>
            <a:r>
              <a:rPr lang="uk-UA" sz="1100">
                <a:solidFill>
                  <a:sysClr val="windowText" lastClr="000000"/>
                </a:solidFill>
                <a:latin typeface="Arial"/>
                <a:cs typeface="Arial"/>
              </a:rPr>
              <a:t> електроенергії в мвт*год на вуличне освітлення</a:t>
            </a:r>
            <a:endParaRPr lang="uk-UA" sz="1100">
              <a:solidFill>
                <a:sysClr val="windowText" lastClr="000000"/>
              </a:solidFill>
              <a:latin typeface="Arial"/>
              <a:cs typeface="Arial"/>
            </a:endParaRPr>
          </a:p>
        </c:rich>
      </c:tx>
      <c:layout/>
      <c:overlay val="0"/>
      <c:spPr bwMode="auto">
        <a:prstGeom prst="rect">
          <a:avLst/>
        </a:prstGeom>
        <a:noFill/>
        <a:ln>
          <a:noFill/>
        </a:ln>
      </c:spPr>
      <c:txPr>
        <a:bodyPr rot="0" spcFirstLastPara="true" vertOverflow="ellipsis" vert="horz" wrap="square" anchor="ctr" anchorCtr="true"/>
        <a:lstStyle/>
        <a:p>
          <a:pPr>
            <a:defRPr sz="1600" b="1" i="0" u="none" strike="noStrike" cap="all" spc="12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068558082337609891"/>
          <c:y val="0.39141488127937496"/>
          <c:w val="0.8864105348900353"/>
          <c:h val="0.4819050234999695"/>
        </c:manualLayout>
      </c:layout>
      <c:lineChart>
        <c:grouping val="standard"/>
        <c:varyColors val="0"/>
        <c:ser>
          <c:idx val="0"/>
          <c:order val="0"/>
          <c:tx>
            <c:strRef>
              <c:f>Лист1!$B$1</c:f>
              <c:strCache>
                <c:ptCount val="1"/>
                <c:pt idx="0">
                  <c:v xml:space="preserve">Ряд 1</c:v>
                </c:pt>
              </c:strCache>
            </c:strRef>
          </c:tx>
          <c:spPr bwMode="auto">
            <a:prstGeom prst="rect">
              <a:avLst/>
            </a:prstGeom>
            <a:ln w="57150" cap="rnd">
              <a:solidFill>
                <a:srgbClr val="0070C0"/>
              </a:solidFill>
              <a:round/>
            </a:ln>
          </c:spPr>
          <c:marker>
            <c:symbol val="diamond"/>
            <c:size val="6"/>
            <c:spPr bwMode="auto">
              <a:prstGeom prst="rect">
                <a:avLst/>
              </a:prstGeom>
              <a:solidFill>
                <a:srgbClr val="00B0F0"/>
              </a:solidFill>
              <a:ln w="57150">
                <a:solidFill>
                  <a:srgbClr val="0070C0"/>
                </a:solidFill>
                <a:round/>
              </a:ln>
            </c:spPr>
          </c:marker>
          <c:dLbls>
            <c:dLblPos val="t"/>
            <c:showBubbleSize val="0"/>
            <c:showCatName val="0"/>
            <c:showLeaderLines val="0"/>
            <c:showLegendKey val="0"/>
            <c:showPercent val="0"/>
            <c:showSerName val="0"/>
            <c:showVal val="1"/>
            <c:spPr bwMode="auto">
              <a:prstGeom prst="rect">
                <a:avLst/>
              </a:prstGeom>
              <a:noFill/>
              <a:ln>
                <a:noFill/>
              </a:ln>
            </c:spPr>
            <c:txPr>
              <a:bodyPr rot="0" spcFirstLastPara="true" vertOverflow="ellipsis" vert="horz" wrap="square" lIns="38100" tIns="19050" rIns="38100" bIns="19050" anchor="ctr" anchorCtr="true">
                <a:spAutoFit/>
              </a:bodyPr>
              <a:lstStyle/>
              <a:p>
                <a:pPr>
                  <a:defRPr sz="900" b="0" i="0" u="none" strike="noStrike">
                    <a:solidFill>
                      <a:schemeClr val="tx1">
                        <a:lumMod val="50000"/>
                        <a:lumOff val="50000"/>
                      </a:schemeClr>
                    </a:solidFill>
                    <a:latin typeface="+mn-lt"/>
                    <a:ea typeface="+mn-ea"/>
                    <a:cs typeface="+mn-cs"/>
                  </a:defRPr>
                </a:pPr>
                <a:endParaRPr lang="uk-UA"/>
              </a:p>
            </c:txPr>
          </c:dLbls>
          <c:cat>
            <c:numRef>
              <c:f>Лист1!$A$2:$A$3</c:f>
              <c:numCache>
                <c:formatCode>General</c:formatCode>
                <c:ptCount val="2"/>
                <c:pt idx="0">
                  <c:v>2018</c:v>
                </c:pt>
                <c:pt idx="1">
                  <c:v>2019</c:v>
                </c:pt>
              </c:numCache>
            </c:numRef>
          </c:cat>
          <c:val>
            <c:numRef>
              <c:f>Лист1!$B$2:$B$3</c:f>
              <c:numCache>
                <c:formatCode>General</c:formatCode>
                <c:ptCount val="2"/>
                <c:pt idx="0">
                  <c:v>282</c:v>
                </c:pt>
                <c:pt idx="1">
                  <c:v>278</c:v>
                </c:pt>
              </c:numCache>
            </c:numRef>
          </c:val>
          <c:smooth val="0"/>
        </c:ser>
        <c:dLbls>
          <c:showBubbleSize val="0"/>
          <c:showCatName val="0"/>
          <c:showLeaderLines val="0"/>
          <c:showLegendKey val="0"/>
          <c:showPercent val="0"/>
          <c:showSerName val="0"/>
          <c:showVal val="0"/>
        </c:dLbls>
        <c:marker val="1"/>
        <c:smooth val="0"/>
        <c:axId val="632705280"/>
        <c:axId val="632704104"/>
      </c:lineChart>
      <c:catAx>
        <c:axId val="632705280"/>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800" b="0" i="0" u="none" strike="noStrike" cap="all" spc="120">
                <a:solidFill>
                  <a:schemeClr val="tx1">
                    <a:lumMod val="65000"/>
                    <a:lumOff val="35000"/>
                  </a:schemeClr>
                </a:solidFill>
                <a:latin typeface="+mn-lt"/>
                <a:ea typeface="+mn-ea"/>
                <a:cs typeface="+mn-cs"/>
              </a:defRPr>
            </a:pPr>
            <a:endParaRPr lang="uk-UA"/>
          </a:p>
        </c:txPr>
        <c:crossAx val="632704104"/>
        <c:crosses val="autoZero"/>
        <c:auto val="1"/>
        <c:lblAlgn val="ctr"/>
        <c:lblOffset val="100"/>
        <c:noMultiLvlLbl val="0"/>
      </c:catAx>
      <c:valAx>
        <c:axId val="632704104"/>
        <c:scaling>
          <c:orientation val="minMax"/>
        </c:scaling>
        <c:delete val="0"/>
        <c:axPos val="l"/>
        <c:numFmt formatCode="General" sourceLinked="1"/>
        <c:majorTickMark val="none"/>
        <c:minorTickMark val="none"/>
        <c:tickLblPos val="nextTo"/>
        <c:spPr bwMode="auto">
          <a:prstGeom prst="rect">
            <a:avLst/>
          </a:prstGeom>
          <a:noFill/>
          <a:ln w="9525" cap="flat" cmpd="sng" algn="ctr">
            <a:no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2705280"/>
        <c:crosses val="autoZero"/>
        <c:crossBetween val="between"/>
      </c:valAx>
      <c:spPr bwMode="auto">
        <a:prstGeom prst="rect">
          <a:avLst/>
        </a:prstGeom>
        <a:noFill/>
        <a:ln>
          <a:noFill/>
        </a:ln>
      </c:spPr>
    </c:plotArea>
    <c:plotVisOnly val="1"/>
    <c:dispBlanksAs val="gap"/>
    <c:showDLblsOverMax val="0"/>
  </c:chart>
  <c:spPr bwMode="auto">
    <a:prstGeom prst="rect">
      <a:avLst/>
    </a:prstGeom>
    <a:solidFill>
      <a:schemeClr val="lt1"/>
    </a:solidFill>
    <a:ln w="9525" cap="flat" cmpd="sng" algn="ctr">
      <a:noFill/>
      <a:round/>
    </a:ln>
  </c:spPr>
  <c:txPr>
    <a:bodyPr/>
    <a:lstStyle/>
    <a:p>
      <a:pPr>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600" b="1" i="0" u="none" strike="noStrike">
                <a:solidFill>
                  <a:schemeClr val="tx1">
                    <a:lumMod val="65000"/>
                    <a:lumOff val="35000"/>
                  </a:schemeClr>
                </a:solidFill>
                <a:latin typeface="+mn-lt"/>
                <a:ea typeface="+mn-ea"/>
                <a:cs typeface="+mn-cs"/>
              </a:defRPr>
            </a:pPr>
            <a:r>
              <a:rPr lang="uk-UA"/>
              <a:t>Частка виду енергії, спожитої в сумарному споживанні кінцевої енергії в базовому 2019 році</a:t>
            </a:r>
            <a:endParaRPr/>
          </a:p>
        </c:rich>
      </c:tx>
      <c:layout>
        <c:manualLayout>
          <c:xMode val="edge"/>
          <c:yMode val="edge"/>
          <c:x val="0.12983222620501567"/>
          <c:y val="0"/>
        </c:manualLayout>
      </c:layout>
      <c:overlay val="0"/>
      <c:spPr bwMode="auto">
        <a:prstGeom prst="rect">
          <a:avLst/>
        </a:prstGeom>
        <a:noFill/>
        <a:ln>
          <a:noFill/>
        </a:ln>
      </c:spPr>
      <c:txPr>
        <a:bodyPr rot="0" spcFirstLastPara="true" vertOverflow="ellipsis" vert="horz" wrap="square" anchor="ctr" anchorCtr="true"/>
        <a:lstStyle/>
        <a:p>
          <a:pPr>
            <a:defRPr sz="1600" b="1" i="0" u="none" strike="noStrike">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
          <c:y val="0.25439242897488168"/>
          <c:w val="1"/>
          <c:h val="0.66330334344879216"/>
        </c:manualLayout>
      </c:layout>
      <c:pie3DChart>
        <c:varyColors val="1"/>
        <c:ser>
          <c:idx val="0"/>
          <c:order val="0"/>
          <c:tx>
            <c:strRef>
              <c:f>Лист1!$B$1</c:f>
              <c:strCache>
                <c:ptCount val="1"/>
                <c:pt idx="0">
                  <c:v>Столбец1</c:v>
                </c:pt>
              </c:strCache>
            </c:strRef>
          </c:tx>
          <c:dPt>
            <c:idx val="0"/>
            <c:bubble3D val="0"/>
            <c:spPr bwMode="auto">
              <a:prstGeom prst="rect">
                <a:avLst/>
              </a:prstGeom>
              <a:solidFill>
                <a:srgbClr val="7030A0"/>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1"/>
            <c:bubble3D val="0"/>
            <c:spPr bwMode="auto">
              <a:prstGeom prst="rect">
                <a:avLst/>
              </a:prstGeom>
              <a:solidFill>
                <a:schemeClr val="accent4"/>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2"/>
            <c:bubble3D val="0"/>
            <c:spPr bwMode="auto">
              <a:prstGeom prst="rect">
                <a:avLst/>
              </a:prstGeom>
              <a:solidFill>
                <a:srgbClr val="00B0F0"/>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3"/>
            <c:bubble3D val="0"/>
            <c:spPr bwMode="auto">
              <a:prstGeom prst="rect">
                <a:avLst/>
              </a:prstGeom>
              <a:solidFill>
                <a:srgbClr val="00B050"/>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4"/>
            <c:bubble3D val="0"/>
            <c:spPr bwMode="auto">
              <a:prstGeom prst="rect">
                <a:avLst/>
              </a:prstGeom>
              <a:solidFill>
                <a:srgbClr val="FFFF00"/>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5"/>
            <c:bubble3D val="0"/>
            <c:spPr bwMode="auto">
              <a:prstGeom prst="rect">
                <a:avLst/>
              </a:prstGeom>
              <a:solidFill>
                <a:srgbClr val="0070C0"/>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6"/>
            <c:bubble3D val="0"/>
            <c:spPr bwMode="auto">
              <a:prstGeom prst="rect">
                <a:avLst/>
              </a:prstGeom>
              <a:solidFill>
                <a:srgbClr val="FFC000"/>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7"/>
            <c:bubble3D val="0"/>
            <c:spPr bwMode="auto">
              <a:prstGeom prst="rect">
                <a:avLst/>
              </a:prstGeom>
              <a:solidFill>
                <a:schemeClr val="accent6"/>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Lbls>
            <c:dLbl>
              <c:idx val="0"/>
              <c:dLblPos val="bestFit"/>
              <c:layout>
                <c:manualLayout>
                  <c:x val="-0.029291154071470416"/>
                  <c:y val="-0.02692998204667869"/>
                </c:manualLayout>
              </c:layout>
              <c:showBubbleSize val="0"/>
              <c:showCatName val="1"/>
              <c:showLegendKey val="0"/>
              <c:showPercent val="1"/>
              <c:showSerName val="0"/>
              <c:showVal val="0"/>
            </c:dLbl>
            <c:dLbl>
              <c:idx val="1"/>
              <c:dLblPos val="bestFit"/>
              <c:layout>
                <c:manualLayout>
                  <c:x val="-1.0739965757204915e-16"/>
                  <c:y val="-0.092758827049670853"/>
                </c:manualLayout>
              </c:layout>
              <c:showBubbleSize val="0"/>
              <c:showCatName val="1"/>
              <c:showLegendKey val="0"/>
              <c:showPercent val="1"/>
              <c:showSerName val="0"/>
              <c:showVal val="0"/>
            </c:dLbl>
            <c:dLbl>
              <c:idx val="2"/>
              <c:dLblPos val="bestFit"/>
              <c:layout>
                <c:manualLayout>
                  <c:x val="0.039932744850777635"/>
                  <c:y val="0.00562769390064774"/>
                </c:manualLayout>
              </c:layout>
              <c:showBubbleSize val="0"/>
              <c:showCatName val="1"/>
              <c:showLegendKey val="0"/>
              <c:showPercent val="1"/>
              <c:showSerName val="0"/>
              <c:showVal val="0"/>
            </c:dLbl>
            <c:dLbl>
              <c:idx val="3"/>
              <c:dLblPos val="bestFit"/>
              <c:layout>
                <c:manualLayout>
                  <c:x val="-0.050441361916771753"/>
                  <c:y val="-0.12996941896024464"/>
                </c:manualLayout>
              </c:layout>
              <c:showBubbleSize val="0"/>
              <c:showCatName val="1"/>
              <c:showLegendKey val="0"/>
              <c:showPercent val="1"/>
              <c:showSerName val="0"/>
              <c:showVal val="0"/>
            </c:dLbl>
            <c:dLbl>
              <c:idx val="4"/>
              <c:dLblPos val="bestFit"/>
              <c:layout>
                <c:manualLayout>
                  <c:x val="-0.048339638503572965"/>
                  <c:y val="0.053516819571865375"/>
                </c:manualLayout>
              </c:layout>
              <c:showBubbleSize val="0"/>
              <c:showCatName val="1"/>
              <c:showLegendKey val="0"/>
              <c:showPercent val="1"/>
              <c:showSerName val="0"/>
              <c:showVal val="0"/>
            </c:dLbl>
            <c:dLbl>
              <c:idx val="5"/>
              <c:dLblPos val="bestFit"/>
              <c:layout>
                <c:manualLayout>
                  <c:x val="-0.018915510718789368"/>
                  <c:y val="0"/>
                </c:manualLayout>
              </c:layout>
              <c:showBubbleSize val="0"/>
              <c:showCatName val="1"/>
              <c:showLegendKey val="0"/>
              <c:showPercent val="1"/>
              <c:showSerName val="0"/>
              <c:showVal val="0"/>
            </c:dLbl>
            <c:dLbl>
              <c:idx val="6"/>
              <c:dLblPos val="bestFit"/>
              <c:layout>
                <c:manualLayout>
                  <c:x val="0.037831021437578737"/>
                  <c:y val="-0.0038226299694189602"/>
                </c:manualLayout>
              </c:layout>
              <c:showBubbleSize val="0"/>
              <c:showCatName val="1"/>
              <c:showLegendKey val="0"/>
              <c:showPercent val="1"/>
              <c:showSerName val="0"/>
              <c:showVal val="0"/>
            </c:dLbl>
            <c:dLbl>
              <c:idx val="7"/>
              <c:dLblPos val="bestFit"/>
              <c:layout>
                <c:manualLayout>
                  <c:x val="0.056746532156368219"/>
                  <c:y val="-0.015290519877675823"/>
                </c:manualLayout>
              </c:layout>
              <c:showBubbleSize val="0"/>
              <c:showCatName val="1"/>
              <c:showLegendKey val="0"/>
              <c:showPercent val="1"/>
              <c:showSerName val="0"/>
              <c:showVal val="0"/>
            </c:dLbl>
            <c:dLblPos val="outEnd"/>
            <c:showBubbleSize val="0"/>
            <c:showCatName val="1"/>
            <c:showLeaderLines val="0"/>
            <c:showLegendKey val="0"/>
            <c:showPercent val="1"/>
            <c:showSerName val="0"/>
            <c:showVal val="0"/>
            <c:spPr bwMode="auto">
              <a:prstGeom prst="rect">
                <a:avLst/>
              </a:prstGeom>
              <a:solidFill>
                <a:sysClr val="window" lastClr="ffffff"/>
              </a:solidFill>
              <a:ln>
                <a:solidFill>
                  <a:sysClr val="windowText" lastClr="000000">
                    <a:lumMod val="25000"/>
                    <a:lumOff val="75000"/>
                  </a:sysClr>
                </a:solidFill>
              </a:ln>
            </c:spPr>
            <c:txPr>
              <a:bodyPr rot="0" spcFirstLastPara="true" vertOverflow="clip" horzOverflow="clip" vert="horz" wrap="square" lIns="38100" tIns="19050" rIns="38100" bIns="19050" anchor="ctr" anchorCtr="true">
                <a:spAutoFit/>
              </a:bodyPr>
              <a:lstStyle/>
              <a:p>
                <a:pPr>
                  <a:defRPr sz="900" b="0" i="0" u="none" strike="noStrike">
                    <a:solidFill>
                      <a:schemeClr val="dk1">
                        <a:lumMod val="65000"/>
                        <a:lumOff val="35000"/>
                      </a:schemeClr>
                    </a:solidFill>
                    <a:latin typeface="+mn-lt"/>
                    <a:ea typeface="+mn-ea"/>
                    <a:cs typeface="+mn-cs"/>
                  </a:defRPr>
                </a:pPr>
                <a:endParaRPr lang="uk-UA"/>
              </a:p>
            </c:txPr>
          </c:dLbls>
          <c:cat>
            <c:strRef>
              <c:f>Лист1!$A$2:$A$9</c:f>
              <c:strCache>
                <c:ptCount val="8"/>
                <c:pt idx="0">
                  <c:v>Електроенергія</c:v>
                </c:pt>
                <c:pt idx="1">
                  <c:v xml:space="preserve">Зріджений газ</c:v>
                </c:pt>
                <c:pt idx="2">
                  <c:v>Теплоенергія</c:v>
                </c:pt>
                <c:pt idx="3">
                  <c:v xml:space="preserve">Природній газ</c:v>
                </c:pt>
                <c:pt idx="4">
                  <c:v xml:space="preserve">Бензин </c:v>
                </c:pt>
                <c:pt idx="5">
                  <c:v>Газойлі</c:v>
                </c:pt>
                <c:pt idx="6">
                  <c:v>Біопаливо</c:v>
                </c:pt>
                <c:pt idx="7">
                  <c:v>Вугілля</c:v>
                </c:pt>
              </c:strCache>
            </c:strRef>
          </c:cat>
          <c:val>
            <c:numRef>
              <c:f>Лист1!$B$2:$B$9</c:f>
              <c:numCache>
                <c:formatCode>#,##0</c:formatCode>
                <c:ptCount val="8"/>
                <c:pt idx="0">
                  <c:v>21421</c:v>
                </c:pt>
                <c:pt idx="1">
                  <c:v>5209</c:v>
                </c:pt>
                <c:pt idx="2">
                  <c:v>4496</c:v>
                </c:pt>
                <c:pt idx="3">
                  <c:v>94740</c:v>
                </c:pt>
                <c:pt idx="4">
                  <c:v>4298</c:v>
                </c:pt>
                <c:pt idx="5">
                  <c:v>3145</c:v>
                </c:pt>
                <c:pt idx="6">
                  <c:v>4744</c:v>
                </c:pt>
                <c:pt idx="7">
                  <c:v>2234</c:v>
                </c:pt>
              </c:numCache>
            </c:numRef>
          </c:val>
        </c:ser>
        <c:dLbls>
          <c:showBubbleSize val="0"/>
          <c:showCatName val="0"/>
          <c:showLeaderLines val="0"/>
          <c:showLegendKey val="0"/>
          <c:showPercent val="0"/>
          <c:showSerName val="0"/>
          <c:showVal val="0"/>
        </c:dLbls>
      </c:pie3DChart>
      <c:spPr bwMode="auto">
        <a:prstGeom prst="rect">
          <a:avLst/>
        </a:prstGeom>
        <a:noFill/>
        <a:ln>
          <a:noFill/>
        </a:ln>
      </c:spPr>
    </c:plotArea>
    <c:legend>
      <c:legendPos val="b"/>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lgn="ctr">
              <a:defRPr sz="1600" b="1" i="0" u="none" strike="noStrike">
                <a:solidFill>
                  <a:schemeClr val="tx1">
                    <a:lumMod val="65000"/>
                    <a:lumOff val="35000"/>
                  </a:schemeClr>
                </a:solidFill>
                <a:latin typeface="+mn-lt"/>
                <a:ea typeface="+mn-ea"/>
                <a:cs typeface="+mn-cs"/>
              </a:defRPr>
            </a:pPr>
            <a:r>
              <a:rPr lang="uk-UA"/>
              <a:t>Питома вага викидів СО</a:t>
            </a:r>
            <a:r>
              <a:rPr lang="uk-UA" baseline="-25000"/>
              <a:t>2</a:t>
            </a:r>
            <a:r>
              <a:rPr lang="uk-UA"/>
              <a:t> в Менській громаді за 2019 рік</a:t>
            </a:r>
            <a:endParaRPr/>
          </a:p>
        </c:rich>
      </c:tx>
      <c:layout>
        <c:manualLayout>
          <c:xMode val="edge"/>
          <c:yMode val="edge"/>
          <c:x val="0.28580563990194868"/>
          <c:y val="0.0011568746214415478"/>
        </c:manualLayout>
      </c:layout>
      <c:overlay val="0"/>
      <c:spPr bwMode="auto">
        <a:prstGeom prst="rect">
          <a:avLst/>
        </a:prstGeom>
        <a:noFill/>
        <a:ln>
          <a:noFill/>
        </a:ln>
      </c:spPr>
      <c:txPr>
        <a:bodyPr rot="0" spcFirstLastPara="true" vertOverflow="ellipsis" vert="horz" wrap="square" anchor="ctr" anchorCtr="true"/>
        <a:lstStyle/>
        <a:p>
          <a:pPr algn="ctr">
            <a:defRPr sz="1600" b="1" i="0" u="none" strike="noStrike">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033862962615192685"/>
          <c:y val="0.25180497059960533"/>
          <c:w val="0.96091087840824019"/>
          <c:h val="0.67634159366442836"/>
        </c:manualLayout>
      </c:layout>
      <c:pie3DChart>
        <c:varyColors val="1"/>
        <c:ser>
          <c:idx val="0"/>
          <c:order val="0"/>
          <c:tx>
            <c:strRef>
              <c:f>Лист1!$B$1</c:f>
              <c:strCache>
                <c:ptCount val="1"/>
                <c:pt idx="0">
                  <c:v>Продажи</c:v>
                </c:pt>
              </c:strCache>
            </c:strRef>
          </c:tx>
          <c:dPt>
            <c:idx val="0"/>
            <c:bubble3D val="0"/>
            <c:spPr bwMode="auto">
              <a:prstGeom prst="rect">
                <a:avLst/>
              </a:prstGeom>
              <a:gradFill>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false"/>
              </a:gra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1"/>
            <c:bubble3D val="0"/>
            <c:spPr bwMode="auto">
              <a:prstGeom prst="rect">
                <a:avLst/>
              </a:prstGeom>
              <a:gradFill>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false"/>
              </a:gra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2"/>
            <c:bubble3D val="0"/>
            <c:spPr bwMode="auto">
              <a:prstGeom prst="rect">
                <a:avLst/>
              </a:prstGeom>
              <a:gradFill>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false"/>
              </a:gra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3"/>
            <c:bubble3D val="0"/>
            <c:spPr bwMode="auto">
              <a:prstGeom prst="rect">
                <a:avLst/>
              </a:prstGeom>
              <a:gradFill>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false"/>
              </a:gra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4"/>
            <c:bubble3D val="0"/>
            <c:spPr bwMode="auto">
              <a:prstGeom prst="rect">
                <a:avLst/>
              </a:prstGeom>
              <a:gradFill>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false"/>
              </a:gra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5"/>
            <c:bubble3D val="0"/>
            <c:spPr bwMode="auto">
              <a:prstGeom prst="rect">
                <a:avLst/>
              </a:prstGeom>
              <a:gradFill>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false"/>
              </a:gra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Lbls>
            <c:dLbl>
              <c:idx val="1"/>
              <c:dLblPos val="bestFit"/>
              <c:layout>
                <c:manualLayout>
                  <c:x val="0.069910514541386928"/>
                  <c:y val="-0.18081761006289307"/>
                </c:manualLayout>
              </c:layout>
              <c:showBubbleSize val="0"/>
              <c:showCatName val="1"/>
              <c:showLegendKey val="0"/>
              <c:showPercent val="1"/>
              <c:showSerName val="0"/>
              <c:showVal val="0"/>
            </c:dLbl>
            <c:dLbl>
              <c:idx val="2"/>
              <c:dLblPos val="bestFit"/>
              <c:layout>
                <c:manualLayout>
                  <c:x val="-0.069843878389482389"/>
                  <c:y val="-0.074626865671641882"/>
                </c:manualLayout>
              </c:layout>
              <c:showBubbleSize val="0"/>
              <c:showCatName val="1"/>
              <c:showLegendKey val="0"/>
              <c:showPercent val="1"/>
              <c:showSerName val="0"/>
              <c:showVal val="0"/>
            </c:dLbl>
            <c:dLbl>
              <c:idx val="3"/>
              <c:dLblPos val="bestFit"/>
              <c:layout>
                <c:manualLayout>
                  <c:x val="-0.053417249507739226"/>
                  <c:y val="-0.12642809574176361"/>
                </c:manualLayout>
              </c:layout>
              <c:showBubbleSize val="0"/>
              <c:showCatName val="1"/>
              <c:showLegendKey val="0"/>
              <c:showPercent val="1"/>
              <c:showSerName val="0"/>
              <c:showVal val="0"/>
            </c:dLbl>
            <c:dLblPos val="outEnd"/>
            <c:showBubbleSize val="0"/>
            <c:showCatName val="1"/>
            <c:showLeaderLines val="0"/>
            <c:showLegendKey val="0"/>
            <c:showPercent val="1"/>
            <c:showSerName val="0"/>
            <c:showVal val="0"/>
            <c:spPr bwMode="auto">
              <a:prstGeom prst="rect">
                <a:avLst/>
              </a:prstGeom>
              <a:solidFill>
                <a:sysClr val="window" lastClr="ffffff"/>
              </a:solidFill>
              <a:ln>
                <a:solidFill>
                  <a:sysClr val="windowText" lastClr="000000">
                    <a:lumMod val="25000"/>
                    <a:lumOff val="75000"/>
                  </a:sysClr>
                </a:solidFill>
              </a:ln>
            </c:spPr>
            <c:txPr>
              <a:bodyPr rot="0" spcFirstLastPara="true" vertOverflow="clip" horzOverflow="clip" vert="horz" wrap="square" lIns="38100" tIns="19050" rIns="38100" bIns="19050" anchor="ctr" anchorCtr="true">
                <a:spAutoFit/>
              </a:bodyPr>
              <a:lstStyle/>
              <a:p>
                <a:pPr>
                  <a:defRPr sz="900" b="0" i="0" u="none" strike="noStrike">
                    <a:solidFill>
                      <a:schemeClr val="dk1">
                        <a:lumMod val="65000"/>
                        <a:lumOff val="35000"/>
                      </a:schemeClr>
                    </a:solidFill>
                    <a:latin typeface="+mn-lt"/>
                    <a:ea typeface="+mn-ea"/>
                    <a:cs typeface="+mn-cs"/>
                  </a:defRPr>
                </a:pPr>
                <a:endParaRPr lang="uk-UA"/>
              </a:p>
            </c:txPr>
          </c:dLbls>
          <c:cat>
            <c:strRef>
              <c:f>Лист1!$A$2:$A$7</c:f>
              <c:strCache>
                <c:ptCount val="6"/>
                <c:pt idx="0">
                  <c:v xml:space="preserve">Муніципальні будівлі</c:v>
                </c:pt>
                <c:pt idx="1">
                  <c:v xml:space="preserve">Житлові будівлі</c:v>
                </c:pt>
                <c:pt idx="2">
                  <c:v>Інші</c:v>
                </c:pt>
                <c:pt idx="3">
                  <c:v>Транспорт</c:v>
                </c:pt>
                <c:pt idx="4">
                  <c:v>Промисловість</c:v>
                </c:pt>
                <c:pt idx="5">
                  <c:v xml:space="preserve">Третинний сектор</c:v>
                </c:pt>
              </c:strCache>
            </c:strRef>
          </c:cat>
          <c:val>
            <c:numRef>
              <c:f>Лист1!$B$2:$B$7</c:f>
              <c:numCache>
                <c:formatCode>General</c:formatCode>
                <c:ptCount val="6"/>
                <c:pt idx="0">
                  <c:v>3645</c:v>
                </c:pt>
                <c:pt idx="1">
                  <c:v>13801</c:v>
                </c:pt>
                <c:pt idx="2">
                  <c:v>2469</c:v>
                </c:pt>
                <c:pt idx="3">
                  <c:v>3112</c:v>
                </c:pt>
                <c:pt idx="4">
                  <c:v>11276</c:v>
                </c:pt>
                <c:pt idx="5">
                  <c:v>1430</c:v>
                </c:pt>
              </c:numCache>
            </c:numRef>
          </c:val>
        </c:ser>
        <c:dLbls>
          <c:dLblPos val="inEnd"/>
          <c:showBubbleSize val="0"/>
          <c:showCatName val="1"/>
          <c:showLeaderLines val="0"/>
          <c:showLegendKey val="0"/>
          <c:showPercent val="0"/>
          <c:showSerName val="0"/>
          <c:showVal val="0"/>
        </c:dLbls>
      </c:pie3DChart>
      <c:spPr bwMode="auto">
        <a:prstGeom prst="rect">
          <a:avLst/>
        </a:prstGeom>
        <a:noFill/>
        <a:ln>
          <a:noFill/>
        </a:ln>
      </c:spPr>
    </c:plotArea>
    <c:legend>
      <c:legendPos val="b"/>
      <c:layout>
        <c:manualLayout>
          <c:xMode val="edge"/>
          <c:yMode val="edge"/>
          <c:x val="0.24944687305830662"/>
          <c:y val="0.90480488972027673"/>
          <c:w val="0.58532870312019758"/>
          <c:h val="0.066333011439607778"/>
        </c:manualLayout>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autoTitleDeleted val="1"/>
    <c:view3D>
      <c:rotX val="30"/>
      <c:rotY val="0"/>
      <c:depthPercent val="100"/>
      <c:rAngAx val="0"/>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0054200542005420054"/>
          <c:y val="0.050198261507634123"/>
          <c:w val="0.96747967479674801"/>
          <c:h val="0.80180975361950724"/>
        </c:manualLayout>
      </c:layout>
      <c:pie3DChart>
        <c:varyColors val="1"/>
        <c:ser>
          <c:idx val="0"/>
          <c:order val="0"/>
          <c:tx>
            <c:strRef>
              <c:f>Лист1!$B$1</c:f>
              <c:strCache>
                <c:ptCount val="1"/>
                <c:pt idx="0">
                  <c:v>Продажи</c:v>
                </c:pt>
              </c:strCache>
            </c:strRef>
          </c:tx>
          <c:dPt>
            <c:idx val="0"/>
            <c:bubble3D val="0"/>
            <c:explosion val="11"/>
            <c:spPr bwMode="auto">
              <a:prstGeom prst="rect">
                <a:avLst/>
              </a:prstGeom>
              <a:solidFill>
                <a:schemeClr val="accent1"/>
              </a:solidFill>
              <a:ln w="25400">
                <a:solidFill>
                  <a:schemeClr val="lt1"/>
                </a:solidFill>
              </a:ln>
            </c:spPr>
          </c:dPt>
          <c:dPt>
            <c:idx val="1"/>
            <c:bubble3D val="0"/>
            <c:explosion val="26"/>
            <c:spPr bwMode="auto">
              <a:prstGeom prst="rect">
                <a:avLst/>
              </a:prstGeom>
              <a:solidFill>
                <a:schemeClr val="accent2"/>
              </a:solidFill>
              <a:ln w="25400">
                <a:solidFill>
                  <a:schemeClr val="lt1"/>
                </a:solidFill>
              </a:ln>
            </c:spPr>
          </c:dPt>
          <c:dPt>
            <c:idx val="2"/>
            <c:bubble3D val="0"/>
            <c:explosion val="15"/>
            <c:spPr bwMode="auto">
              <a:prstGeom prst="rect">
                <a:avLst/>
              </a:prstGeom>
              <a:solidFill>
                <a:schemeClr val="accent3"/>
              </a:solidFill>
              <a:ln w="25400">
                <a:solidFill>
                  <a:schemeClr val="lt1"/>
                </a:solidFill>
              </a:ln>
            </c:spPr>
          </c:dPt>
          <c:dPt>
            <c:idx val="3"/>
            <c:bubble3D val="0"/>
            <c:explosion val="15"/>
            <c:spPr bwMode="auto">
              <a:prstGeom prst="rect">
                <a:avLst/>
              </a:prstGeom>
              <a:solidFill>
                <a:schemeClr val="accent4"/>
              </a:solidFill>
              <a:ln w="25400">
                <a:solidFill>
                  <a:schemeClr val="lt1"/>
                </a:solidFill>
              </a:ln>
            </c:spPr>
          </c:dPt>
          <c:dPt>
            <c:idx val="4"/>
            <c:bubble3D val="0"/>
            <c:explosion val="15"/>
            <c:spPr bwMode="auto">
              <a:prstGeom prst="rect">
                <a:avLst/>
              </a:prstGeom>
              <a:solidFill>
                <a:schemeClr val="accent5"/>
              </a:solidFill>
              <a:ln w="25400">
                <a:solidFill>
                  <a:schemeClr val="lt1"/>
                </a:solidFill>
              </a:ln>
            </c:spPr>
          </c:dPt>
          <c:dPt>
            <c:idx val="5"/>
            <c:bubble3D val="0"/>
            <c:explosion val="20"/>
            <c:spPr bwMode="auto">
              <a:prstGeom prst="rect">
                <a:avLst/>
              </a:prstGeom>
              <a:solidFill>
                <a:schemeClr val="accent6"/>
              </a:solidFill>
              <a:ln w="25400">
                <a:solidFill>
                  <a:schemeClr val="lt1"/>
                </a:solidFill>
              </a:ln>
            </c:spPr>
          </c:dPt>
          <c:dPt>
            <c:idx val="6"/>
            <c:bubble3D val="0"/>
            <c:spPr bwMode="auto">
              <a:prstGeom prst="rect">
                <a:avLst/>
              </a:prstGeom>
              <a:solidFill>
                <a:srgbClr val="7030A0"/>
              </a:solidFill>
              <a:ln w="25400">
                <a:solidFill>
                  <a:schemeClr val="lt1"/>
                </a:solidFill>
              </a:ln>
            </c:spPr>
          </c:dPt>
          <c:dLbls>
            <c:dLbl>
              <c:idx val="2"/>
              <c:dLblPos val="bestFit"/>
              <c:layout>
                <c:manualLayout>
                  <c:x val="-0.024390243902439025"/>
                  <c:y val="0.24193548387096775"/>
                </c:manualLayout>
              </c:layout>
              <c:showBubbleSize val="0"/>
              <c:showCatName val="1"/>
              <c:showLegendKey val="0"/>
              <c:showPercent val="1"/>
              <c:showSerName val="0"/>
              <c:showVal val="0"/>
            </c:dLbl>
            <c:dLbl>
              <c:idx val="3"/>
              <c:dLblPos val="bestFit"/>
              <c:layout>
                <c:manualLayout>
                  <c:x val="-0.17886178861788618"/>
                  <c:y val="0.11200716845878134"/>
                </c:manualLayout>
              </c:layout>
              <c:showBubbleSize val="0"/>
              <c:showCatName val="1"/>
              <c:showLegendKey val="0"/>
              <c:showPercent val="1"/>
              <c:showSerName val="0"/>
              <c:showVal val="0"/>
            </c:dLbl>
            <c:dLbl>
              <c:idx val="4"/>
              <c:dLblPos val="bestFit"/>
              <c:layout>
                <c:manualLayout>
                  <c:x val="-0.20054200542005421"/>
                  <c:y val="0"/>
                </c:manualLayout>
              </c:layout>
              <c:showBubbleSize val="0"/>
              <c:showCatName val="1"/>
              <c:showLegendKey val="0"/>
              <c:showPercent val="1"/>
              <c:showSerName val="0"/>
              <c:showVal val="0"/>
            </c:dLbl>
            <c:dLbl>
              <c:idx val="5"/>
              <c:dLblPos val="bestFit"/>
              <c:layout>
                <c:manualLayout>
                  <c:x val="0.065040650406504072"/>
                  <c:y val="0"/>
                </c:manualLayout>
              </c:layout>
              <c:showBubbleSize val="0"/>
              <c:showCatName val="1"/>
              <c:showLegendKey val="0"/>
              <c:showPercent val="1"/>
              <c:showSerName val="0"/>
              <c:showVal val="0"/>
            </c:dLbl>
            <c:dLbl>
              <c:idx val="6"/>
              <c:dLblPos val="bestFit"/>
              <c:layout>
                <c:manualLayout>
                  <c:x val="0.13821138211382114"/>
                  <c:y val="0"/>
                </c:manualLayout>
              </c:layout>
              <c:showBubbleSize val="0"/>
              <c:showCatName val="1"/>
              <c:showLegendKey val="0"/>
              <c:showPercent val="1"/>
              <c:showSerName val="0"/>
              <c:showVal val="0"/>
            </c:dLbl>
            <c:dLblPos val="outEnd"/>
            <c:showBubbleSize val="0"/>
            <c:showCatName val="1"/>
            <c:showLeaderLines val="0"/>
            <c:showLegendKey val="0"/>
            <c:showPercent val="1"/>
            <c:showSerName val="0"/>
            <c:showVal val="0"/>
            <c:spPr bwMode="auto">
              <a:prstGeom prst="rect">
                <a:avLst/>
              </a:prstGeom>
              <a:solidFill>
                <a:sysClr val="window" lastClr="ffffff"/>
              </a:solidFill>
              <a:ln>
                <a:solidFill>
                  <a:sysClr val="windowText" lastClr="000000">
                    <a:lumMod val="25000"/>
                    <a:lumOff val="75000"/>
                  </a:sysClr>
                </a:solidFill>
              </a:ln>
            </c:spPr>
            <c:txPr>
              <a:bodyPr rot="0" spcFirstLastPara="true" vertOverflow="clip" horzOverflow="clip" vert="horz" wrap="square" lIns="38100" tIns="19050" rIns="38100" bIns="19050" anchor="ctr" anchorCtr="true">
                <a:spAutoFit/>
              </a:bodyPr>
              <a:lstStyle/>
              <a:p>
                <a:pPr>
                  <a:defRPr sz="900" b="1" i="0" u="none" strike="noStrike">
                    <a:solidFill>
                      <a:schemeClr val="dk1">
                        <a:lumMod val="65000"/>
                        <a:lumOff val="35000"/>
                      </a:schemeClr>
                    </a:solidFill>
                    <a:latin typeface="+mn-lt"/>
                    <a:ea typeface="+mn-ea"/>
                    <a:cs typeface="+mn-cs"/>
                  </a:defRPr>
                </a:pPr>
                <a:endParaRPr lang="uk-UA"/>
              </a:p>
            </c:txPr>
          </c:dLbls>
          <c:cat>
            <c:strRef>
              <c:f>Лист1!$A$2:$A$8</c:f>
              <c:strCache>
                <c:ptCount val="7"/>
                <c:pt idx="0">
                  <c:v>Електроенергія</c:v>
                </c:pt>
                <c:pt idx="1">
                  <c:v xml:space="preserve">Природний газ</c:v>
                </c:pt>
                <c:pt idx="2">
                  <c:v xml:space="preserve">Теплова енергія</c:v>
                </c:pt>
                <c:pt idx="3">
                  <c:v>Бензин</c:v>
                </c:pt>
                <c:pt idx="4">
                  <c:v>Дизель</c:v>
                </c:pt>
                <c:pt idx="5">
                  <c:v xml:space="preserve">Зріджений газ</c:v>
                </c:pt>
                <c:pt idx="6">
                  <c:v>Вугілля</c:v>
                </c:pt>
              </c:strCache>
            </c:strRef>
          </c:cat>
          <c:val>
            <c:numRef>
              <c:f>Лист1!$B$2:$B$8</c:f>
              <c:numCache>
                <c:formatCode>General</c:formatCode>
                <c:ptCount val="7"/>
                <c:pt idx="0">
                  <c:v>11761</c:v>
                </c:pt>
                <c:pt idx="1">
                  <c:v>19137</c:v>
                </c:pt>
                <c:pt idx="2">
                  <c:v>1114</c:v>
                </c:pt>
                <c:pt idx="3">
                  <c:v>1070</c:v>
                </c:pt>
                <c:pt idx="4">
                  <c:v>839</c:v>
                </c:pt>
                <c:pt idx="5">
                  <c:v>1203</c:v>
                </c:pt>
                <c:pt idx="6">
                  <c:v>762</c:v>
                </c:pt>
              </c:numCache>
            </c:numRef>
          </c:val>
        </c:ser>
        <c:dLbls>
          <c:showBubbleSize val="0"/>
          <c:showCatName val="0"/>
          <c:showLeaderLines val="0"/>
          <c:showLegendKey val="0"/>
          <c:showPercent val="0"/>
          <c:showSerName val="0"/>
          <c:showVal val="0"/>
        </c:dLbls>
      </c:pie3DChart>
      <c:spPr bwMode="auto">
        <a:prstGeom prst="rect">
          <a:avLst/>
        </a:prstGeom>
        <a:noFill/>
        <a:ln>
          <a:noFill/>
        </a:ln>
      </c:spPr>
    </c:plotArea>
    <c:legend>
      <c:legendPos val="b"/>
      <c:layout>
        <c:manualLayout>
          <c:xMode val="edge"/>
          <c:yMode val="edge"/>
          <c:x val="0.11055267481808678"/>
          <c:y val="0.86146805747219746"/>
          <c:w val="0.8276574269679704"/>
          <c:h val="0.13853194252780257"/>
        </c:manualLayout>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a:pPr>
      <a:endParaRPr lang="uk-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autoTitleDeleted val="0"/>
    <c:plotArea>
      <c:layout>
        <c:manualLayout>
          <c:layoutTarget val="inner"/>
          <c:xMode val="edge"/>
          <c:yMode val="edge"/>
          <c:x val="0.14342072730039179"/>
          <c:y val="0.028252405949256341"/>
          <c:w val="0.79694358857316749"/>
          <c:h val="0.87891586468358118"/>
        </c:manualLayout>
      </c:layout>
      <c:scatterChart>
        <c:scatterStyle val="smoothMarker"/>
        <c:varyColors val="0"/>
        <c:ser>
          <c:idx val="1"/>
          <c:order val="0"/>
          <c:tx>
            <c:v>4</c:v>
          </c:tx>
          <c:spPr bwMode="auto">
            <a:prstGeom prst="rect">
              <a:avLst/>
            </a:prstGeom>
            <a:ln>
              <a:solidFill>
                <a:schemeClr val="tx1">
                  <a:lumMod val="85000"/>
                  <a:lumOff val="15000"/>
                </a:schemeClr>
              </a:solidFill>
              <a:prstDash val="sysDash"/>
            </a:ln>
          </c:spPr>
          <c:marker>
            <c:symbol val="none"/>
          </c:marker>
          <c:xVal>
            <c:numRef>
              <c:f>НОРМА!$C$2:$N$2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НОРМА!$C$5:$N$5</c:f>
              <c:numCache>
                <c:formatCode>General</c:formatCode>
                <c:ptCount val="12"/>
                <c:pt idx="0">
                  <c:v>-16.5</c:v>
                </c:pt>
                <c:pt idx="1">
                  <c:v>-16.8</c:v>
                </c:pt>
                <c:pt idx="2">
                  <c:v>-9.1</c:v>
                </c:pt>
                <c:pt idx="3">
                  <c:v>1.3</c:v>
                </c:pt>
                <c:pt idx="4">
                  <c:v>10.8</c:v>
                </c:pt>
                <c:pt idx="5">
                  <c:v>14.1</c:v>
                </c:pt>
                <c:pt idx="6">
                  <c:v>16.7</c:v>
                </c:pt>
                <c:pt idx="7">
                  <c:v>15</c:v>
                </c:pt>
                <c:pt idx="8">
                  <c:v>9.4</c:v>
                </c:pt>
                <c:pt idx="9">
                  <c:v>2.3</c:v>
                </c:pt>
                <c:pt idx="10">
                  <c:v>-7.7</c:v>
                </c:pt>
                <c:pt idx="11">
                  <c:v>-10.6</c:v>
                </c:pt>
              </c:numCache>
            </c:numRef>
          </c:yVal>
          <c:smooth val="1"/>
        </c:ser>
        <c:ser>
          <c:idx val="2"/>
          <c:order val="1"/>
          <c:spPr bwMode="auto">
            <a:prstGeom prst="rect">
              <a:avLst/>
            </a:prstGeom>
            <a:ln>
              <a:solidFill>
                <a:schemeClr val="tx1">
                  <a:lumMod val="75000"/>
                  <a:lumOff val="25000"/>
                </a:schemeClr>
              </a:solidFill>
              <a:prstDash val="sysDash"/>
              <a:round/>
            </a:ln>
          </c:spPr>
          <c:marker>
            <c:symbol val="none"/>
          </c:marker>
          <c:xVal>
            <c:numRef>
              <c:f>НОРМА!$C$2:$N$2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НОРМА!$C$12:$N$12</c:f>
              <c:numCache>
                <c:formatCode>General</c:formatCode>
                <c:ptCount val="12"/>
                <c:pt idx="0">
                  <c:v>-0.3</c:v>
                </c:pt>
                <c:pt idx="1">
                  <c:v>2.1</c:v>
                </c:pt>
                <c:pt idx="2">
                  <c:v>5.1</c:v>
                </c:pt>
                <c:pt idx="3">
                  <c:v>12.3</c:v>
                </c:pt>
                <c:pt idx="4">
                  <c:v>18.5</c:v>
                </c:pt>
                <c:pt idx="5">
                  <c:v>21.3</c:v>
                </c:pt>
                <c:pt idx="6">
                  <c:v>23.9</c:v>
                </c:pt>
                <c:pt idx="7">
                  <c:v>22</c:v>
                </c:pt>
                <c:pt idx="8">
                  <c:v>16.6</c:v>
                </c:pt>
                <c:pt idx="9">
                  <c:v>11.1</c:v>
                </c:pt>
                <c:pt idx="10">
                  <c:v>5.2</c:v>
                </c:pt>
                <c:pt idx="11">
                  <c:v>2.4</c:v>
                </c:pt>
              </c:numCache>
            </c:numRef>
          </c:yVal>
          <c:smooth val="1"/>
        </c:ser>
        <c:ser>
          <c:idx val="0"/>
          <c:order val="2"/>
          <c:tx>
            <c:v>1</c:v>
          </c:tx>
          <c:spPr bwMode="auto">
            <a:prstGeom prst="rect">
              <a:avLst/>
            </a:prstGeom>
            <a:ln w="25400">
              <a:solidFill>
                <a:schemeClr val="accent1">
                  <a:lumMod val="75000"/>
                </a:schemeClr>
              </a:solidFill>
            </a:ln>
          </c:spPr>
          <c:marker>
            <c:symbol val="triangle"/>
            <c:size val="5"/>
            <c:spPr bwMode="auto">
              <a:prstGeom prst="rect">
                <a:avLst/>
              </a:prstGeom>
              <a:solidFill>
                <a:schemeClr val="tx1"/>
              </a:solidFill>
              <a:ln>
                <a:solidFill>
                  <a:schemeClr val="tx1">
                    <a:lumMod val="95000"/>
                    <a:lumOff val="5000"/>
                  </a:schemeClr>
                </a:solidFill>
              </a:ln>
            </c:spPr>
          </c:marker>
          <c:yVal>
            <c:numRef>
              <c:f>НОРМА!$C$9:$N$9</c:f>
              <c:numCache>
                <c:formatCode>General</c:formatCode>
                <c:ptCount val="12"/>
                <c:pt idx="0">
                  <c:v>-7.3</c:v>
                </c:pt>
                <c:pt idx="1">
                  <c:v>-5.9</c:v>
                </c:pt>
                <c:pt idx="2">
                  <c:v>-0.8</c:v>
                </c:pt>
                <c:pt idx="3">
                  <c:v>7.6</c:v>
                </c:pt>
                <c:pt idx="4">
                  <c:v>14.5</c:v>
                </c:pt>
                <c:pt idx="5">
                  <c:v>17.6</c:v>
                </c:pt>
                <c:pt idx="6">
                  <c:v>18.6</c:v>
                </c:pt>
                <c:pt idx="7">
                  <c:v>17.7</c:v>
                </c:pt>
                <c:pt idx="8">
                  <c:v>12.7</c:v>
                </c:pt>
                <c:pt idx="9">
                  <c:v>6.6</c:v>
                </c:pt>
                <c:pt idx="10">
                  <c:v>0.9</c:v>
                </c:pt>
                <c:pt idx="11">
                  <c:v>-3.6</c:v>
                </c:pt>
              </c:numCache>
            </c:numRef>
          </c:yVal>
          <c:smooth val="1"/>
        </c:ser>
        <c:ser>
          <c:idx val="3"/>
          <c:order val="3"/>
          <c:tx>
            <c:v>2</c:v>
          </c:tx>
          <c:spPr bwMode="auto">
            <a:prstGeom prst="rect">
              <a:avLst/>
            </a:prstGeom>
            <a:ln w="25400">
              <a:solidFill>
                <a:schemeClr val="bg1">
                  <a:lumMod val="50000"/>
                </a:schemeClr>
              </a:solidFill>
            </a:ln>
          </c:spPr>
          <c:marker>
            <c:symbol val="circle"/>
            <c:size val="4"/>
            <c:spPr bwMode="auto">
              <a:prstGeom prst="rect">
                <a:avLst/>
              </a:prstGeom>
              <a:solidFill>
                <a:schemeClr val="tx1"/>
              </a:solidFill>
              <a:ln>
                <a:solidFill>
                  <a:schemeClr val="tx1"/>
                </a:solidFill>
              </a:ln>
            </c:spPr>
          </c:marker>
          <c:yVal>
            <c:numRef>
              <c:f>НОРМА!$C$15:$N$15</c:f>
              <c:numCache>
                <c:formatCode>General</c:formatCode>
                <c:ptCount val="12"/>
                <c:pt idx="0">
                  <c:v>-7.1</c:v>
                </c:pt>
                <c:pt idx="1">
                  <c:v>-5.6</c:v>
                </c:pt>
                <c:pt idx="2">
                  <c:v>-0.6</c:v>
                </c:pt>
                <c:pt idx="3">
                  <c:v>7.8</c:v>
                </c:pt>
                <c:pt idx="4">
                  <c:v>14.5</c:v>
                </c:pt>
                <c:pt idx="5">
                  <c:v>17.6</c:v>
                </c:pt>
                <c:pt idx="6">
                  <c:v>18.7</c:v>
                </c:pt>
                <c:pt idx="7">
                  <c:v>17.7</c:v>
                </c:pt>
                <c:pt idx="8">
                  <c:v>12.8</c:v>
                </c:pt>
                <c:pt idx="9">
                  <c:v>6.8</c:v>
                </c:pt>
                <c:pt idx="10">
                  <c:v>1.2</c:v>
                </c:pt>
                <c:pt idx="11">
                  <c:v>-3.3</c:v>
                </c:pt>
              </c:numCache>
            </c:numRef>
          </c:yVal>
          <c:smooth val="1"/>
        </c:ser>
        <c:ser>
          <c:idx val="4"/>
          <c:order val="4"/>
          <c:tx>
            <c:v>3</c:v>
          </c:tx>
          <c:spPr bwMode="auto">
            <a:prstGeom prst="rect">
              <a:avLst/>
            </a:prstGeom>
            <a:ln w="22225">
              <a:solidFill>
                <a:srgbClr val="002060"/>
              </a:solidFill>
            </a:ln>
          </c:spPr>
          <c:marker>
            <c:symbol val="none"/>
          </c:marker>
          <c:yVal>
            <c:numRef>
              <c:f>НОРМА!$C$20:$N$20</c:f>
              <c:numCache>
                <c:formatCode>0.0</c:formatCode>
                <c:ptCount val="12"/>
                <c:pt idx="0">
                  <c:v>-5.3</c:v>
                </c:pt>
                <c:pt idx="1">
                  <c:v>-4.3</c:v>
                </c:pt>
                <c:pt idx="2">
                  <c:v>0.6</c:v>
                </c:pt>
                <c:pt idx="3">
                  <c:v>8.4</c:v>
                </c:pt>
                <c:pt idx="4">
                  <c:v>14.8</c:v>
                </c:pt>
                <c:pt idx="5">
                  <c:v>18</c:v>
                </c:pt>
                <c:pt idx="6">
                  <c:v>19.7</c:v>
                </c:pt>
                <c:pt idx="7">
                  <c:v>18.6</c:v>
                </c:pt>
                <c:pt idx="8">
                  <c:v>13.2</c:v>
                </c:pt>
                <c:pt idx="9">
                  <c:v>6.9</c:v>
                </c:pt>
                <c:pt idx="10">
                  <c:v>1.3</c:v>
                </c:pt>
                <c:pt idx="11">
                  <c:v>-2.8</c:v>
                </c:pt>
              </c:numCache>
            </c:numRef>
          </c:yVal>
          <c:smooth val="1"/>
        </c:ser>
        <c:dLbls>
          <c:showBubbleSize val="0"/>
          <c:showCatName val="0"/>
          <c:showLeaderLines val="0"/>
          <c:showLegendKey val="0"/>
          <c:showPercent val="0"/>
          <c:showSerName val="0"/>
          <c:showVal val="0"/>
        </c:dLbls>
        <c:axId val="632703712"/>
        <c:axId val="632697048"/>
      </c:scatterChart>
      <c:valAx>
        <c:axId val="632703712"/>
        <c:scaling>
          <c:orientation val="minMax"/>
          <c:max val="12.5"/>
          <c:min val="0"/>
        </c:scaling>
        <c:delete val="0"/>
        <c:axPos val="b"/>
        <c:numFmt formatCode="General" sourceLinked="1"/>
        <c:majorTickMark val="in"/>
        <c:minorTickMark val="none"/>
        <c:tickLblPos val="nextTo"/>
        <c:txPr>
          <a:bodyPr/>
          <a:lstStyle/>
          <a:p>
            <a:pPr>
              <a:defRPr>
                <a:latin typeface="Times New Roman"/>
                <a:cs typeface="Times New Roman"/>
              </a:defRPr>
            </a:pPr>
            <a:endParaRPr lang="uk-UA"/>
          </a:p>
        </c:txPr>
        <c:crossAx val="632697048"/>
        <c:crosses val="autoZero"/>
        <c:crossesAt val="-20"/>
        <c:crossBetween val="midCat"/>
        <c:majorUnit val="1"/>
      </c:valAx>
      <c:valAx>
        <c:axId val="632697048"/>
        <c:scaling>
          <c:orientation val="minMax"/>
          <c:max val="30"/>
          <c:min val="-20"/>
        </c:scaling>
        <c:delete val="0"/>
        <c:axPos val="l"/>
        <c:title>
          <c:tx>
            <c:rich>
              <a:bodyPr rot="-5400000" vert="horz"/>
              <a:lstStyle/>
              <a:p>
                <a:pPr>
                  <a:defRPr sz="1100">
                    <a:latin typeface="Times New Roman"/>
                    <a:cs typeface="Times New Roman"/>
                  </a:defRPr>
                </a:pPr>
                <a:r>
                  <a:rPr lang="ru-RU" sz="1100">
                    <a:latin typeface="Times New Roman"/>
                    <a:cs typeface="Times New Roman"/>
                  </a:rPr>
                  <a:t>Темпратура,</a:t>
                </a:r>
                <a:r>
                  <a:rPr lang="ru-RU" sz="1100">
                    <a:latin typeface="Times New Roman"/>
                    <a:cs typeface="Times New Roman"/>
                  </a:rPr>
                  <a:t> оС</a:t>
                </a:r>
                <a:endParaRPr lang="ru-RU" sz="1100">
                  <a:latin typeface="Times New Roman"/>
                  <a:cs typeface="Times New Roman"/>
                </a:endParaRPr>
              </a:p>
            </c:rich>
          </c:tx>
          <c:layout>
            <c:manualLayout>
              <c:xMode val="edge"/>
              <c:yMode val="edge"/>
              <c:x val="0.0022082239720034994"/>
              <c:y val="0.2389253426655002"/>
            </c:manualLayout>
          </c:layout>
          <c:overlay val="0"/>
        </c:title>
        <c:numFmt formatCode="General" sourceLinked="1"/>
        <c:majorTickMark val="in"/>
        <c:minorTickMark val="none"/>
        <c:tickLblPos val="nextTo"/>
        <c:txPr>
          <a:bodyPr/>
          <a:lstStyle/>
          <a:p>
            <a:pPr>
              <a:defRPr>
                <a:latin typeface="Times New Roman"/>
                <a:cs typeface="Times New Roman"/>
              </a:defRPr>
            </a:pPr>
            <a:endParaRPr lang="uk-UA"/>
          </a:p>
        </c:txPr>
        <c:crossAx val="632703712"/>
        <c:crosses val="autoZero"/>
        <c:crossBetween val="midCat"/>
        <c:majorUnit val="10"/>
      </c:valAx>
      <c:spPr bwMode="auto">
        <a:prstGeom prst="rect">
          <a:avLst/>
        </a:prstGeom>
        <a:ln>
          <a:solidFill>
            <a:schemeClr val="bg1">
              <a:lumMod val="50000"/>
            </a:schemeClr>
          </a:solidFill>
        </a:ln>
      </c:spPr>
    </c:plotArea>
    <c:legend>
      <c:legendPos val="r"/>
      <c:legendEntry>
        <c:idx val="1"/>
        <c:delete val="1"/>
      </c:legendEntry>
      <c:layout>
        <c:manualLayout>
          <c:xMode val="edge"/>
          <c:yMode val="edge"/>
          <c:x val="0.43958275298135102"/>
          <c:y val="0.58785175072930129"/>
          <c:w val="0.34989140416849374"/>
          <c:h val="0.29309093716226647"/>
        </c:manualLayout>
      </c:layout>
      <c:overlay val="0"/>
    </c:legend>
    <c:plotVisOnly val="1"/>
    <c:dispBlanksAs val="gap"/>
    <c:showDLblsOverMax val="0"/>
  </c:chart>
  <c:spPr bwMode="auto">
    <a:prstGeom prst="rect">
      <a:avLst/>
    </a:prstGeom>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autoTitleDeleted val="1"/>
    <c:plotArea>
      <c:layout>
        <c:manualLayout>
          <c:layoutTarget val="inner"/>
          <c:xMode val="edge"/>
          <c:yMode val="edge"/>
          <c:x val="0.11739249418467242"/>
          <c:y val="0.050925925925925923"/>
          <c:w val="0.83790702110103521"/>
          <c:h val="0.85705963837853605"/>
        </c:manualLayout>
      </c:layout>
      <c:scatterChart>
        <c:scatterStyle val="smoothMarker"/>
        <c:varyColors val="0"/>
        <c:ser>
          <c:idx val="0"/>
          <c:order val="0"/>
          <c:tx>
            <c:v>1</c:v>
          </c:tx>
          <c:spPr bwMode="auto">
            <a:prstGeom prst="rect">
              <a:avLst/>
            </a:prstGeom>
            <a:ln w="22225" cap="rnd">
              <a:solidFill>
                <a:srgbClr val="002060"/>
              </a:solidFill>
              <a:round/>
            </a:ln>
          </c:spPr>
          <c:marker>
            <c:symbol val="none"/>
          </c:marker>
          <c:trendline>
            <c:name>3</c:name>
            <c:spPr bwMode="auto">
              <a:prstGeom prst="rect">
                <a:avLst/>
              </a:prstGeom>
              <a:ln w="28575" cap="rnd">
                <a:solidFill>
                  <a:srgbClr val="C00000"/>
                </a:solidFill>
                <a:prstDash val="dash"/>
              </a:ln>
            </c:spPr>
            <c:trendlineType val="linear"/>
            <c:dispRSqr val="0"/>
            <c:dispEq val="0"/>
          </c:trendline>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Чернігів!$B$4:$B$53</c:f>
              <c:numCache>
                <c:formatCode>0.00</c:formatCode>
                <c:ptCount val="50"/>
                <c:pt idx="0">
                  <c:v>6.69</c:v>
                </c:pt>
                <c:pt idx="1">
                  <c:v>6.68</c:v>
                </c:pt>
                <c:pt idx="2">
                  <c:v>7.34</c:v>
                </c:pt>
                <c:pt idx="3">
                  <c:v>6.64</c:v>
                </c:pt>
                <c:pt idx="4">
                  <c:v>7.2</c:v>
                </c:pt>
                <c:pt idx="5">
                  <c:v>8.58</c:v>
                </c:pt>
                <c:pt idx="6">
                  <c:v>5.31</c:v>
                </c:pt>
                <c:pt idx="7">
                  <c:v>6.53</c:v>
                </c:pt>
                <c:pt idx="8">
                  <c:v>5.9</c:v>
                </c:pt>
                <c:pt idx="9">
                  <c:v>6.67</c:v>
                </c:pt>
                <c:pt idx="10">
                  <c:v>5.62</c:v>
                </c:pt>
                <c:pt idx="11">
                  <c:v>7.52</c:v>
                </c:pt>
                <c:pt idx="12">
                  <c:v>7.33</c:v>
                </c:pt>
                <c:pt idx="13">
                  <c:v>7.98</c:v>
                </c:pt>
                <c:pt idx="14">
                  <c:v>6.67</c:v>
                </c:pt>
                <c:pt idx="15">
                  <c:v>5.08</c:v>
                </c:pt>
                <c:pt idx="16">
                  <c:v>6.68</c:v>
                </c:pt>
                <c:pt idx="17">
                  <c:v>4.68</c:v>
                </c:pt>
                <c:pt idx="18">
                  <c:v>6.77</c:v>
                </c:pt>
                <c:pt idx="19">
                  <c:v>8.69</c:v>
                </c:pt>
                <c:pt idx="20">
                  <c:v>8.27</c:v>
                </c:pt>
                <c:pt idx="21">
                  <c:v>7.27</c:v>
                </c:pt>
                <c:pt idx="22">
                  <c:v>7.68</c:v>
                </c:pt>
                <c:pt idx="23">
                  <c:v>6.38</c:v>
                </c:pt>
                <c:pt idx="24">
                  <c:v>7.26</c:v>
                </c:pt>
                <c:pt idx="25">
                  <c:v>7.75</c:v>
                </c:pt>
                <c:pt idx="26">
                  <c:v>6.33</c:v>
                </c:pt>
                <c:pt idx="27">
                  <c:v>6.68</c:v>
                </c:pt>
                <c:pt idx="28">
                  <c:v>7.13</c:v>
                </c:pt>
                <c:pt idx="29">
                  <c:v>8.43</c:v>
                </c:pt>
                <c:pt idx="30">
                  <c:v>8.39</c:v>
                </c:pt>
                <c:pt idx="31">
                  <c:v>7.7</c:v>
                </c:pt>
                <c:pt idx="32">
                  <c:v>8.43</c:v>
                </c:pt>
                <c:pt idx="33">
                  <c:v>7.3</c:v>
                </c:pt>
                <c:pt idx="34">
                  <c:v>7.74</c:v>
                </c:pt>
                <c:pt idx="35">
                  <c:v>7.74</c:v>
                </c:pt>
                <c:pt idx="36">
                  <c:v>7.34</c:v>
                </c:pt>
                <c:pt idx="37">
                  <c:v>8.86</c:v>
                </c:pt>
                <c:pt idx="38">
                  <c:v>8.69</c:v>
                </c:pt>
                <c:pt idx="39">
                  <c:v>8.14</c:v>
                </c:pt>
                <c:pt idx="40">
                  <c:v>8.28</c:v>
                </c:pt>
                <c:pt idx="41">
                  <c:v>7.99</c:v>
                </c:pt>
                <c:pt idx="42">
                  <c:v>7.8</c:v>
                </c:pt>
                <c:pt idx="43">
                  <c:v>8.23</c:v>
                </c:pt>
                <c:pt idx="44">
                  <c:v>7.75</c:v>
                </c:pt>
                <c:pt idx="45">
                  <c:v>8.67</c:v>
                </c:pt>
                <c:pt idx="46">
                  <c:v>7.75</c:v>
                </c:pt>
                <c:pt idx="47">
                  <c:v>8.67</c:v>
                </c:pt>
                <c:pt idx="48">
                  <c:v>8.37</c:v>
                </c:pt>
                <c:pt idx="49">
                  <c:v>9.33</c:v>
                </c:pt>
              </c:numCache>
            </c:numRef>
          </c:yVal>
          <c:smooth val="1"/>
        </c:ser>
        <c:ser>
          <c:idx val="1"/>
          <c:order val="1"/>
          <c:tx>
            <c:v>2</c:v>
          </c:tx>
          <c:spPr bwMode="auto">
            <a:prstGeom prst="rect">
              <a:avLst/>
            </a:prstGeom>
            <a:ln w="15875" cap="rnd">
              <a:solidFill>
                <a:schemeClr val="bg1">
                  <a:lumMod val="50000"/>
                </a:schemeClr>
              </a:solidFill>
              <a:round/>
            </a:ln>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Чернігів!$C$4:$C$53</c:f>
              <c:numCache>
                <c:formatCode>General</c:formatCode>
                <c:ptCount val="50"/>
                <c:pt idx="0">
                  <c:v>10.7</c:v>
                </c:pt>
                <c:pt idx="1">
                  <c:v>11.7</c:v>
                </c:pt>
                <c:pt idx="2">
                  <c:v>11.8</c:v>
                </c:pt>
                <c:pt idx="3">
                  <c:v>11.5</c:v>
                </c:pt>
                <c:pt idx="4">
                  <c:v>11.8</c:v>
                </c:pt>
                <c:pt idx="5">
                  <c:v>13.6</c:v>
                </c:pt>
                <c:pt idx="6">
                  <c:v>9.8</c:v>
                </c:pt>
                <c:pt idx="7">
                  <c:v>11</c:v>
                </c:pt>
                <c:pt idx="8">
                  <c:v>10.4</c:v>
                </c:pt>
                <c:pt idx="9">
                  <c:v>11.4</c:v>
                </c:pt>
                <c:pt idx="10">
                  <c:v>9.9</c:v>
                </c:pt>
                <c:pt idx="11">
                  <c:v>12</c:v>
                </c:pt>
                <c:pt idx="12">
                  <c:v>11.8</c:v>
                </c:pt>
                <c:pt idx="13">
                  <c:v>12.8</c:v>
                </c:pt>
                <c:pt idx="14">
                  <c:v>11.2</c:v>
                </c:pt>
                <c:pt idx="15">
                  <c:v>9.9</c:v>
                </c:pt>
                <c:pt idx="16">
                  <c:v>11.7</c:v>
                </c:pt>
                <c:pt idx="17">
                  <c:v>9.6</c:v>
                </c:pt>
                <c:pt idx="18">
                  <c:v>11.3</c:v>
                </c:pt>
                <c:pt idx="19">
                  <c:v>13.5</c:v>
                </c:pt>
                <c:pt idx="20">
                  <c:v>12.7</c:v>
                </c:pt>
                <c:pt idx="21">
                  <c:v>11.3</c:v>
                </c:pt>
                <c:pt idx="22">
                  <c:v>11.8</c:v>
                </c:pt>
                <c:pt idx="23">
                  <c:v>10.5</c:v>
                </c:pt>
                <c:pt idx="24">
                  <c:v>11.5</c:v>
                </c:pt>
                <c:pt idx="25">
                  <c:v>11.9</c:v>
                </c:pt>
                <c:pt idx="26">
                  <c:v>10.7</c:v>
                </c:pt>
                <c:pt idx="27">
                  <c:v>10.7</c:v>
                </c:pt>
                <c:pt idx="28">
                  <c:v>11.4</c:v>
                </c:pt>
                <c:pt idx="29">
                  <c:v>12.9</c:v>
                </c:pt>
                <c:pt idx="30">
                  <c:v>12.4</c:v>
                </c:pt>
                <c:pt idx="31">
                  <c:v>12.1</c:v>
                </c:pt>
                <c:pt idx="32">
                  <c:v>13.5</c:v>
                </c:pt>
                <c:pt idx="33">
                  <c:v>11.6</c:v>
                </c:pt>
                <c:pt idx="34">
                  <c:v>12</c:v>
                </c:pt>
                <c:pt idx="35">
                  <c:v>12</c:v>
                </c:pt>
                <c:pt idx="36">
                  <c:v>12</c:v>
                </c:pt>
                <c:pt idx="37">
                  <c:v>13.4</c:v>
                </c:pt>
                <c:pt idx="38">
                  <c:v>13.2</c:v>
                </c:pt>
                <c:pt idx="39">
                  <c:v>12.6</c:v>
                </c:pt>
                <c:pt idx="40">
                  <c:v>13.1</c:v>
                </c:pt>
                <c:pt idx="41">
                  <c:v>12.8</c:v>
                </c:pt>
                <c:pt idx="42">
                  <c:v>12.4</c:v>
                </c:pt>
                <c:pt idx="43">
                  <c:v>13</c:v>
                </c:pt>
                <c:pt idx="44">
                  <c:v>13.7</c:v>
                </c:pt>
                <c:pt idx="45">
                  <c:v>14.4</c:v>
                </c:pt>
                <c:pt idx="46">
                  <c:v>13.1</c:v>
                </c:pt>
                <c:pt idx="47">
                  <c:v>13.4</c:v>
                </c:pt>
                <c:pt idx="48">
                  <c:v>13.5</c:v>
                </c:pt>
                <c:pt idx="49">
                  <c:v>14.5</c:v>
                </c:pt>
              </c:numCache>
            </c:numRef>
          </c:yVal>
          <c:smooth val="1"/>
        </c:ser>
        <c:ser>
          <c:idx val="2"/>
          <c:order val="2"/>
          <c:tx>
            <c:v>3</c:v>
          </c:tx>
          <c:spPr bwMode="auto">
            <a:prstGeom prst="rect">
              <a:avLst/>
            </a:prstGeom>
            <a:ln w="15875" cap="rnd">
              <a:solidFill>
                <a:schemeClr val="bg1">
                  <a:lumMod val="50000"/>
                </a:schemeClr>
              </a:solidFill>
              <a:round/>
            </a:ln>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Чернігів!$D$4:$D$53</c:f>
              <c:numCache>
                <c:formatCode>General</c:formatCode>
                <c:ptCount val="50"/>
                <c:pt idx="0">
                  <c:v>3</c:v>
                </c:pt>
                <c:pt idx="1">
                  <c:v>2</c:v>
                </c:pt>
                <c:pt idx="2">
                  <c:v>3.1</c:v>
                </c:pt>
                <c:pt idx="3">
                  <c:v>2.2</c:v>
                </c:pt>
                <c:pt idx="4">
                  <c:v>3.1</c:v>
                </c:pt>
                <c:pt idx="5">
                  <c:v>3.9</c:v>
                </c:pt>
                <c:pt idx="6">
                  <c:v>1.1</c:v>
                </c:pt>
                <c:pt idx="7">
                  <c:v>2.4</c:v>
                </c:pt>
                <c:pt idx="8">
                  <c:v>1.9</c:v>
                </c:pt>
                <c:pt idx="9">
                  <c:v>2.3</c:v>
                </c:pt>
                <c:pt idx="10">
                  <c:v>1.7</c:v>
                </c:pt>
                <c:pt idx="11">
                  <c:v>3.3</c:v>
                </c:pt>
                <c:pt idx="12">
                  <c:v>3.1</c:v>
                </c:pt>
                <c:pt idx="13">
                  <c:v>3.4</c:v>
                </c:pt>
                <c:pt idx="14">
                  <c:v>2.4</c:v>
                </c:pt>
                <c:pt idx="15">
                  <c:v>0.3</c:v>
                </c:pt>
                <c:pt idx="16">
                  <c:v>2</c:v>
                </c:pt>
                <c:pt idx="17">
                  <c:v>-0.1</c:v>
                </c:pt>
                <c:pt idx="18">
                  <c:v>2.4</c:v>
                </c:pt>
                <c:pt idx="19">
                  <c:v>3.9</c:v>
                </c:pt>
                <c:pt idx="20">
                  <c:v>4.2</c:v>
                </c:pt>
                <c:pt idx="21">
                  <c:v>3.6</c:v>
                </c:pt>
                <c:pt idx="22">
                  <c:v>3.5</c:v>
                </c:pt>
                <c:pt idx="23">
                  <c:v>2.5</c:v>
                </c:pt>
                <c:pt idx="24">
                  <c:v>3.3</c:v>
                </c:pt>
                <c:pt idx="25">
                  <c:v>3.8</c:v>
                </c:pt>
                <c:pt idx="26">
                  <c:v>2.1</c:v>
                </c:pt>
                <c:pt idx="27">
                  <c:v>2.8</c:v>
                </c:pt>
                <c:pt idx="28">
                  <c:v>3.5</c:v>
                </c:pt>
                <c:pt idx="29">
                  <c:v>4.4</c:v>
                </c:pt>
                <c:pt idx="30">
                  <c:v>4.5</c:v>
                </c:pt>
                <c:pt idx="31">
                  <c:v>3.7</c:v>
                </c:pt>
                <c:pt idx="32">
                  <c:v>3.6</c:v>
                </c:pt>
                <c:pt idx="33">
                  <c:v>3.3</c:v>
                </c:pt>
                <c:pt idx="34">
                  <c:v>3.7</c:v>
                </c:pt>
                <c:pt idx="35">
                  <c:v>3.7</c:v>
                </c:pt>
                <c:pt idx="36">
                  <c:v>3.7</c:v>
                </c:pt>
                <c:pt idx="37">
                  <c:v>4.7</c:v>
                </c:pt>
                <c:pt idx="38">
                  <c:v>4.6</c:v>
                </c:pt>
                <c:pt idx="39">
                  <c:v>3.9</c:v>
                </c:pt>
                <c:pt idx="40">
                  <c:v>3.7</c:v>
                </c:pt>
                <c:pt idx="41">
                  <c:v>3.8</c:v>
                </c:pt>
                <c:pt idx="42">
                  <c:v>3.7</c:v>
                </c:pt>
                <c:pt idx="43">
                  <c:v>4.4</c:v>
                </c:pt>
                <c:pt idx="44">
                  <c:v>3.4</c:v>
                </c:pt>
                <c:pt idx="45">
                  <c:v>4.3</c:v>
                </c:pt>
                <c:pt idx="46">
                  <c:v>4</c:v>
                </c:pt>
                <c:pt idx="47">
                  <c:v>3.8</c:v>
                </c:pt>
                <c:pt idx="48">
                  <c:v>3.6</c:v>
                </c:pt>
                <c:pt idx="49">
                  <c:v>4.3</c:v>
                </c:pt>
              </c:numCache>
            </c:numRef>
          </c:yVal>
          <c:smooth val="1"/>
        </c:ser>
        <c:dLbls>
          <c:showBubbleSize val="0"/>
          <c:showCatName val="0"/>
          <c:showLeaderLines val="0"/>
          <c:showLegendKey val="0"/>
          <c:showPercent val="0"/>
          <c:showSerName val="0"/>
          <c:showVal val="0"/>
        </c:dLbls>
        <c:axId val="632706456"/>
        <c:axId val="632707240"/>
      </c:scatterChart>
      <c:valAx>
        <c:axId val="632706456"/>
        <c:scaling>
          <c:orientation val="minMax"/>
          <c:min val="1965"/>
        </c:scaling>
        <c:delete val="0"/>
        <c:axPos val="b"/>
        <c:numFmt formatCode="General" sourceLinked="1"/>
        <c:majorTickMark val="in"/>
        <c:minorTickMark val="none"/>
        <c:tickLblPos val="nextTo"/>
        <c:spPr bwMode="auto">
          <a:prstGeom prst="rect">
            <a:avLst/>
          </a:prstGeom>
          <a:noFill/>
          <a:ln w="9525" cap="flat" cmpd="sng" algn="ctr">
            <a:solidFill>
              <a:schemeClr val="tx1">
                <a:lumMod val="50000"/>
                <a:lumOff val="50000"/>
              </a:schemeClr>
            </a:solidFill>
            <a:round/>
          </a:ln>
        </c:spPr>
        <c:txPr>
          <a:bodyPr rot="-60000000" spcFirstLastPara="true" vertOverflow="ellipsis" vert="horz" wrap="square" anchor="ctr" anchorCtr="true"/>
          <a:lstStyle/>
          <a:p>
            <a:pPr>
              <a:defRPr sz="1000" b="0" i="0" u="none" strike="noStrike">
                <a:solidFill>
                  <a:sysClr val="windowText" lastClr="000000"/>
                </a:solidFill>
                <a:latin typeface="Times New Roman"/>
                <a:ea typeface="+mn-ea"/>
                <a:cs typeface="Times New Roman"/>
              </a:defRPr>
            </a:pPr>
            <a:endParaRPr lang="uk-UA"/>
          </a:p>
        </c:txPr>
        <c:crossAx val="632707240"/>
        <c:crosses val="autoZero"/>
        <c:crossesAt val="-2"/>
        <c:crossBetween val="midCat"/>
        <c:majorUnit val="5"/>
      </c:valAx>
      <c:valAx>
        <c:axId val="632707240"/>
        <c:scaling>
          <c:orientation val="minMax"/>
          <c:max val="15"/>
          <c:min val="-2"/>
        </c:scaling>
        <c:delete val="0"/>
        <c:axPos val="l"/>
        <c:title>
          <c:tx>
            <c:rich>
              <a:bodyPr rot="-5400000" spcFirstLastPara="true" vertOverflow="ellipsis" vert="horz" wrap="square" anchor="ctr" anchorCtr="true"/>
              <a:lstStyle/>
              <a:p>
                <a:pPr>
                  <a:defRPr sz="1050" b="1" i="0" u="none" strike="noStrike">
                    <a:solidFill>
                      <a:sysClr val="windowText" lastClr="000000"/>
                    </a:solidFill>
                    <a:latin typeface="Times New Roman"/>
                    <a:ea typeface="+mn-ea"/>
                    <a:cs typeface="Times New Roman"/>
                  </a:defRPr>
                </a:pPr>
                <a:r>
                  <a:rPr lang="ru-RU" b="1">
                    <a:latin typeface="Times New Roman"/>
                    <a:cs typeface="Times New Roman"/>
                  </a:rPr>
                  <a:t>Температура,</a:t>
                </a:r>
                <a:r>
                  <a:rPr lang="ru-RU" b="1">
                    <a:latin typeface="Times New Roman"/>
                    <a:cs typeface="Times New Roman"/>
                  </a:rPr>
                  <a:t> оС</a:t>
                </a:r>
                <a:endParaRPr lang="ru-RU" b="1">
                  <a:latin typeface="Times New Roman"/>
                  <a:cs typeface="Times New Roman"/>
                </a:endParaRPr>
              </a:p>
            </c:rich>
          </c:tx>
          <c:layout>
            <c:manualLayout>
              <c:xMode val="edge"/>
              <c:yMode val="edge"/>
              <c:x val="0.00051377952755905516"/>
              <c:y val="0.22083296879556721"/>
            </c:manualLayout>
          </c:layout>
          <c:overlay val="0"/>
          <c:spPr bwMode="auto">
            <a:prstGeom prst="rect">
              <a:avLst/>
            </a:prstGeom>
            <a:noFill/>
            <a:ln>
              <a:noFill/>
            </a:ln>
          </c:spPr>
          <c:txPr>
            <a:bodyPr rot="-5400000" spcFirstLastPara="true" vertOverflow="ellipsis" vert="horz" wrap="square" anchor="ctr" anchorCtr="true"/>
            <a:lstStyle/>
            <a:p>
              <a:pPr>
                <a:defRPr sz="1050" b="1" i="0" u="none" strike="noStrike">
                  <a:solidFill>
                    <a:sysClr val="windowText" lastClr="000000"/>
                  </a:solidFill>
                  <a:latin typeface="Times New Roman"/>
                  <a:ea typeface="+mn-ea"/>
                  <a:cs typeface="Times New Roman"/>
                </a:defRPr>
              </a:pPr>
              <a:endParaRPr lang="uk-UA"/>
            </a:p>
          </c:txPr>
        </c:title>
        <c:numFmt formatCode="General" sourceLinked="0"/>
        <c:majorTickMark val="in"/>
        <c:minorTickMark val="none"/>
        <c:tickLblPos val="nextTo"/>
        <c:spPr bwMode="auto">
          <a:prstGeom prst="rect">
            <a:avLst/>
          </a:prstGeom>
          <a:noFill/>
          <a:ln w="9525" cap="flat" cmpd="sng" algn="ctr">
            <a:solidFill>
              <a:schemeClr val="tx1">
                <a:lumMod val="50000"/>
                <a:lumOff val="50000"/>
              </a:schemeClr>
            </a:solidFill>
            <a:round/>
          </a:ln>
        </c:spPr>
        <c:txPr>
          <a:bodyPr rot="-60000000" spcFirstLastPara="true" vertOverflow="ellipsis" vert="horz" wrap="square" anchor="ctr" anchorCtr="true"/>
          <a:lstStyle/>
          <a:p>
            <a:pPr>
              <a:defRPr sz="1050" b="0" i="0" u="none" strike="noStrike">
                <a:solidFill>
                  <a:sysClr val="windowText" lastClr="000000"/>
                </a:solidFill>
                <a:latin typeface="Times New Roman"/>
                <a:ea typeface="+mn-ea"/>
                <a:cs typeface="Times New Roman"/>
              </a:defRPr>
            </a:pPr>
            <a:endParaRPr lang="uk-UA"/>
          </a:p>
        </c:txPr>
        <c:crossAx val="632706456"/>
        <c:crosses val="autoZero"/>
        <c:crossBetween val="midCat"/>
        <c:majorUnit val="2"/>
      </c:valAx>
      <c:spPr bwMode="auto">
        <a:prstGeom prst="rect">
          <a:avLst/>
        </a:prstGeom>
        <a:noFill/>
        <a:ln>
          <a:solidFill>
            <a:schemeClr val="bg1">
              <a:lumMod val="50000"/>
            </a:schemeClr>
          </a:solidFill>
        </a:ln>
      </c:spPr>
    </c:plotArea>
    <c:legend>
      <c:legendPos val="b"/>
      <c:legendEntry>
        <c:idx val="2"/>
        <c:delete val="1"/>
      </c:legendEntry>
      <c:layout>
        <c:manualLayout>
          <c:xMode val="edge"/>
          <c:yMode val="edge"/>
          <c:x val="0.59496223854836872"/>
          <c:y val="0.78272203681938046"/>
          <c:w val="0.30961080736530705"/>
          <c:h val="0.085088485874536393"/>
        </c:manualLayout>
      </c:layout>
      <c:overlay val="0"/>
      <c:spPr bwMode="auto">
        <a:prstGeom prst="rect">
          <a:avLst/>
        </a:prstGeom>
        <a:noFill/>
        <a:ln>
          <a:noFill/>
        </a:ln>
      </c:spPr>
      <c:txPr>
        <a:bodyPr rot="0" spcFirstLastPara="true" vertOverflow="ellipsis" vert="horz" wrap="square" anchor="ctr" anchorCtr="true"/>
        <a:lstStyle/>
        <a:p>
          <a:pPr>
            <a:defRPr sz="1000" b="0" i="0" u="none" strike="noStrike">
              <a:solidFill>
                <a:sysClr val="windowText" lastClr="000000"/>
              </a:solidFill>
              <a:latin typeface="+mj-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noFill/>
      <a:round/>
    </a:ln>
  </c:spPr>
  <c:txPr>
    <a:bodyPr/>
    <a:lstStyle/>
    <a:p>
      <a:pPr>
        <a:defRPr sz="1050">
          <a:solidFill>
            <a:sysClr val="windowText" lastClr="000000"/>
          </a:solidFill>
          <a:latin typeface="+mj-lt"/>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600" b="1" i="0" u="none" strike="noStrike">
                <a:solidFill>
                  <a:schemeClr val="tx1">
                    <a:lumMod val="65000"/>
                    <a:lumOff val="35000"/>
                  </a:schemeClr>
                </a:solidFill>
                <a:latin typeface="+mn-lt"/>
                <a:ea typeface="+mn-ea"/>
                <a:cs typeface="+mn-cs"/>
              </a:defRPr>
            </a:pPr>
            <a:r>
              <a:rPr lang="uk-UA" sz="1200">
                <a:solidFill>
                  <a:sysClr val="windowText" lastClr="000000"/>
                </a:solidFill>
                <a:latin typeface="Arial"/>
                <a:cs typeface="Arial"/>
              </a:rPr>
              <a:t>Структура земельного фонду</a:t>
            </a:r>
            <a:endParaRPr/>
          </a:p>
        </c:rich>
      </c:tx>
      <c:layout/>
      <c:overlay val="0"/>
      <c:spPr bwMode="auto">
        <a:prstGeom prst="rect">
          <a:avLst/>
        </a:prstGeom>
        <a:noFill/>
        <a:ln>
          <a:noFill/>
        </a:ln>
      </c:spPr>
      <c:txPr>
        <a:bodyPr rot="0" spcFirstLastPara="true" vertOverflow="ellipsis" vert="horz" wrap="square" anchor="ctr" anchorCtr="true"/>
        <a:lstStyle/>
        <a:p>
          <a:pPr>
            <a:defRPr sz="1600" b="1" i="0" u="none" strike="noStrike">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bwMode="auto">
        <a:prstGeom prst="rect">
          <a:avLst/>
        </a:prstGeom>
        <a:noFill/>
        <a:ln>
          <a:noFill/>
        </a:ln>
      </c:spPr>
    </c:floor>
    <c:sideWall>
      <c:thickness val="0"/>
      <c:spPr bwMode="auto">
        <a:prstGeom prst="rect">
          <a:avLst/>
        </a:prstGeom>
        <a:noFill/>
        <a:ln>
          <a:noFill/>
        </a:ln>
      </c:spPr>
    </c:sideWall>
    <c:backWall>
      <c:thickness val="0"/>
      <c:spPr bwMode="auto">
        <a:prstGeom prst="rect">
          <a:avLst/>
        </a:prstGeom>
        <a:noFill/>
        <a:ln>
          <a:noFill/>
        </a:ln>
      </c:spPr>
    </c:backWall>
    <c:plotArea>
      <c:layout>
        <c:manualLayout>
          <c:layoutTarget val="inner"/>
          <c:xMode val="edge"/>
          <c:yMode val="edge"/>
          <c:x val="0"/>
          <c:y val="0.11161879895561355"/>
          <c:w val="1"/>
          <c:h val="0.66155198289508854"/>
        </c:manualLayout>
      </c:layout>
      <c:pie3DChart>
        <c:varyColors val="1"/>
        <c:ser>
          <c:idx val="0"/>
          <c:order val="0"/>
          <c:tx>
            <c:strRef>
              <c:f>Лист1!$B$1</c:f>
              <c:strCache>
                <c:ptCount val="1"/>
                <c:pt idx="0">
                  <c:v>Продажи</c:v>
                </c:pt>
              </c:strCache>
            </c:strRef>
          </c:tx>
          <c:dPt>
            <c:idx val="0"/>
            <c:bubble3D val="0"/>
            <c:spPr bwMode="auto">
              <a:prstGeom prst="rect">
                <a:avLst/>
              </a:prstGeom>
              <a:solidFill>
                <a:schemeClr val="accent1"/>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1"/>
            <c:bubble3D val="0"/>
            <c:spPr bwMode="auto">
              <a:prstGeom prst="rect">
                <a:avLst/>
              </a:prstGeom>
              <a:solidFill>
                <a:srgbClr val="00B0F0"/>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2"/>
            <c:bubble3D val="0"/>
            <c:spPr bwMode="auto">
              <a:prstGeom prst="rect">
                <a:avLst/>
              </a:prstGeom>
              <a:solidFill>
                <a:schemeClr val="accent4"/>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3"/>
            <c:bubble3D val="0"/>
            <c:spPr bwMode="auto">
              <a:prstGeom prst="rect">
                <a:avLst/>
              </a:prstGeom>
              <a:solidFill>
                <a:srgbClr val="7030A0"/>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4"/>
            <c:bubble3D val="0"/>
            <c:spPr bwMode="auto">
              <a:prstGeom prst="rect">
                <a:avLst/>
              </a:prstGeom>
              <a:solidFill>
                <a:srgbClr val="FFFF00"/>
              </a:solidFill>
              <a:ln>
                <a:solidFill>
                  <a:srgbClr val="00B050"/>
                </a:solid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5"/>
            <c:bubble3D val="0"/>
            <c:spPr bwMode="auto">
              <a:prstGeom prst="rect">
                <a:avLst/>
              </a:prstGeom>
              <a:gradFill>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false"/>
              </a:gra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6"/>
            <c:bubble3D val="0"/>
            <c:spPr bwMode="auto">
              <a:prstGeom prst="rect">
                <a:avLst/>
              </a:prstGeom>
              <a:solidFill>
                <a:srgbClr val="FFC000"/>
              </a:solidFill>
              <a:ln>
                <a:solidFill>
                  <a:srgbClr val="FFC000"/>
                </a:solid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7"/>
            <c:bubble3D val="0"/>
            <c:spPr bwMode="auto">
              <a:prstGeom prst="rect">
                <a:avLst/>
              </a:prstGeom>
              <a:solidFill>
                <a:srgbClr val="002060"/>
              </a:soli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Pt>
            <c:idx val="8"/>
            <c:bubble3D val="0"/>
            <c:spPr bwMode="auto">
              <a:prstGeom prst="rect">
                <a:avLst/>
              </a:prstGeom>
              <a:gradFill>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false"/>
              </a:gradFill>
              <a:ln>
                <a:noFill/>
              </a:ln>
              <a:outerShdw blurRad="57150" dir="19050" dist="5400000" rotWithShape="false">
                <a:srgbClr val="000000">
                  <a:alpha val="63000"/>
                </a:srgbClr>
              </a:outerShdw>
              <a:effectLst>
                <a:outerShdw blurRad="57150" dir="19050" dist="5400000" rotWithShape="false">
                  <a:srgbClr val="000000">
                    <a:alpha val="63000"/>
                  </a:srgbClr>
                </a:outerShdw>
              </a:effectLst>
            </c:spPr>
          </c:dPt>
          <c:dLbls>
            <c:dLbl>
              <c:idx val="0"/>
              <c:dLblPos val="bestFit"/>
              <c:layout/>
              <c:showBubbleSize val="0"/>
              <c:showCatName val="0"/>
              <c:showLegendKey val="0"/>
              <c:showPercent val="1"/>
              <c:showSerName val="0"/>
              <c:showVal val="0"/>
              <c:spPr bwMode="auto">
                <a:prstGeom prst="rect">
                  <a:avLst/>
                </a:prstGeom>
                <a:noFill/>
                <a:ln>
                  <a:noFill/>
                </a:ln>
              </c:spPr>
              <c:txPr>
                <a:bodyPr rot="0" spcFirstLastPara="true" vertOverflow="ellipsis" vert="horz" wrap="square" lIns="38100" tIns="19050" rIns="38100" bIns="19050" anchor="ctr" anchorCtr="true">
                  <a:spAutoFit/>
                </a:bodyPr>
                <a:lstStyle/>
                <a:p>
                  <a:pPr>
                    <a:defRPr sz="1200" b="1" i="0" u="none" strike="noStrike">
                      <a:solidFill>
                        <a:schemeClr val="bg1"/>
                      </a:solidFill>
                      <a:latin typeface="+mn-lt"/>
                      <a:ea typeface="+mn-ea"/>
                      <a:cs typeface="+mn-cs"/>
                    </a:defRPr>
                  </a:pPr>
                  <a:endParaRPr lang="uk-UA"/>
                </a:p>
              </c:txPr>
            </c:dLbl>
            <c:dLbl>
              <c:idx val="1"/>
              <c:dLblPos val="bestFit"/>
              <c:layout/>
              <c:showBubbleSize val="0"/>
              <c:showCatName val="0"/>
              <c:showLegendKey val="0"/>
              <c:showPercent val="1"/>
              <c:showSerName val="0"/>
              <c:showVal val="0"/>
              <c:spPr bwMode="auto">
                <a:prstGeom prst="rect">
                  <a:avLst/>
                </a:prstGeom>
                <a:noFill/>
                <a:ln>
                  <a:noFill/>
                </a:ln>
              </c:spPr>
              <c:txPr>
                <a:bodyPr rot="0" spcFirstLastPara="true" vertOverflow="ellipsis" vert="horz" wrap="square" lIns="38100" tIns="19050" rIns="38100" bIns="19050" anchor="ctr" anchorCtr="true">
                  <a:spAutoFit/>
                </a:bodyPr>
                <a:lstStyle/>
                <a:p>
                  <a:pPr>
                    <a:defRPr sz="1200" b="1" i="0" u="none" strike="noStrike">
                      <a:solidFill>
                        <a:schemeClr val="bg1"/>
                      </a:solidFill>
                      <a:latin typeface="+mn-lt"/>
                      <a:ea typeface="+mn-ea"/>
                      <a:cs typeface="+mn-cs"/>
                    </a:defRPr>
                  </a:pPr>
                  <a:endParaRPr lang="uk-UA"/>
                </a:p>
              </c:txPr>
            </c:dLbl>
            <c:dLbl>
              <c:idx val="5"/>
              <c:dLblPos val="bestFit"/>
              <c:layout/>
              <c:showBubbleSize val="0"/>
              <c:showCatName val="0"/>
              <c:showLegendKey val="0"/>
              <c:showPercent val="1"/>
              <c:showSerName val="0"/>
              <c:showVal val="0"/>
              <c:spPr bwMode="auto">
                <a:prstGeom prst="rect">
                  <a:avLst/>
                </a:prstGeom>
                <a:noFill/>
                <a:ln>
                  <a:noFill/>
                </a:ln>
              </c:spPr>
              <c:txPr>
                <a:bodyPr rot="0" spcFirstLastPara="true" vertOverflow="ellipsis" vert="horz" wrap="square" lIns="38100" tIns="19050" rIns="38100" bIns="19050" anchor="ctr" anchorCtr="true">
                  <a:spAutoFit/>
                </a:bodyPr>
                <a:lstStyle/>
                <a:p>
                  <a:pPr>
                    <a:defRPr sz="1200" b="1" i="0" u="none" strike="noStrike">
                      <a:solidFill>
                        <a:schemeClr val="bg1"/>
                      </a:solidFill>
                      <a:latin typeface="+mn-lt"/>
                      <a:ea typeface="+mn-ea"/>
                      <a:cs typeface="+mn-cs"/>
                    </a:defRPr>
                  </a:pPr>
                  <a:endParaRPr lang="uk-UA"/>
                </a:p>
              </c:txPr>
            </c:dLbl>
            <c:dLbl>
              <c:idx val="8"/>
              <c:dLblPos val="bestFit"/>
              <c:layout/>
              <c:showBubbleSize val="0"/>
              <c:showCatName val="0"/>
              <c:showLegendKey val="0"/>
              <c:showPercent val="1"/>
              <c:showSerName val="0"/>
              <c:showVal val="0"/>
              <c:spPr bwMode="auto">
                <a:prstGeom prst="rect">
                  <a:avLst/>
                </a:prstGeom>
                <a:noFill/>
                <a:ln>
                  <a:noFill/>
                </a:ln>
              </c:spPr>
              <c:txPr>
                <a:bodyPr rot="0" spcFirstLastPara="true" vertOverflow="ellipsis" vert="horz" wrap="square" lIns="38100" tIns="19050" rIns="38100" bIns="19050" anchor="ctr" anchorCtr="true">
                  <a:spAutoFit/>
                </a:bodyPr>
                <a:lstStyle/>
                <a:p>
                  <a:pPr>
                    <a:defRPr sz="1200" b="1" i="0" u="none" strike="noStrike">
                      <a:solidFill>
                        <a:schemeClr val="bg1"/>
                      </a:solidFill>
                      <a:latin typeface="+mn-lt"/>
                      <a:ea typeface="+mn-ea"/>
                      <a:cs typeface="+mn-cs"/>
                    </a:defRPr>
                  </a:pPr>
                  <a:endParaRPr lang="uk-UA"/>
                </a:p>
              </c:txPr>
            </c:dLbl>
            <c:dLblPos val="bestFit"/>
            <c:leaderLines>
              <c:spPr bwMode="auto">
                <a:prstGeom prst="rect">
                  <a:avLst/>
                </a:prstGeom>
                <a:ln w="9525" cap="flat" cmpd="sng" algn="ctr">
                  <a:solidFill>
                    <a:schemeClr val="tx1">
                      <a:lumMod val="35000"/>
                      <a:lumOff val="65000"/>
                    </a:schemeClr>
                  </a:solidFill>
                  <a:round/>
                </a:ln>
              </c:spPr>
            </c:leaderLines>
            <c:showBubbleSize val="0"/>
            <c:showCatName val="0"/>
            <c:showLeaderLines val="1"/>
            <c:showLegendKey val="0"/>
            <c:showPercent val="1"/>
            <c:showSerName val="0"/>
            <c:showVal val="0"/>
            <c:spPr bwMode="auto">
              <a:prstGeom prst="rect">
                <a:avLst/>
              </a:prstGeom>
              <a:noFill/>
              <a:ln>
                <a:noFill/>
              </a:ln>
            </c:spPr>
            <c:txPr>
              <a:bodyPr rot="0" spcFirstLastPara="true" vertOverflow="ellipsis" vert="horz" wrap="square" lIns="38100" tIns="19050" rIns="38100" bIns="19050" anchor="ctr" anchorCtr="true">
                <a:spAutoFit/>
              </a:bodyPr>
              <a:lstStyle/>
              <a:p>
                <a:pPr>
                  <a:defRPr sz="1200" b="1" i="0" u="none" strike="noStrike">
                    <a:solidFill>
                      <a:schemeClr val="tx1">
                        <a:lumMod val="75000"/>
                        <a:lumOff val="25000"/>
                      </a:schemeClr>
                    </a:solidFill>
                    <a:latin typeface="+mn-lt"/>
                    <a:ea typeface="+mn-ea"/>
                    <a:cs typeface="+mn-cs"/>
                  </a:defRPr>
                </a:pPr>
                <a:endParaRPr lang="uk-UA"/>
              </a:p>
            </c:txPr>
          </c:dLbls>
          <c:cat>
            <c:strRef>
              <c:f>Лист1!$A$2:$A$9</c:f>
              <c:strCache>
                <c:ptCount val="8"/>
                <c:pt idx="0">
                  <c:v xml:space="preserve">С/г угіддя</c:v>
                </c:pt>
                <c:pt idx="1">
                  <c:v xml:space="preserve">Ліси та чагарники</c:v>
                </c:pt>
                <c:pt idx="2">
                  <c:v xml:space="preserve">Забудовані землі</c:v>
                </c:pt>
                <c:pt idx="3">
                  <c:v xml:space="preserve">Під господ угіддями</c:v>
                </c:pt>
                <c:pt idx="4">
                  <c:v xml:space="preserve">Землі транспорту та зв’язку </c:v>
                </c:pt>
                <c:pt idx="5">
                  <c:v xml:space="preserve">Заболочені землі</c:v>
                </c:pt>
                <c:pt idx="6">
                  <c:v>Води</c:v>
                </c:pt>
                <c:pt idx="7">
                  <c:v xml:space="preserve">Землі для відпочинку</c:v>
                </c:pt>
              </c:strCache>
            </c:strRef>
          </c:cat>
          <c:val>
            <c:numRef>
              <c:f>Лист1!$B$2:$B$9</c:f>
              <c:numCache>
                <c:formatCode>General</c:formatCode>
                <c:ptCount val="8"/>
                <c:pt idx="0">
                  <c:v>80183.6</c:v>
                </c:pt>
                <c:pt idx="1">
                  <c:v>9466.2</c:v>
                </c:pt>
                <c:pt idx="2">
                  <c:v>2618</c:v>
                </c:pt>
                <c:pt idx="3">
                  <c:v>1909.1</c:v>
                </c:pt>
                <c:pt idx="4">
                  <c:v>525.6</c:v>
                </c:pt>
                <c:pt idx="5">
                  <c:v>4340.4</c:v>
                </c:pt>
                <c:pt idx="6">
                  <c:v>3137.5</c:v>
                </c:pt>
                <c:pt idx="7">
                  <c:v>777.3</c:v>
                </c:pt>
              </c:numCache>
            </c:numRef>
          </c:val>
        </c:ser>
        <c:dLbls>
          <c:dLblPos val="inEnd"/>
          <c:showBubbleSize val="0"/>
          <c:showCatName val="0"/>
          <c:showLeaderLines val="1"/>
          <c:showLegendKey val="0"/>
          <c:showPercent val="1"/>
          <c:showSerName val="0"/>
          <c:showVal val="0"/>
        </c:dLbls>
      </c:pie3DChart>
      <c:spPr bwMode="auto">
        <a:prstGeom prst="rect">
          <a:avLst/>
        </a:prstGeom>
        <a:noFill/>
        <a:ln>
          <a:noFill/>
        </a:ln>
      </c:spPr>
    </c:plotArea>
    <c:legend>
      <c:legendPos val="b"/>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noFill/>
      <a:round/>
    </a:ln>
  </c:spPr>
  <c:txPr>
    <a:bodyPr/>
    <a:lstStyle/>
    <a:p>
      <a:pPr>
        <a:defRPr/>
      </a:pPr>
      <a:endParaRPr lang="uk-UA"/>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1"/>
    </mc:Choice>
    <mc:Fallback>
      <c:style val="1"/>
    </mc:Fallback>
  </mc:AlternateContent>
  <c:chart>
    <c:autoTitleDeleted val="0"/>
    <c:plotArea>
      <c:layout>
        <c:manualLayout>
          <c:layoutTarget val="inner"/>
          <c:xMode val="edge"/>
          <c:yMode val="edge"/>
          <c:x val="0.18313054128504255"/>
          <c:y val="0.051400498037657109"/>
          <c:w val="0.7653263539933165"/>
          <c:h val="0.84510249168494223"/>
        </c:manualLayout>
      </c:layout>
      <c:barChart>
        <c:barDir val="col"/>
        <c:grouping val="clustered"/>
        <c:varyColors val="0"/>
        <c:ser>
          <c:idx val="1"/>
          <c:order val="0"/>
          <c:tx>
            <c:v>1</c:v>
          </c:tx>
          <c:invertIfNegative val="0"/>
          <c:val>
            <c:numRef>
              <c:f>НОРМА!$C$52:$N$52</c:f>
              <c:numCache>
                <c:formatCode>General</c:formatCode>
                <c:ptCount val="12"/>
              </c:numCache>
            </c:numRef>
          </c:val>
        </c:ser>
        <c:ser>
          <c:idx val="2"/>
          <c:order val="1"/>
          <c:tx>
            <c:v>1</c:v>
          </c:tx>
          <c:spPr bwMode="auto">
            <a:prstGeom prst="rect">
              <a:avLst/>
            </a:prstGeom>
            <a:solidFill>
              <a:schemeClr val="bg1">
                <a:lumMod val="65000"/>
              </a:schemeClr>
            </a:solidFill>
          </c:spPr>
          <c:invertIfNegative val="0"/>
          <c:val>
            <c:numRef>
              <c:f>НОРМА!$C$27:$N$27</c:f>
              <c:numCache>
                <c:formatCode>General</c:formatCode>
                <c:ptCount val="12"/>
                <c:pt idx="0">
                  <c:v>42</c:v>
                </c:pt>
                <c:pt idx="1">
                  <c:v>38</c:v>
                </c:pt>
                <c:pt idx="2">
                  <c:v>38</c:v>
                </c:pt>
                <c:pt idx="3">
                  <c:v>42</c:v>
                </c:pt>
                <c:pt idx="4">
                  <c:v>49</c:v>
                </c:pt>
                <c:pt idx="5">
                  <c:v>79</c:v>
                </c:pt>
                <c:pt idx="6">
                  <c:v>92</c:v>
                </c:pt>
                <c:pt idx="7">
                  <c:v>67</c:v>
                </c:pt>
                <c:pt idx="8">
                  <c:v>47</c:v>
                </c:pt>
                <c:pt idx="9">
                  <c:v>37</c:v>
                </c:pt>
                <c:pt idx="10">
                  <c:v>48</c:v>
                </c:pt>
                <c:pt idx="11">
                  <c:v>51</c:v>
                </c:pt>
              </c:numCache>
            </c:numRef>
          </c:val>
        </c:ser>
        <c:ser>
          <c:idx val="3"/>
          <c:order val="2"/>
          <c:tx>
            <c:v>2</c:v>
          </c:tx>
          <c:spPr bwMode="auto">
            <a:prstGeom prst="rect">
              <a:avLst/>
            </a:prstGeom>
            <a:solidFill>
              <a:schemeClr val="tx1">
                <a:lumMod val="65000"/>
                <a:lumOff val="35000"/>
              </a:schemeClr>
            </a:solidFill>
          </c:spPr>
          <c:invertIfNegative val="0"/>
          <c:val>
            <c:numRef>
              <c:f>НОРМА!$C$39:$N$39</c:f>
              <c:numCache>
                <c:formatCode>General</c:formatCode>
                <c:ptCount val="12"/>
                <c:pt idx="0">
                  <c:v>42</c:v>
                </c:pt>
                <c:pt idx="1">
                  <c:v>36</c:v>
                </c:pt>
                <c:pt idx="2">
                  <c:v>35</c:v>
                </c:pt>
                <c:pt idx="3">
                  <c:v>42</c:v>
                </c:pt>
                <c:pt idx="4">
                  <c:v>45</c:v>
                </c:pt>
                <c:pt idx="5">
                  <c:v>79</c:v>
                </c:pt>
                <c:pt idx="6">
                  <c:v>80</c:v>
                </c:pt>
                <c:pt idx="7">
                  <c:v>67</c:v>
                </c:pt>
                <c:pt idx="8">
                  <c:v>43</c:v>
                </c:pt>
                <c:pt idx="9">
                  <c:v>35</c:v>
                </c:pt>
                <c:pt idx="10">
                  <c:v>48</c:v>
                </c:pt>
                <c:pt idx="11">
                  <c:v>47</c:v>
                </c:pt>
              </c:numCache>
            </c:numRef>
          </c:val>
        </c:ser>
        <c:ser>
          <c:idx val="4"/>
          <c:order val="4"/>
          <c:tx>
            <c:strRef>
              <c:f>НОРМА!$C$29:$N$29</c:f>
              <c:strCache>
                <c:ptCount val="12"/>
                <c:pt idx="0">
                  <c:v>7</c:v>
                </c:pt>
                <c:pt idx="1">
                  <c:v>3</c:v>
                </c:pt>
                <c:pt idx="2">
                  <c:v>2</c:v>
                </c:pt>
                <c:pt idx="3">
                  <c:v>7</c:v>
                </c:pt>
                <c:pt idx="4">
                  <c:v>7</c:v>
                </c:pt>
                <c:pt idx="5">
                  <c:v>12</c:v>
                </c:pt>
                <c:pt idx="6">
                  <c:v>10</c:v>
                </c:pt>
                <c:pt idx="7">
                  <c:v>7</c:v>
                </c:pt>
                <c:pt idx="8">
                  <c:v>3</c:v>
                </c:pt>
                <c:pt idx="9">
                  <c:v>3</c:v>
                </c:pt>
                <c:pt idx="10">
                  <c:v>3</c:v>
                </c:pt>
                <c:pt idx="11">
                  <c:v>5</c:v>
                </c:pt>
              </c:strCache>
            </c:strRef>
          </c:tx>
          <c:invertIfNegative val="0"/>
          <c:val>
            <c:numLit>
              <c:formatCode>General</c:formatCode>
              <c:ptCount val="1"/>
              <c:pt idx="0">
                <c:v>1</c:v>
              </c:pt>
            </c:numLit>
          </c:val>
        </c:ser>
        <c:dLbls>
          <c:showBubbleSize val="0"/>
          <c:showCatName val="0"/>
          <c:showLeaderLines val="0"/>
          <c:showLegendKey val="0"/>
          <c:showPercent val="0"/>
          <c:showSerName val="0"/>
          <c:showVal val="0"/>
        </c:dLbls>
        <c:gapWidth val="0"/>
        <c:axId val="632696656"/>
        <c:axId val="632697440"/>
      </c:barChart>
      <c:lineChart>
        <c:grouping val="standard"/>
        <c:varyColors val="0"/>
        <c:ser>
          <c:idx val="0"/>
          <c:order val="3"/>
          <c:tx>
            <c:v>3</c:v>
          </c:tx>
          <c:spPr bwMode="auto">
            <a:prstGeom prst="rect">
              <a:avLst/>
            </a:prstGeom>
            <a:ln>
              <a:solidFill>
                <a:schemeClr val="tx1"/>
              </a:solidFill>
              <a:prstDash val="dash"/>
            </a:ln>
          </c:spPr>
          <c:marker>
            <c:symbol val="none"/>
          </c:marker>
          <c:val>
            <c:numRef>
              <c:f>НОРМА!$C$30:$N$30</c:f>
              <c:numCache>
                <c:formatCode>General</c:formatCode>
                <c:ptCount val="12"/>
                <c:pt idx="0">
                  <c:v>82</c:v>
                </c:pt>
                <c:pt idx="1">
                  <c:v>81</c:v>
                </c:pt>
                <c:pt idx="2">
                  <c:v>92</c:v>
                </c:pt>
                <c:pt idx="3">
                  <c:v>121</c:v>
                </c:pt>
                <c:pt idx="4">
                  <c:v>167</c:v>
                </c:pt>
                <c:pt idx="5">
                  <c:v>206</c:v>
                </c:pt>
                <c:pt idx="6">
                  <c:v>216</c:v>
                </c:pt>
                <c:pt idx="7">
                  <c:v>202</c:v>
                </c:pt>
                <c:pt idx="8">
                  <c:v>155</c:v>
                </c:pt>
                <c:pt idx="9">
                  <c:v>131</c:v>
                </c:pt>
                <c:pt idx="10">
                  <c:v>119</c:v>
                </c:pt>
                <c:pt idx="11">
                  <c:v>105</c:v>
                </c:pt>
              </c:numCache>
            </c:numRef>
          </c:val>
          <c:smooth val="1"/>
        </c:ser>
        <c:ser>
          <c:idx val="5"/>
          <c:order val="5"/>
          <c:tx>
            <c:v>4</c:v>
          </c:tx>
          <c:spPr bwMode="auto">
            <a:prstGeom prst="rect">
              <a:avLst/>
            </a:prstGeom>
            <a:ln>
              <a:solidFill>
                <a:schemeClr val="tx1"/>
              </a:solidFill>
              <a:prstDash val="dash"/>
            </a:ln>
          </c:spPr>
          <c:marker>
            <c:symbol val="none"/>
          </c:marker>
          <c:val>
            <c:numRef>
              <c:f>НОРМА!$C$29:$N$29</c:f>
              <c:numCache>
                <c:formatCode>General</c:formatCode>
                <c:ptCount val="12"/>
                <c:pt idx="0">
                  <c:v>7</c:v>
                </c:pt>
                <c:pt idx="1">
                  <c:v>3</c:v>
                </c:pt>
                <c:pt idx="2">
                  <c:v>2</c:v>
                </c:pt>
                <c:pt idx="3">
                  <c:v>7</c:v>
                </c:pt>
                <c:pt idx="4">
                  <c:v>7</c:v>
                </c:pt>
                <c:pt idx="5">
                  <c:v>12</c:v>
                </c:pt>
                <c:pt idx="6">
                  <c:v>10</c:v>
                </c:pt>
                <c:pt idx="7">
                  <c:v>7</c:v>
                </c:pt>
                <c:pt idx="8">
                  <c:v>3</c:v>
                </c:pt>
                <c:pt idx="9">
                  <c:v>3</c:v>
                </c:pt>
                <c:pt idx="10">
                  <c:v>3</c:v>
                </c:pt>
                <c:pt idx="11">
                  <c:v>5</c:v>
                </c:pt>
              </c:numCache>
            </c:numRef>
          </c:val>
          <c:smooth val="0"/>
        </c:ser>
        <c:dLbls>
          <c:showBubbleSize val="0"/>
          <c:showCatName val="0"/>
          <c:showLeaderLines val="0"/>
          <c:showLegendKey val="0"/>
          <c:showPercent val="0"/>
          <c:showSerName val="0"/>
          <c:showVal val="0"/>
        </c:dLbls>
        <c:marker val="1"/>
        <c:smooth val="0"/>
        <c:axId val="632696656"/>
        <c:axId val="632697440"/>
      </c:lineChart>
      <c:catAx>
        <c:axId val="632696656"/>
        <c:scaling>
          <c:orientation val="minMax"/>
        </c:scaling>
        <c:delete val="0"/>
        <c:axPos val="b"/>
        <c:majorTickMark val="in"/>
        <c:minorTickMark val="none"/>
        <c:tickLblPos val="nextTo"/>
        <c:crossAx val="632697440"/>
        <c:crosses val="autoZero"/>
        <c:auto val="1"/>
        <c:lblAlgn val="ctr"/>
        <c:lblOffset val="100"/>
        <c:noMultiLvlLbl val="0"/>
      </c:catAx>
      <c:valAx>
        <c:axId val="632697440"/>
        <c:scaling>
          <c:orientation val="minMax"/>
          <c:max val="230"/>
          <c:min val="0"/>
        </c:scaling>
        <c:delete val="0"/>
        <c:axPos val="l"/>
        <c:title>
          <c:tx>
            <c:rich>
              <a:bodyPr rot="-5400000" vert="horz"/>
              <a:lstStyle/>
              <a:p>
                <a:pPr>
                  <a:defRPr sz="1100" b="1">
                    <a:latin typeface="Times New Roman"/>
                    <a:cs typeface="Times New Roman"/>
                  </a:defRPr>
                </a:pPr>
                <a:r>
                  <a:rPr lang="ru-RU" sz="1100" b="1">
                    <a:latin typeface="Times New Roman"/>
                    <a:cs typeface="Times New Roman"/>
                  </a:rPr>
                  <a:t>Сума</a:t>
                </a:r>
                <a:r>
                  <a:rPr lang="ru-RU" sz="1100" b="1">
                    <a:latin typeface="Times New Roman"/>
                    <a:cs typeface="Times New Roman"/>
                  </a:rPr>
                  <a:t> атмосферних опадів, мм/міс.</a:t>
                </a:r>
                <a:endParaRPr lang="ru-RU" sz="1100" b="1">
                  <a:latin typeface="Times New Roman"/>
                  <a:cs typeface="Times New Roman"/>
                </a:endParaRPr>
              </a:p>
            </c:rich>
          </c:tx>
          <c:layout>
            <c:manualLayout>
              <c:xMode val="edge"/>
              <c:yMode val="edge"/>
              <c:x val="0.0022081717397265639"/>
              <c:y val="0.14447206145362412"/>
            </c:manualLayout>
          </c:layout>
          <c:overlay val="0"/>
        </c:title>
        <c:numFmt formatCode="General" sourceLinked="0"/>
        <c:majorTickMark val="in"/>
        <c:minorTickMark val="none"/>
        <c:tickLblPos val="nextTo"/>
        <c:crossAx val="632696656"/>
        <c:crosses val="autoZero"/>
        <c:crossBetween val="between"/>
        <c:majorUnit val="30"/>
      </c:valAx>
      <c:spPr bwMode="auto">
        <a:prstGeom prst="rect">
          <a:avLst/>
        </a:prstGeom>
        <a:ln>
          <a:solidFill>
            <a:schemeClr val="tx1">
              <a:lumMod val="50000"/>
              <a:lumOff val="50000"/>
            </a:schemeClr>
          </a:solidFill>
        </a:ln>
      </c:spPr>
    </c:plotArea>
    <c:legend>
      <c:legendPos val="t"/>
      <c:legendEntry>
        <c:idx val="0"/>
        <c:delete val="1"/>
      </c:legendEntry>
      <c:legendEntry>
        <c:idx val="3"/>
        <c:delete val="1"/>
      </c:legendEntry>
      <c:legendEntry>
        <c:idx val="5"/>
        <c:delete val="1"/>
      </c:legendEntry>
      <c:layout>
        <c:manualLayout>
          <c:xMode val="edge"/>
          <c:yMode val="edge"/>
          <c:x val="0.48268641046734828"/>
          <c:y val="0.33518182721446671"/>
          <c:w val="0.25751275120460693"/>
          <c:h val="0.2025036172934572"/>
        </c:manualLayout>
      </c:layout>
      <c:overlay val="0"/>
    </c:legend>
    <c:plotVisOnly val="1"/>
    <c:dispBlanksAs val="gap"/>
    <c:showDLblsOverMax val="0"/>
  </c:chart>
  <c:spPr bwMode="auto">
    <a:prstGeom prst="rect">
      <a:avLst/>
    </a:prstGeom>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autoTitleDeleted val="1"/>
    <c:plotArea>
      <c:layout>
        <c:manualLayout>
          <c:layoutTarget val="inner"/>
          <c:xMode val="edge"/>
          <c:yMode val="edge"/>
          <c:x val="0.13289875978697732"/>
          <c:y val="0.050925925925925923"/>
          <c:w val="0.82240074460618262"/>
          <c:h val="0.85705963837853605"/>
        </c:manualLayout>
      </c:layout>
      <c:scatterChart>
        <c:scatterStyle val="smoothMarker"/>
        <c:varyColors val="0"/>
        <c:ser>
          <c:idx val="0"/>
          <c:order val="0"/>
          <c:tx>
            <c:v>1</c:v>
          </c:tx>
          <c:spPr bwMode="auto">
            <a:prstGeom prst="rect">
              <a:avLst/>
            </a:prstGeom>
            <a:ln w="22225" cap="rnd">
              <a:solidFill>
                <a:srgbClr val="002060"/>
              </a:solidFill>
              <a:round/>
            </a:ln>
          </c:spPr>
          <c:marker>
            <c:symbol val="none"/>
          </c:marker>
          <c:trendline>
            <c:name>3</c:name>
            <c:spPr bwMode="auto">
              <a:prstGeom prst="rect">
                <a:avLst/>
              </a:prstGeom>
              <a:ln w="28575" cap="rnd">
                <a:solidFill>
                  <a:srgbClr val="C00000"/>
                </a:solidFill>
                <a:prstDash val="dash"/>
              </a:ln>
            </c:spPr>
            <c:trendlineType val="linear"/>
            <c:dispRSqr val="0"/>
            <c:dispEq val="0"/>
          </c:trendline>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Чернігів!$E$4:$E$53</c:f>
              <c:numCache>
                <c:formatCode>0</c:formatCode>
                <c:ptCount val="50"/>
                <c:pt idx="0">
                  <c:v>794</c:v>
                </c:pt>
                <c:pt idx="1">
                  <c:v>731</c:v>
                </c:pt>
                <c:pt idx="2">
                  <c:v>337</c:v>
                </c:pt>
                <c:pt idx="3">
                  <c:v>582</c:v>
                </c:pt>
                <c:pt idx="4">
                  <c:v>519</c:v>
                </c:pt>
                <c:pt idx="5">
                  <c:v>440</c:v>
                </c:pt>
                <c:pt idx="6">
                  <c:v>510</c:v>
                </c:pt>
                <c:pt idx="7">
                  <c:v>715</c:v>
                </c:pt>
                <c:pt idx="8">
                  <c:v>578</c:v>
                </c:pt>
                <c:pt idx="9">
                  <c:v>551</c:v>
                </c:pt>
                <c:pt idx="10">
                  <c:v>756</c:v>
                </c:pt>
                <c:pt idx="11">
                  <c:v>673</c:v>
                </c:pt>
                <c:pt idx="12">
                  <c:v>463</c:v>
                </c:pt>
                <c:pt idx="13">
                  <c:v>498</c:v>
                </c:pt>
                <c:pt idx="14">
                  <c:v>630</c:v>
                </c:pt>
                <c:pt idx="15">
                  <c:v>573</c:v>
                </c:pt>
                <c:pt idx="16">
                  <c:v>568</c:v>
                </c:pt>
                <c:pt idx="17">
                  <c:v>629</c:v>
                </c:pt>
                <c:pt idx="18">
                  <c:v>694</c:v>
                </c:pt>
                <c:pt idx="19">
                  <c:v>481</c:v>
                </c:pt>
                <c:pt idx="20">
                  <c:v>742</c:v>
                </c:pt>
                <c:pt idx="21">
                  <c:v>462</c:v>
                </c:pt>
                <c:pt idx="22">
                  <c:v>504</c:v>
                </c:pt>
                <c:pt idx="23">
                  <c:v>601</c:v>
                </c:pt>
                <c:pt idx="24">
                  <c:v>489</c:v>
                </c:pt>
                <c:pt idx="25">
                  <c:v>690</c:v>
                </c:pt>
                <c:pt idx="26">
                  <c:v>637</c:v>
                </c:pt>
                <c:pt idx="27">
                  <c:v>695</c:v>
                </c:pt>
                <c:pt idx="28">
                  <c:v>634</c:v>
                </c:pt>
                <c:pt idx="29">
                  <c:v>544</c:v>
                </c:pt>
                <c:pt idx="30">
                  <c:v>640</c:v>
                </c:pt>
                <c:pt idx="31">
                  <c:v>649</c:v>
                </c:pt>
                <c:pt idx="32">
                  <c:v>640</c:v>
                </c:pt>
                <c:pt idx="33">
                  <c:v>553</c:v>
                </c:pt>
                <c:pt idx="34">
                  <c:v>528</c:v>
                </c:pt>
                <c:pt idx="35">
                  <c:v>606</c:v>
                </c:pt>
                <c:pt idx="36">
                  <c:v>607</c:v>
                </c:pt>
                <c:pt idx="37">
                  <c:v>603</c:v>
                </c:pt>
                <c:pt idx="38">
                  <c:v>640</c:v>
                </c:pt>
                <c:pt idx="39">
                  <c:v>571</c:v>
                </c:pt>
                <c:pt idx="40">
                  <c:v>655</c:v>
                </c:pt>
                <c:pt idx="41">
                  <c:v>605.79</c:v>
                </c:pt>
                <c:pt idx="42">
                  <c:v>708</c:v>
                </c:pt>
                <c:pt idx="43">
                  <c:v>602.23</c:v>
                </c:pt>
                <c:pt idx="44">
                  <c:v>453.61</c:v>
                </c:pt>
                <c:pt idx="45">
                  <c:v>527.9200000000001</c:v>
                </c:pt>
                <c:pt idx="46">
                  <c:v>659</c:v>
                </c:pt>
                <c:pt idx="47">
                  <c:v>600</c:v>
                </c:pt>
                <c:pt idx="48">
                  <c:v>527.9200000000001</c:v>
                </c:pt>
                <c:pt idx="49">
                  <c:v>589</c:v>
                </c:pt>
              </c:numCache>
            </c:numRef>
          </c:yVal>
          <c:smooth val="1"/>
        </c:ser>
        <c:ser>
          <c:idx val="1"/>
          <c:order val="1"/>
          <c:tx>
            <c:v>2</c:v>
          </c:tx>
          <c:spPr bwMode="auto">
            <a:prstGeom prst="rect">
              <a:avLst/>
            </a:prstGeom>
            <a:ln w="15875" cap="rnd">
              <a:solidFill>
                <a:schemeClr val="bg1">
                  <a:lumMod val="50000"/>
                </a:schemeClr>
              </a:solidFill>
              <a:round/>
            </a:ln>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Чернігів!$G$4:$G$53</c:f>
              <c:numCache>
                <c:formatCode>0</c:formatCode>
                <c:ptCount val="50"/>
                <c:pt idx="0">
                  <c:v>889</c:v>
                </c:pt>
                <c:pt idx="1">
                  <c:v>826</c:v>
                </c:pt>
                <c:pt idx="2">
                  <c:v>432</c:v>
                </c:pt>
                <c:pt idx="3">
                  <c:v>677</c:v>
                </c:pt>
                <c:pt idx="4">
                  <c:v>614</c:v>
                </c:pt>
                <c:pt idx="5">
                  <c:v>535</c:v>
                </c:pt>
                <c:pt idx="6">
                  <c:v>605</c:v>
                </c:pt>
                <c:pt idx="7">
                  <c:v>810</c:v>
                </c:pt>
                <c:pt idx="8">
                  <c:v>673</c:v>
                </c:pt>
                <c:pt idx="9">
                  <c:v>646</c:v>
                </c:pt>
                <c:pt idx="10">
                  <c:v>851</c:v>
                </c:pt>
                <c:pt idx="11">
                  <c:v>768</c:v>
                </c:pt>
                <c:pt idx="12">
                  <c:v>558</c:v>
                </c:pt>
                <c:pt idx="13">
                  <c:v>593</c:v>
                </c:pt>
                <c:pt idx="14">
                  <c:v>725</c:v>
                </c:pt>
                <c:pt idx="15">
                  <c:v>668</c:v>
                </c:pt>
                <c:pt idx="16">
                  <c:v>663</c:v>
                </c:pt>
                <c:pt idx="17">
                  <c:v>724</c:v>
                </c:pt>
                <c:pt idx="18">
                  <c:v>789</c:v>
                </c:pt>
                <c:pt idx="19">
                  <c:v>576</c:v>
                </c:pt>
                <c:pt idx="20">
                  <c:v>837</c:v>
                </c:pt>
                <c:pt idx="21">
                  <c:v>557</c:v>
                </c:pt>
                <c:pt idx="22">
                  <c:v>599</c:v>
                </c:pt>
                <c:pt idx="23">
                  <c:v>696</c:v>
                </c:pt>
                <c:pt idx="24">
                  <c:v>584</c:v>
                </c:pt>
                <c:pt idx="25">
                  <c:v>785</c:v>
                </c:pt>
                <c:pt idx="26">
                  <c:v>732</c:v>
                </c:pt>
                <c:pt idx="27">
                  <c:v>790</c:v>
                </c:pt>
                <c:pt idx="28">
                  <c:v>729</c:v>
                </c:pt>
                <c:pt idx="29">
                  <c:v>639</c:v>
                </c:pt>
                <c:pt idx="30">
                  <c:v>735</c:v>
                </c:pt>
                <c:pt idx="31">
                  <c:v>744</c:v>
                </c:pt>
                <c:pt idx="32">
                  <c:v>735</c:v>
                </c:pt>
                <c:pt idx="33">
                  <c:v>648</c:v>
                </c:pt>
                <c:pt idx="34">
                  <c:v>623</c:v>
                </c:pt>
                <c:pt idx="35">
                  <c:v>701</c:v>
                </c:pt>
                <c:pt idx="36">
                  <c:v>702</c:v>
                </c:pt>
                <c:pt idx="37">
                  <c:v>698</c:v>
                </c:pt>
                <c:pt idx="38">
                  <c:v>735</c:v>
                </c:pt>
                <c:pt idx="39">
                  <c:v>666</c:v>
                </c:pt>
                <c:pt idx="40">
                  <c:v>750</c:v>
                </c:pt>
                <c:pt idx="41">
                  <c:v>700.79</c:v>
                </c:pt>
                <c:pt idx="42">
                  <c:v>803</c:v>
                </c:pt>
                <c:pt idx="43">
                  <c:v>697.23</c:v>
                </c:pt>
                <c:pt idx="44">
                  <c:v>548.61</c:v>
                </c:pt>
                <c:pt idx="45">
                  <c:v>622.9200000000001</c:v>
                </c:pt>
                <c:pt idx="46">
                  <c:v>754</c:v>
                </c:pt>
                <c:pt idx="47">
                  <c:v>695</c:v>
                </c:pt>
                <c:pt idx="48">
                  <c:v>622.9200000000001</c:v>
                </c:pt>
                <c:pt idx="49">
                  <c:v>684</c:v>
                </c:pt>
              </c:numCache>
            </c:numRef>
          </c:yVal>
          <c:smooth val="1"/>
        </c:ser>
        <c:ser>
          <c:idx val="2"/>
          <c:order val="2"/>
          <c:spPr bwMode="auto">
            <a:prstGeom prst="rect">
              <a:avLst/>
            </a:prstGeom>
            <a:ln w="15875" cap="rnd">
              <a:solidFill>
                <a:schemeClr val="bg1">
                  <a:lumMod val="50000"/>
                </a:schemeClr>
              </a:solidFill>
              <a:round/>
            </a:ln>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Чернігів!$F$4:$F$53</c:f>
              <c:numCache>
                <c:formatCode>0</c:formatCode>
                <c:ptCount val="50"/>
                <c:pt idx="0">
                  <c:v>699</c:v>
                </c:pt>
                <c:pt idx="1">
                  <c:v>636</c:v>
                </c:pt>
                <c:pt idx="2">
                  <c:v>242</c:v>
                </c:pt>
                <c:pt idx="3">
                  <c:v>487</c:v>
                </c:pt>
                <c:pt idx="4">
                  <c:v>424</c:v>
                </c:pt>
                <c:pt idx="5">
                  <c:v>345</c:v>
                </c:pt>
                <c:pt idx="6">
                  <c:v>415</c:v>
                </c:pt>
                <c:pt idx="7">
                  <c:v>620</c:v>
                </c:pt>
                <c:pt idx="8">
                  <c:v>483</c:v>
                </c:pt>
                <c:pt idx="9">
                  <c:v>456</c:v>
                </c:pt>
                <c:pt idx="10">
                  <c:v>661</c:v>
                </c:pt>
                <c:pt idx="11">
                  <c:v>578</c:v>
                </c:pt>
                <c:pt idx="12">
                  <c:v>368</c:v>
                </c:pt>
                <c:pt idx="13">
                  <c:v>403</c:v>
                </c:pt>
                <c:pt idx="14">
                  <c:v>535</c:v>
                </c:pt>
                <c:pt idx="15">
                  <c:v>478</c:v>
                </c:pt>
                <c:pt idx="16">
                  <c:v>473</c:v>
                </c:pt>
                <c:pt idx="17">
                  <c:v>534</c:v>
                </c:pt>
                <c:pt idx="18">
                  <c:v>599</c:v>
                </c:pt>
                <c:pt idx="19">
                  <c:v>386</c:v>
                </c:pt>
                <c:pt idx="20">
                  <c:v>647</c:v>
                </c:pt>
                <c:pt idx="21">
                  <c:v>367</c:v>
                </c:pt>
                <c:pt idx="22">
                  <c:v>409</c:v>
                </c:pt>
                <c:pt idx="23">
                  <c:v>506</c:v>
                </c:pt>
                <c:pt idx="24">
                  <c:v>394</c:v>
                </c:pt>
                <c:pt idx="25">
                  <c:v>595</c:v>
                </c:pt>
                <c:pt idx="26">
                  <c:v>542</c:v>
                </c:pt>
                <c:pt idx="27">
                  <c:v>600</c:v>
                </c:pt>
                <c:pt idx="28">
                  <c:v>539</c:v>
                </c:pt>
                <c:pt idx="29">
                  <c:v>449</c:v>
                </c:pt>
                <c:pt idx="30">
                  <c:v>545</c:v>
                </c:pt>
                <c:pt idx="31">
                  <c:v>554</c:v>
                </c:pt>
                <c:pt idx="32">
                  <c:v>545</c:v>
                </c:pt>
                <c:pt idx="33">
                  <c:v>458</c:v>
                </c:pt>
                <c:pt idx="34">
                  <c:v>433</c:v>
                </c:pt>
                <c:pt idx="35">
                  <c:v>511</c:v>
                </c:pt>
                <c:pt idx="36">
                  <c:v>512</c:v>
                </c:pt>
                <c:pt idx="37">
                  <c:v>508</c:v>
                </c:pt>
                <c:pt idx="38">
                  <c:v>545</c:v>
                </c:pt>
                <c:pt idx="39">
                  <c:v>476</c:v>
                </c:pt>
                <c:pt idx="40">
                  <c:v>560</c:v>
                </c:pt>
                <c:pt idx="41">
                  <c:v>510.78999999999996</c:v>
                </c:pt>
                <c:pt idx="42">
                  <c:v>613</c:v>
                </c:pt>
                <c:pt idx="43">
                  <c:v>507.23</c:v>
                </c:pt>
                <c:pt idx="44">
                  <c:v>358.61</c:v>
                </c:pt>
                <c:pt idx="45">
                  <c:v>432.9200000000001</c:v>
                </c:pt>
                <c:pt idx="46">
                  <c:v>564</c:v>
                </c:pt>
                <c:pt idx="47">
                  <c:v>505</c:v>
                </c:pt>
                <c:pt idx="48">
                  <c:v>432.9200000000001</c:v>
                </c:pt>
                <c:pt idx="49">
                  <c:v>494</c:v>
                </c:pt>
              </c:numCache>
            </c:numRef>
          </c:yVal>
          <c:smooth val="1"/>
        </c:ser>
        <c:dLbls>
          <c:showBubbleSize val="0"/>
          <c:showCatName val="0"/>
          <c:showLeaderLines val="0"/>
          <c:showLegendKey val="0"/>
          <c:showPercent val="0"/>
          <c:showSerName val="0"/>
          <c:showVal val="0"/>
        </c:dLbls>
        <c:axId val="632702144"/>
        <c:axId val="632702536"/>
      </c:scatterChart>
      <c:valAx>
        <c:axId val="632702144"/>
        <c:scaling>
          <c:orientation val="minMax"/>
          <c:min val="1965"/>
        </c:scaling>
        <c:delete val="0"/>
        <c:axPos val="b"/>
        <c:numFmt formatCode="General" sourceLinked="1"/>
        <c:majorTickMark val="in"/>
        <c:minorTickMark val="none"/>
        <c:tickLblPos val="nextTo"/>
        <c:spPr bwMode="auto">
          <a:prstGeom prst="rect">
            <a:avLst/>
          </a:prstGeom>
          <a:noFill/>
          <a:ln w="9525" cap="flat" cmpd="sng" algn="ctr">
            <a:solidFill>
              <a:schemeClr val="tx1">
                <a:lumMod val="50000"/>
                <a:lumOff val="50000"/>
              </a:schemeClr>
            </a:solidFill>
            <a:round/>
          </a:ln>
        </c:spPr>
        <c:txPr>
          <a:bodyPr rot="-60000000" spcFirstLastPara="true" vertOverflow="ellipsis" vert="horz" wrap="square" anchor="ctr" anchorCtr="true"/>
          <a:lstStyle/>
          <a:p>
            <a:pPr>
              <a:defRPr sz="1000" b="0" i="0" u="none" strike="noStrike">
                <a:solidFill>
                  <a:sysClr val="windowText" lastClr="000000"/>
                </a:solidFill>
                <a:latin typeface="Times New Roman"/>
                <a:ea typeface="+mn-ea"/>
                <a:cs typeface="Times New Roman"/>
              </a:defRPr>
            </a:pPr>
            <a:endParaRPr lang="uk-UA"/>
          </a:p>
        </c:txPr>
        <c:crossAx val="632702536"/>
        <c:crosses val="autoZero"/>
        <c:crossesAt val="-3"/>
        <c:crossBetween val="midCat"/>
        <c:majorUnit val="5"/>
      </c:valAx>
      <c:valAx>
        <c:axId val="632702536"/>
        <c:scaling>
          <c:orientation val="minMax"/>
          <c:max val="1000"/>
          <c:min val="200"/>
        </c:scaling>
        <c:delete val="0"/>
        <c:axPos val="l"/>
        <c:title>
          <c:tx>
            <c:rich>
              <a:bodyPr rot="-5400000" spcFirstLastPara="true" vertOverflow="ellipsis" vert="horz" wrap="square" anchor="ctr" anchorCtr="true"/>
              <a:lstStyle/>
              <a:p>
                <a:pPr>
                  <a:defRPr sz="1050" b="1" i="0" u="none" strike="noStrike">
                    <a:solidFill>
                      <a:sysClr val="windowText" lastClr="000000"/>
                    </a:solidFill>
                    <a:latin typeface="Times New Roman"/>
                    <a:ea typeface="+mn-ea"/>
                    <a:cs typeface="Times New Roman"/>
                  </a:defRPr>
                </a:pPr>
                <a:r>
                  <a:rPr lang="ru-RU" b="1">
                    <a:latin typeface="Times New Roman"/>
                    <a:cs typeface="Times New Roman"/>
                  </a:rPr>
                  <a:t>Сума</a:t>
                </a:r>
                <a:r>
                  <a:rPr lang="ru-RU" b="1">
                    <a:latin typeface="Times New Roman"/>
                    <a:cs typeface="Times New Roman"/>
                  </a:rPr>
                  <a:t> атмосферних опадів</a:t>
                </a:r>
                <a:r>
                  <a:rPr lang="ru-RU" b="1">
                    <a:latin typeface="Times New Roman"/>
                    <a:cs typeface="Times New Roman"/>
                  </a:rPr>
                  <a:t>, мм/рік</a:t>
                </a:r>
                <a:endParaRPr/>
              </a:p>
            </c:rich>
          </c:tx>
          <c:layout>
            <c:manualLayout>
              <c:xMode val="edge"/>
              <c:yMode val="edge"/>
              <c:x val="0.00051383435069235679"/>
              <c:y val="0.055974155473668866"/>
            </c:manualLayout>
          </c:layout>
          <c:overlay val="0"/>
          <c:spPr bwMode="auto">
            <a:prstGeom prst="rect">
              <a:avLst/>
            </a:prstGeom>
            <a:noFill/>
            <a:ln>
              <a:noFill/>
            </a:ln>
          </c:spPr>
          <c:txPr>
            <a:bodyPr rot="-5400000" spcFirstLastPara="true" vertOverflow="ellipsis" vert="horz" wrap="square" anchor="ctr" anchorCtr="true"/>
            <a:lstStyle/>
            <a:p>
              <a:pPr>
                <a:defRPr sz="1050" b="1" i="0" u="none" strike="noStrike">
                  <a:solidFill>
                    <a:sysClr val="windowText" lastClr="000000"/>
                  </a:solidFill>
                  <a:latin typeface="Times New Roman"/>
                  <a:ea typeface="+mn-ea"/>
                  <a:cs typeface="Times New Roman"/>
                </a:defRPr>
              </a:pPr>
              <a:endParaRPr lang="uk-UA"/>
            </a:p>
          </c:txPr>
        </c:title>
        <c:numFmt formatCode="General" sourceLinked="0"/>
        <c:majorTickMark val="in"/>
        <c:minorTickMark val="none"/>
        <c:tickLblPos val="nextTo"/>
        <c:spPr bwMode="auto">
          <a:prstGeom prst="rect">
            <a:avLst/>
          </a:prstGeom>
          <a:noFill/>
          <a:ln w="9525" cap="flat" cmpd="sng" algn="ctr">
            <a:solidFill>
              <a:schemeClr val="tx1">
                <a:lumMod val="50000"/>
                <a:lumOff val="50000"/>
              </a:schemeClr>
            </a:solidFill>
            <a:round/>
          </a:ln>
        </c:spPr>
        <c:txPr>
          <a:bodyPr rot="-60000000" spcFirstLastPara="true" vertOverflow="ellipsis" vert="horz" wrap="square" anchor="ctr" anchorCtr="true"/>
          <a:lstStyle/>
          <a:p>
            <a:pPr>
              <a:defRPr sz="1050" b="0" i="0" u="none" strike="noStrike">
                <a:solidFill>
                  <a:sysClr val="windowText" lastClr="000000"/>
                </a:solidFill>
                <a:latin typeface="Times New Roman"/>
                <a:ea typeface="+mn-ea"/>
                <a:cs typeface="Times New Roman"/>
              </a:defRPr>
            </a:pPr>
            <a:endParaRPr lang="uk-UA"/>
          </a:p>
        </c:txPr>
        <c:crossAx val="632702144"/>
        <c:crosses val="autoZero"/>
        <c:crossBetween val="midCat"/>
        <c:majorUnit val="200"/>
      </c:valAx>
      <c:spPr bwMode="auto">
        <a:prstGeom prst="rect">
          <a:avLst/>
        </a:prstGeom>
        <a:noFill/>
        <a:ln>
          <a:solidFill>
            <a:schemeClr val="bg1">
              <a:lumMod val="50000"/>
            </a:schemeClr>
          </a:solidFill>
        </a:ln>
      </c:spPr>
    </c:plotArea>
    <c:legend>
      <c:legendPos val="b"/>
      <c:legendEntry>
        <c:idx val="2"/>
        <c:delete val="1"/>
      </c:legendEntry>
      <c:layout>
        <c:manualLayout>
          <c:xMode val="edge"/>
          <c:yMode val="edge"/>
          <c:x val="0.48586790580748285"/>
          <c:y val="0.80528436801736447"/>
          <c:w val="0.45126326546266121"/>
          <c:h val="0.090328023651740474"/>
        </c:manualLayout>
      </c:layout>
      <c:overlay val="0"/>
      <c:spPr bwMode="auto">
        <a:prstGeom prst="rect">
          <a:avLst/>
        </a:prstGeom>
        <a:noFill/>
        <a:ln>
          <a:noFill/>
        </a:ln>
      </c:spPr>
      <c:txPr>
        <a:bodyPr rot="0" spcFirstLastPara="true" vertOverflow="ellipsis" vert="horz" wrap="square" anchor="ctr" anchorCtr="true"/>
        <a:lstStyle/>
        <a:p>
          <a:pPr>
            <a:defRPr sz="1000" b="0" i="0" u="none" strike="noStrike">
              <a:solidFill>
                <a:sysClr val="windowText" lastClr="000000"/>
              </a:solidFill>
              <a:latin typeface="+mj-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noFill/>
      <a:round/>
    </a:ln>
  </c:spPr>
  <c:txPr>
    <a:bodyPr/>
    <a:lstStyle/>
    <a:p>
      <a:pPr>
        <a:defRPr sz="1050">
          <a:solidFill>
            <a:sysClr val="windowText" lastClr="000000"/>
          </a:solidFill>
          <a:latin typeface="+mj-lt"/>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r>
              <a:rPr lang="uk-UA" b="0">
                <a:solidFill>
                  <a:sysClr val="windowText" lastClr="000000"/>
                </a:solidFill>
              </a:rPr>
              <a:t>Структура населення громади</a:t>
            </a:r>
            <a:endParaRPr/>
          </a:p>
        </c:rich>
      </c:tx>
      <c:layout/>
      <c:overlay val="0"/>
      <c:spPr bwMode="auto">
        <a:prstGeom prst="rect">
          <a:avLst/>
        </a:prstGeom>
        <a:noFill/>
        <a:ln>
          <a:noFill/>
        </a:ln>
      </c:spPr>
      <c:txPr>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endParaRPr lang="uk-UA"/>
        </a:p>
      </c:txPr>
    </c:title>
    <c:autoTitleDeleted val="0"/>
    <c:plotArea>
      <c:layout/>
      <c:barChart>
        <c:barDir val="col"/>
        <c:grouping val="stacked"/>
        <c:varyColors val="0"/>
        <c:ser>
          <c:idx val="0"/>
          <c:order val="0"/>
          <c:tx>
            <c:strRef>
              <c:f>Лист1!$B$1</c:f>
              <c:strCache>
                <c:ptCount val="1"/>
                <c:pt idx="0">
                  <c:v xml:space="preserve">Міське населення</c:v>
                </c:pt>
              </c:strCache>
            </c:strRef>
          </c:tx>
          <c:spPr bwMode="auto">
            <a:prstGeom prst="rect">
              <a:avLst/>
            </a:prstGeom>
            <a:solidFill>
              <a:schemeClr val="accent1"/>
            </a:solidFill>
            <a:ln>
              <a:noFill/>
            </a:ln>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12870</c:v>
                </c:pt>
                <c:pt idx="1">
                  <c:v>12924</c:v>
                </c:pt>
                <c:pt idx="2">
                  <c:v>12946</c:v>
                </c:pt>
                <c:pt idx="3">
                  <c:v>12946</c:v>
                </c:pt>
              </c:numCache>
            </c:numRef>
          </c:val>
        </c:ser>
        <c:ser>
          <c:idx val="1"/>
          <c:order val="1"/>
          <c:tx>
            <c:strRef>
              <c:f>Лист1!$C$1</c:f>
              <c:strCache>
                <c:ptCount val="1"/>
                <c:pt idx="0">
                  <c:v xml:space="preserve">Сільське населення</c:v>
                </c:pt>
              </c:strCache>
            </c:strRef>
          </c:tx>
          <c:spPr bwMode="auto">
            <a:prstGeom prst="rect">
              <a:avLst/>
            </a:prstGeom>
            <a:solidFill>
              <a:srgbClr val="C00000"/>
            </a:solidFill>
            <a:ln>
              <a:noFill/>
            </a:ln>
          </c:spPr>
          <c:invertIfNegative val="0"/>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11879</c:v>
                </c:pt>
                <c:pt idx="1">
                  <c:v>11928</c:v>
                </c:pt>
                <c:pt idx="2">
                  <c:v>11950</c:v>
                </c:pt>
                <c:pt idx="3">
                  <c:v>14818</c:v>
                </c:pt>
              </c:numCache>
            </c:numRef>
          </c:val>
        </c:ser>
        <c:dLbls>
          <c:showBubbleSize val="0"/>
          <c:showCatName val="0"/>
          <c:showLeaderLines val="0"/>
          <c:showLegendKey val="0"/>
          <c:showPercent val="0"/>
          <c:showSerName val="0"/>
          <c:showVal val="0"/>
        </c:dLbls>
        <c:gapWidth val="150"/>
        <c:overlap val="100"/>
        <c:axId val="635415368"/>
        <c:axId val="635415760"/>
      </c:barChart>
      <c:catAx>
        <c:axId val="635415368"/>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5415760"/>
        <c:crosses val="autoZero"/>
        <c:auto val="1"/>
        <c:lblAlgn val="ctr"/>
        <c:lblOffset val="100"/>
        <c:noMultiLvlLbl val="0"/>
      </c:catAx>
      <c:valAx>
        <c:axId val="635415760"/>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5415368"/>
        <c:crosses val="autoZero"/>
        <c:crossBetween val="between"/>
      </c:valAx>
      <c:spPr bwMode="auto">
        <a:prstGeom prst="rect">
          <a:avLst/>
        </a:prstGeom>
        <a:noFill/>
        <a:ln>
          <a:noFill/>
        </a:ln>
      </c:spPr>
    </c:plotArea>
    <c:legend>
      <c:legendPos val="b"/>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noFill/>
      <a:round/>
    </a:ln>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autoTitleDeleted val="1"/>
    <c:plotArea>
      <c:layout>
        <c:manualLayout>
          <c:layoutTarget val="inner"/>
          <c:xMode val="edge"/>
          <c:yMode val="edge"/>
          <c:x val="0.084045172656555353"/>
          <c:y val="0.045045045045045043"/>
          <c:w val="0.88354946572906845"/>
          <c:h val="0.7099524721571967"/>
        </c:manualLayout>
      </c:layout>
      <c:barChart>
        <c:barDir val="col"/>
        <c:grouping val="clustered"/>
        <c:varyColors val="0"/>
        <c:ser>
          <c:idx val="0"/>
          <c:order val="0"/>
          <c:tx>
            <c:strRef>
              <c:f>Лист1!$B$1</c:f>
              <c:strCache>
                <c:ptCount val="1"/>
                <c:pt idx="0">
                  <c:v xml:space="preserve">Суб`єкти господарської діяльності</c:v>
                </c:pt>
              </c:strCache>
            </c:strRef>
          </c:tx>
          <c:spPr bwMode="auto">
            <a:prstGeom prst="rect">
              <a:avLst/>
            </a:prstGeom>
            <a:solidFill>
              <a:schemeClr val="accent1"/>
            </a:solidFill>
            <a:ln>
              <a:noFill/>
            </a:ln>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685</c:v>
                </c:pt>
                <c:pt idx="1">
                  <c:v>677</c:v>
                </c:pt>
                <c:pt idx="2">
                  <c:v>665</c:v>
                </c:pt>
              </c:numCache>
            </c:numRef>
          </c:val>
        </c:ser>
        <c:ser>
          <c:idx val="1"/>
          <c:order val="1"/>
          <c:tx>
            <c:strRef>
              <c:f>Лист1!$C$1</c:f>
              <c:strCache>
                <c:ptCount val="1"/>
                <c:pt idx="0">
                  <c:v>ФОП</c:v>
                </c:pt>
              </c:strCache>
            </c:strRef>
          </c:tx>
          <c:spPr bwMode="auto">
            <a:prstGeom prst="rect">
              <a:avLst/>
            </a:prstGeom>
            <a:solidFill>
              <a:srgbClr val="C00000"/>
            </a:solidFill>
            <a:ln>
              <a:noFill/>
            </a:ln>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718</c:v>
                </c:pt>
                <c:pt idx="1">
                  <c:v>726</c:v>
                </c:pt>
                <c:pt idx="2">
                  <c:v>736</c:v>
                </c:pt>
              </c:numCache>
            </c:numRef>
          </c:val>
        </c:ser>
        <c:ser>
          <c:idx val="2"/>
          <c:order val="2"/>
          <c:tx>
            <c:strRef>
              <c:f>Лист1!$D$1</c:f>
              <c:strCache>
                <c:ptCount val="1"/>
                <c:pt idx="0">
                  <c:v xml:space="preserve">Малі підприємства</c:v>
                </c:pt>
              </c:strCache>
            </c:strRef>
          </c:tx>
          <c:spPr bwMode="auto">
            <a:prstGeom prst="rect">
              <a:avLst/>
            </a:prstGeom>
            <a:solidFill>
              <a:srgbClr val="0070C0"/>
            </a:solidFill>
            <a:ln>
              <a:noFill/>
            </a:ln>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100</c:v>
                </c:pt>
                <c:pt idx="1">
                  <c:v>103</c:v>
                </c:pt>
                <c:pt idx="2">
                  <c:v>101</c:v>
                </c:pt>
              </c:numCache>
            </c:numRef>
          </c:val>
        </c:ser>
        <c:dLbls>
          <c:showBubbleSize val="0"/>
          <c:showCatName val="0"/>
          <c:showLeaderLines val="0"/>
          <c:showLegendKey val="0"/>
          <c:showPercent val="0"/>
          <c:showSerName val="0"/>
          <c:showVal val="0"/>
        </c:dLbls>
        <c:gapWidth val="219"/>
        <c:overlap val="-27"/>
        <c:axId val="635416544"/>
        <c:axId val="425533664"/>
      </c:barChart>
      <c:catAx>
        <c:axId val="635416544"/>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425533664"/>
        <c:crosses val="autoZero"/>
        <c:auto val="1"/>
        <c:lblAlgn val="ctr"/>
        <c:lblOffset val="100"/>
        <c:noMultiLvlLbl val="0"/>
      </c:catAx>
      <c:valAx>
        <c:axId val="425533664"/>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635416544"/>
        <c:crosses val="autoZero"/>
        <c:crossBetween val="between"/>
      </c:valAx>
      <c:spPr bwMode="auto">
        <a:prstGeom prst="rect">
          <a:avLst/>
        </a:prstGeom>
        <a:noFill/>
        <a:ln>
          <a:noFill/>
        </a:ln>
      </c:spPr>
    </c:plotArea>
    <c:legend>
      <c:legendPos val="b"/>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noFill/>
      <a:round/>
    </a:ln>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r>
              <a:rPr lang="uk-UA"/>
              <a:t>Обсяг реалізованої продукції та послуг </a:t>
            </a:r>
            <a:endParaRPr/>
          </a:p>
          <a:p>
            <a:pPr>
              <a:defRPr/>
            </a:pPr>
            <a:r>
              <a:rPr lang="uk-UA"/>
              <a:t>2017 - 2019 роки</a:t>
            </a:r>
            <a:endParaRPr/>
          </a:p>
        </c:rich>
      </c:tx>
      <c:layout>
        <c:manualLayout>
          <c:xMode val="edge"/>
          <c:yMode val="edge"/>
          <c:x val="0.21666666666666667"/>
          <c:y val="0.020202020202020204"/>
        </c:manualLayout>
      </c:layout>
      <c:overlay val="0"/>
      <c:spPr bwMode="auto">
        <a:prstGeom prst="rect">
          <a:avLst/>
        </a:prstGeom>
        <a:noFill/>
        <a:ln>
          <a:noFill/>
        </a:ln>
      </c:spPr>
      <c:txPr>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07951263617131471"/>
          <c:y val="0.17323232323232324"/>
          <c:w val="0.88982961577963293"/>
          <c:h val="0.624376839258729"/>
        </c:manualLayout>
      </c:layout>
      <c:lineChart>
        <c:grouping val="standard"/>
        <c:varyColors val="0"/>
        <c:ser>
          <c:idx val="0"/>
          <c:order val="0"/>
          <c:tx>
            <c:strRef>
              <c:f>Лист1!$B$1</c:f>
              <c:strCache>
                <c:ptCount val="1"/>
                <c:pt idx="0">
                  <c:v xml:space="preserve">Обсяг реалізованої продукції</c:v>
                </c:pt>
              </c:strCache>
            </c:strRef>
          </c:tx>
          <c:spPr bwMode="auto">
            <a:prstGeom prst="rect">
              <a:avLst/>
            </a:prstGeom>
            <a:ln w="57150" cap="rnd">
              <a:solidFill>
                <a:schemeClr val="accent1"/>
              </a:solidFill>
              <a:round/>
            </a:ln>
          </c:spPr>
          <c:marker>
            <c:symbol val="circle"/>
            <c:size val="5"/>
            <c:spPr bwMode="auto">
              <a:prstGeom prst="rect">
                <a:avLst/>
              </a:prstGeom>
              <a:solidFill>
                <a:schemeClr val="accent1"/>
              </a:solidFill>
              <a:ln w="57150">
                <a:solidFill>
                  <a:schemeClr val="accent1"/>
                </a:solidFill>
              </a:ln>
            </c:spPr>
          </c:marker>
          <c:cat>
            <c:numRef>
              <c:f>Лист1!$A$2:$A$4</c:f>
              <c:numCache>
                <c:formatCode>General</c:formatCode>
                <c:ptCount val="3"/>
                <c:pt idx="0">
                  <c:v>2017</c:v>
                </c:pt>
                <c:pt idx="1">
                  <c:v>2018</c:v>
                </c:pt>
                <c:pt idx="2">
                  <c:v>2019</c:v>
                </c:pt>
              </c:numCache>
            </c:numRef>
          </c:cat>
          <c:val>
            <c:numRef>
              <c:f>Лист1!$B$2:$B$4</c:f>
              <c:numCache>
                <c:formatCode>General</c:formatCode>
                <c:ptCount val="3"/>
                <c:pt idx="0">
                  <c:v>366.8</c:v>
                </c:pt>
                <c:pt idx="1">
                  <c:v>371.8</c:v>
                </c:pt>
                <c:pt idx="2">
                  <c:v>369.2</c:v>
                </c:pt>
              </c:numCache>
            </c:numRef>
          </c:val>
          <c:smooth val="0"/>
        </c:ser>
        <c:ser>
          <c:idx val="1"/>
          <c:order val="1"/>
          <c:tx>
            <c:strRef>
              <c:f>Лист1!$C$1</c:f>
              <c:strCache>
                <c:ptCount val="1"/>
                <c:pt idx="0">
                  <c:v xml:space="preserve">Обсяг реалізованих послуг</c:v>
                </c:pt>
              </c:strCache>
            </c:strRef>
          </c:tx>
          <c:spPr bwMode="auto">
            <a:prstGeom prst="rect">
              <a:avLst/>
            </a:prstGeom>
            <a:ln w="57150" cap="rnd">
              <a:solidFill>
                <a:srgbClr val="0070C0"/>
              </a:solidFill>
              <a:round/>
            </a:ln>
          </c:spPr>
          <c:marker>
            <c:symbol val="circle"/>
            <c:size val="5"/>
            <c:spPr bwMode="auto">
              <a:prstGeom prst="rect">
                <a:avLst/>
              </a:prstGeom>
              <a:solidFill>
                <a:srgbClr val="0070C0"/>
              </a:solidFill>
              <a:ln w="57150">
                <a:solidFill>
                  <a:srgbClr val="0070C0"/>
                </a:solidFill>
              </a:ln>
            </c:spPr>
          </c:marker>
          <c:cat>
            <c:numRef>
              <c:f>Лист1!$A$2:$A$4</c:f>
              <c:numCache>
                <c:formatCode>General</c:formatCode>
                <c:ptCount val="3"/>
                <c:pt idx="0">
                  <c:v>2017</c:v>
                </c:pt>
                <c:pt idx="1">
                  <c:v>2018</c:v>
                </c:pt>
                <c:pt idx="2">
                  <c:v>2019</c:v>
                </c:pt>
              </c:numCache>
            </c:numRef>
          </c:cat>
          <c:val>
            <c:numRef>
              <c:f>Лист1!$C$2:$C$4</c:f>
              <c:numCache>
                <c:formatCode>General</c:formatCode>
                <c:ptCount val="3"/>
                <c:pt idx="0">
                  <c:v>29.1</c:v>
                </c:pt>
                <c:pt idx="1">
                  <c:v>28.6</c:v>
                </c:pt>
                <c:pt idx="2">
                  <c:v>27.2</c:v>
                </c:pt>
              </c:numCache>
            </c:numRef>
          </c:val>
          <c:smooth val="0"/>
        </c:ser>
        <c:dLbls>
          <c:showBubbleSize val="0"/>
          <c:showCatName val="0"/>
          <c:showLeaderLines val="0"/>
          <c:showLegendKey val="0"/>
          <c:showPercent val="0"/>
          <c:showSerName val="0"/>
          <c:showVal val="0"/>
        </c:dLbls>
        <c:marker val="1"/>
        <c:smooth val="0"/>
        <c:axId val="425536800"/>
        <c:axId val="423120872"/>
      </c:lineChart>
      <c:catAx>
        <c:axId val="425536800"/>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423120872"/>
        <c:crosses val="autoZero"/>
        <c:auto val="1"/>
        <c:lblAlgn val="ctr"/>
        <c:lblOffset val="100"/>
        <c:noMultiLvlLbl val="0"/>
      </c:catAx>
      <c:valAx>
        <c:axId val="423120872"/>
        <c:scaling>
          <c:orientation val="minMax"/>
        </c:scaling>
        <c:delete val="0"/>
        <c:axPos val="l"/>
        <c:majorGridlines>
          <c:spPr bwMode="auto">
            <a:prstGeom prst="rect">
              <a:avLst/>
            </a:prstGeom>
            <a:ln w="9525" cap="flat" cmpd="sng" algn="ctr">
              <a:noFill/>
              <a:round/>
            </a:ln>
          </c:spPr>
        </c:majorGridlines>
        <c:numFmt formatCode="General" sourceLinked="1"/>
        <c:majorTickMark val="none"/>
        <c:minorTickMark val="none"/>
        <c:tickLblPos val="nextTo"/>
        <c:spPr bwMode="auto">
          <a:prstGeom prst="rect">
            <a:avLst/>
          </a:prstGeom>
          <a:noFill/>
          <a:ln>
            <a:noFill/>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425536800"/>
        <c:crosses val="autoZero"/>
        <c:crossBetween val="between"/>
      </c:valAx>
      <c:spPr bwMode="auto">
        <a:prstGeom prst="rect">
          <a:avLst/>
        </a:prstGeom>
        <a:noFill/>
        <a:ln>
          <a:noFill/>
        </a:ln>
      </c:spPr>
    </c:plotArea>
    <c:legend>
      <c:legendPos val="b"/>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noFill/>
      <a:round/>
    </a:ln>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r>
              <a:rPr lang="uk-UA" sz="1200"/>
              <a:t>Споживання природного газу по групах споживачів в тис м</a:t>
            </a:r>
            <a:r>
              <a:rPr lang="uk-UA" sz="1200" baseline="30000"/>
              <a:t>3 </a:t>
            </a:r>
            <a:r>
              <a:rPr lang="uk-UA" sz="1200"/>
              <a:t>2018 - 2019 роки</a:t>
            </a:r>
            <a:endParaRPr lang="uk-UA" sz="1200"/>
          </a:p>
        </c:rich>
      </c:tx>
      <c:layout>
        <c:manualLayout>
          <c:xMode val="edge"/>
          <c:yMode val="edge"/>
          <c:x val="0.14503614578005411"/>
          <c:y val="0"/>
        </c:manualLayout>
      </c:layout>
      <c:overlay val="0"/>
      <c:spPr bwMode="auto">
        <a:prstGeom prst="rect">
          <a:avLst/>
        </a:prstGeom>
        <a:noFill/>
        <a:ln>
          <a:noFill/>
        </a:ln>
      </c:spPr>
      <c:txPr>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085694900156923604"/>
          <c:y val="0.15808080808080804"/>
          <c:w val="0.90546727394824666"/>
          <c:h val="0.59217927304541484"/>
        </c:manualLayout>
      </c:layout>
      <c:barChart>
        <c:barDir val="col"/>
        <c:grouping val="clustered"/>
        <c:varyColors val="0"/>
        <c:ser>
          <c:idx val="0"/>
          <c:order val="0"/>
          <c:tx>
            <c:strRef>
              <c:f>Лист1!$B$1</c:f>
              <c:strCache>
                <c:ptCount val="1"/>
                <c:pt idx="0">
                  <c:v xml:space="preserve">Муніципальний сектор</c:v>
                </c:pt>
              </c:strCache>
            </c:strRef>
          </c:tx>
          <c:spPr bwMode="auto">
            <a:prstGeom prst="rect">
              <a:avLst/>
            </a:prstGeom>
            <a:solidFill>
              <a:schemeClr val="accent1"/>
            </a:solidFill>
            <a:ln>
              <a:noFill/>
            </a:ln>
          </c:spPr>
          <c:invertIfNegative val="0"/>
          <c:cat>
            <c:numRef>
              <c:f>Лист1!$A$2:$A$3</c:f>
              <c:numCache>
                <c:formatCode>General</c:formatCode>
                <c:ptCount val="2"/>
                <c:pt idx="0">
                  <c:v>2018</c:v>
                </c:pt>
                <c:pt idx="1">
                  <c:v>2019</c:v>
                </c:pt>
              </c:numCache>
            </c:numRef>
          </c:cat>
          <c:val>
            <c:numRef>
              <c:f>Лист1!$B$2:$B$3</c:f>
              <c:numCache>
                <c:formatCode>General</c:formatCode>
                <c:ptCount val="2"/>
                <c:pt idx="0">
                  <c:v>1243.184</c:v>
                </c:pt>
                <c:pt idx="1">
                  <c:v>904.25</c:v>
                </c:pt>
              </c:numCache>
            </c:numRef>
          </c:val>
        </c:ser>
        <c:ser>
          <c:idx val="1"/>
          <c:order val="1"/>
          <c:tx>
            <c:strRef>
              <c:f>Лист1!$C$1</c:f>
              <c:strCache>
                <c:ptCount val="1"/>
                <c:pt idx="0">
                  <c:v>Населення</c:v>
                </c:pt>
              </c:strCache>
            </c:strRef>
          </c:tx>
          <c:spPr bwMode="auto">
            <a:prstGeom prst="rect">
              <a:avLst/>
            </a:prstGeom>
            <a:solidFill>
              <a:srgbClr val="0070C0"/>
            </a:solidFill>
            <a:ln>
              <a:noFill/>
            </a:ln>
          </c:spPr>
          <c:invertIfNegative val="0"/>
          <c:cat>
            <c:numRef>
              <c:f>Лист1!$A$2:$A$3</c:f>
              <c:numCache>
                <c:formatCode>General</c:formatCode>
                <c:ptCount val="2"/>
                <c:pt idx="0">
                  <c:v>2018</c:v>
                </c:pt>
                <c:pt idx="1">
                  <c:v>2019</c:v>
                </c:pt>
              </c:numCache>
            </c:numRef>
          </c:cat>
          <c:val>
            <c:numRef>
              <c:f>Лист1!$C$2:$C$3</c:f>
              <c:numCache>
                <c:formatCode>General</c:formatCode>
                <c:ptCount val="2"/>
                <c:pt idx="0">
                  <c:v>4767.153</c:v>
                </c:pt>
                <c:pt idx="1">
                  <c:v>4641.941</c:v>
                </c:pt>
              </c:numCache>
            </c:numRef>
          </c:val>
        </c:ser>
        <c:ser>
          <c:idx val="2"/>
          <c:order val="2"/>
          <c:tx>
            <c:strRef>
              <c:f>Лист1!$D$1</c:f>
              <c:strCache>
                <c:ptCount val="1"/>
                <c:pt idx="0">
                  <c:v>Промисловість</c:v>
                </c:pt>
              </c:strCache>
            </c:strRef>
          </c:tx>
          <c:spPr bwMode="auto">
            <a:prstGeom prst="rect">
              <a:avLst/>
            </a:prstGeom>
            <a:solidFill>
              <a:schemeClr val="accent3"/>
            </a:solidFill>
            <a:ln>
              <a:noFill/>
            </a:ln>
          </c:spPr>
          <c:invertIfNegative val="0"/>
          <c:cat>
            <c:numRef>
              <c:f>Лист1!$A$2:$A$3</c:f>
              <c:numCache>
                <c:formatCode>General</c:formatCode>
                <c:ptCount val="2"/>
                <c:pt idx="0">
                  <c:v>2018</c:v>
                </c:pt>
                <c:pt idx="1">
                  <c:v>2019</c:v>
                </c:pt>
              </c:numCache>
            </c:numRef>
          </c:cat>
          <c:val>
            <c:numRef>
              <c:f>Лист1!$D$2:$D$3</c:f>
              <c:numCache>
                <c:formatCode>General</c:formatCode>
                <c:ptCount val="2"/>
                <c:pt idx="0">
                  <c:v>4094.1</c:v>
                </c:pt>
                <c:pt idx="1">
                  <c:v>3483.942</c:v>
                </c:pt>
              </c:numCache>
            </c:numRef>
          </c:val>
        </c:ser>
        <c:ser>
          <c:idx val="3"/>
          <c:order val="3"/>
          <c:tx>
            <c:strRef>
              <c:f>Лист1!$E$1</c:f>
              <c:strCache>
                <c:ptCount val="1"/>
                <c:pt idx="0">
                  <c:v xml:space="preserve">Третинний сектор</c:v>
                </c:pt>
              </c:strCache>
            </c:strRef>
          </c:tx>
          <c:spPr bwMode="auto">
            <a:prstGeom prst="rect">
              <a:avLst/>
            </a:prstGeom>
            <a:solidFill>
              <a:schemeClr val="accent4"/>
            </a:solidFill>
            <a:ln>
              <a:noFill/>
            </a:ln>
          </c:spPr>
          <c:invertIfNegative val="0"/>
          <c:cat>
            <c:numRef>
              <c:f>Лист1!$A$2:$A$3</c:f>
              <c:numCache>
                <c:formatCode>General</c:formatCode>
                <c:ptCount val="2"/>
                <c:pt idx="0">
                  <c:v>2018</c:v>
                </c:pt>
                <c:pt idx="1">
                  <c:v>2019</c:v>
                </c:pt>
              </c:numCache>
            </c:numRef>
          </c:cat>
          <c:val>
            <c:numRef>
              <c:f>Лист1!$E$2:$E$3</c:f>
              <c:numCache>
                <c:formatCode>General</c:formatCode>
                <c:ptCount val="2"/>
                <c:pt idx="0">
                  <c:v>58.392</c:v>
                </c:pt>
                <c:pt idx="1">
                  <c:v>47.103</c:v>
                </c:pt>
              </c:numCache>
            </c:numRef>
          </c:val>
        </c:ser>
        <c:ser>
          <c:idx val="4"/>
          <c:order val="4"/>
          <c:tx>
            <c:strRef>
              <c:f>Лист1!$F$1</c:f>
              <c:strCache>
                <c:ptCount val="1"/>
                <c:pt idx="0">
                  <c:v>Інші</c:v>
                </c:pt>
              </c:strCache>
            </c:strRef>
          </c:tx>
          <c:spPr bwMode="auto">
            <a:prstGeom prst="rect">
              <a:avLst/>
            </a:prstGeom>
            <a:solidFill>
              <a:schemeClr val="accent5"/>
            </a:solidFill>
            <a:ln>
              <a:noFill/>
            </a:ln>
          </c:spPr>
          <c:invertIfNegative val="0"/>
          <c:cat>
            <c:numRef>
              <c:f>Лист1!$A$2:$A$3</c:f>
              <c:numCache>
                <c:formatCode>General</c:formatCode>
                <c:ptCount val="2"/>
                <c:pt idx="0">
                  <c:v>2018</c:v>
                </c:pt>
                <c:pt idx="1">
                  <c:v>2019</c:v>
                </c:pt>
              </c:numCache>
            </c:numRef>
          </c:cat>
          <c:val>
            <c:numRef>
              <c:f>Лист1!$F$2:$F$3</c:f>
              <c:numCache>
                <c:formatCode>General</c:formatCode>
                <c:ptCount val="2"/>
                <c:pt idx="0">
                  <c:v>1064.263</c:v>
                </c:pt>
                <c:pt idx="1">
                  <c:v>619.776</c:v>
                </c:pt>
              </c:numCache>
            </c:numRef>
          </c:val>
        </c:ser>
        <c:dLbls>
          <c:showBubbleSize val="0"/>
          <c:showCatName val="0"/>
          <c:showLeaderLines val="0"/>
          <c:showLegendKey val="0"/>
          <c:showPercent val="0"/>
          <c:showSerName val="0"/>
          <c:showVal val="0"/>
        </c:dLbls>
        <c:gapWidth val="219"/>
        <c:overlap val="-27"/>
        <c:axId val="423123616"/>
        <c:axId val="429712552"/>
      </c:barChart>
      <c:catAx>
        <c:axId val="423123616"/>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429712552"/>
        <c:crosses val="autoZero"/>
        <c:auto val="1"/>
        <c:lblAlgn val="ctr"/>
        <c:lblOffset val="100"/>
        <c:noMultiLvlLbl val="0"/>
      </c:catAx>
      <c:valAx>
        <c:axId val="429712552"/>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423123616"/>
        <c:crosses val="autoZero"/>
        <c:crossBetween val="between"/>
      </c:valAx>
      <c:spPr bwMode="auto">
        <a:prstGeom prst="rect">
          <a:avLst/>
        </a:prstGeom>
        <a:noFill/>
        <a:ln>
          <a:noFill/>
        </a:ln>
      </c:spPr>
    </c:plotArea>
    <c:legend>
      <c:legendPos val="b"/>
      <c:layout>
        <c:manualLayout>
          <c:xMode val="edge"/>
          <c:yMode val="edge"/>
          <c:x val="0.060694059287661944"/>
          <c:y val="0.83712001908852307"/>
          <c:w val="0.86682788160096869"/>
          <c:h val="0.16287998091147696"/>
        </c:manualLayout>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noFill/>
      <a:round/>
    </a:ln>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1" i="0" u="none" strike="noStrike" cap="all" spc="50">
                <a:solidFill>
                  <a:schemeClr val="tx1">
                    <a:lumMod val="65000"/>
                    <a:lumOff val="35000"/>
                  </a:schemeClr>
                </a:solidFill>
                <a:latin typeface="+mn-lt"/>
                <a:ea typeface="+mn-ea"/>
                <a:cs typeface="+mn-cs"/>
              </a:defRPr>
            </a:pPr>
            <a:r>
              <a:rPr lang="uk-UA" sz="1200"/>
              <a:t>Структура споживання природного газу в базовому 2019 році</a:t>
            </a:r>
            <a:endParaRPr/>
          </a:p>
        </c:rich>
      </c:tx>
      <c:layout>
        <c:manualLayout>
          <c:xMode val="edge"/>
          <c:yMode val="edge"/>
          <c:x val="0.11990346394094265"/>
          <c:y val="0"/>
        </c:manualLayout>
      </c:layout>
      <c:overlay val="0"/>
      <c:spPr bwMode="auto">
        <a:prstGeom prst="rect">
          <a:avLst/>
        </a:prstGeom>
        <a:noFill/>
        <a:ln>
          <a:noFill/>
        </a:ln>
      </c:spPr>
      <c:txPr>
        <a:bodyPr rot="0" spcFirstLastPara="true" vertOverflow="ellipsis" vert="horz" wrap="square" anchor="ctr" anchorCtr="true"/>
        <a:lstStyle/>
        <a:p>
          <a:pPr>
            <a:defRPr sz="1400" b="1" i="0" u="none" strike="noStrike" cap="all" spc="5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029897825271841021"/>
          <c:y val="0.17426325272286333"/>
          <c:w val="0.59049426857357112"/>
          <c:h val="0.82472833710513027"/>
        </c:manualLayout>
      </c:layout>
      <c:pieChart>
        <c:varyColors val="1"/>
        <c:ser>
          <c:idx val="0"/>
          <c:order val="0"/>
          <c:tx>
            <c:strRef>
              <c:f>Лист1!$B$1</c:f>
              <c:strCache>
                <c:ptCount val="1"/>
                <c:pt idx="0">
                  <c:v>Продажи</c:v>
                </c:pt>
              </c:strCache>
            </c:strRef>
          </c:tx>
          <c:dPt>
            <c:idx val="0"/>
            <c:bubble3D val="0"/>
            <c:spPr bwMode="auto">
              <a:prstGeom prst="rect">
                <a:avLst/>
              </a:prstGeom>
              <a:solidFill>
                <a:schemeClr val="accent1"/>
              </a:solidFill>
              <a:ln>
                <a:noFill/>
              </a:ln>
            </c:spPr>
          </c:dPt>
          <c:dPt>
            <c:idx val="1"/>
            <c:bubble3D val="0"/>
            <c:spPr bwMode="auto">
              <a:prstGeom prst="rect">
                <a:avLst/>
              </a:prstGeom>
              <a:solidFill>
                <a:schemeClr val="accent2"/>
              </a:solidFill>
              <a:ln>
                <a:noFill/>
              </a:ln>
            </c:spPr>
          </c:dPt>
          <c:dPt>
            <c:idx val="2"/>
            <c:bubble3D val="0"/>
            <c:spPr bwMode="auto">
              <a:prstGeom prst="rect">
                <a:avLst/>
              </a:prstGeom>
              <a:solidFill>
                <a:schemeClr val="accent3"/>
              </a:solidFill>
              <a:ln>
                <a:noFill/>
              </a:ln>
            </c:spPr>
          </c:dPt>
          <c:dPt>
            <c:idx val="3"/>
            <c:bubble3D val="0"/>
            <c:spPr bwMode="auto">
              <a:prstGeom prst="rect">
                <a:avLst/>
              </a:prstGeom>
              <a:solidFill>
                <a:schemeClr val="accent4"/>
              </a:solidFill>
              <a:ln>
                <a:noFill/>
              </a:ln>
            </c:spPr>
          </c:dPt>
          <c:dPt>
            <c:idx val="4"/>
            <c:bubble3D val="0"/>
            <c:spPr bwMode="auto">
              <a:prstGeom prst="rect">
                <a:avLst/>
              </a:prstGeom>
              <a:solidFill>
                <a:schemeClr val="accent5"/>
              </a:solidFill>
              <a:ln>
                <a:noFill/>
              </a:ln>
            </c:spPr>
          </c:dPt>
          <c:dLbls>
            <c:dLbl>
              <c:idx val="0"/>
              <c:dLblPos val="bestFit"/>
              <c:layout>
                <c:manualLayout>
                  <c:x val="-0.029935320584926883"/>
                  <c:y val="0.090494845092254292"/>
                </c:manualLayout>
              </c:layout>
              <c:showBubbleSize val="0"/>
              <c:showCatName val="0"/>
              <c:showLegendKey val="0"/>
              <c:showPercent val="1"/>
              <c:showSerName val="0"/>
              <c:showVal val="0"/>
              <c:tx>
                <c:rich>
                  <a:bodyPr/>
                  <a:lstStyle/>
                  <a:p>
                    <a:pPr>
                      <a:defRPr/>
                    </a:pPr>
                    <a:fld id="{77D1BA7A-1445-4EC1-83F0-891F6E0D1556}" type="PERCENTAGE">
                      <a:rPr lang="en-US">
                        <a:solidFill>
                          <a:schemeClr val="bg1"/>
                        </a:solidFill>
                      </a:rPr>
                      <a:t/>
                    </a:fld>
                    <a:endParaRPr lang="uk-UA"/>
                  </a:p>
                </c:rich>
              </c:tx>
            </c:dLbl>
            <c:dLbl>
              <c:idx val="2"/>
              <c:dLblPos val="bestFit"/>
              <c:layout>
                <c:manualLayout>
                  <c:x val="0.069400030353348685"/>
                  <c:y val="0.094632448239255457"/>
                </c:manualLayout>
              </c:layout>
              <c:showBubbleSize val="0"/>
              <c:showCatName val="0"/>
              <c:showLegendKey val="0"/>
              <c:showPercent val="1"/>
              <c:showSerName val="0"/>
              <c:showVal val="0"/>
              <c:tx>
                <c:rich>
                  <a:bodyPr/>
                  <a:lstStyle/>
                  <a:p>
                    <a:pPr>
                      <a:defRPr/>
                    </a:pPr>
                    <a:fld id="{94F0F1D6-9ED3-431A-96EF-CB982FF9386E}" type="PERCENTAGE">
                      <a:rPr lang="en-US">
                        <a:solidFill>
                          <a:schemeClr val="bg1"/>
                        </a:solidFill>
                      </a:rPr>
                      <a:t/>
                    </a:fld>
                    <a:endParaRPr lang="uk-UA"/>
                  </a:p>
                </c:rich>
              </c:tx>
            </c:dLbl>
            <c:dLbl>
              <c:idx val="3"/>
              <c:dLblPos val="inEnd"/>
              <c:layout/>
              <c:showBubbleSize val="0"/>
              <c:showCatName val="0"/>
              <c:showLegendKey val="0"/>
              <c:showPercent val="1"/>
              <c:showSerName val="0"/>
              <c:showVal val="0"/>
              <c:tx>
                <c:rich>
                  <a:bodyPr/>
                  <a:lstStyle/>
                  <a:p>
                    <a:pPr>
                      <a:defRPr/>
                    </a:pPr>
                    <a:fld id="{4512D3D3-BE15-4BC6-90AA-4B43A8F4A468}" type="PERCENTAGE">
                      <a:rPr lang="en-US">
                        <a:solidFill>
                          <a:schemeClr val="bg1"/>
                        </a:solidFill>
                      </a:rPr>
                      <a:t/>
                    </a:fld>
                    <a:endParaRPr lang="uk-UA"/>
                  </a:p>
                </c:rich>
              </c:tx>
            </c:dLbl>
            <c:dLbl>
              <c:idx val="4"/>
              <c:dLblPos val="inEnd"/>
              <c:layout/>
              <c:showBubbleSize val="0"/>
              <c:showCatName val="0"/>
              <c:showLegendKey val="0"/>
              <c:showPercent val="1"/>
              <c:showSerName val="0"/>
              <c:showVal val="0"/>
              <c:tx>
                <c:rich>
                  <a:bodyPr/>
                  <a:lstStyle/>
                  <a:p>
                    <a:pPr>
                      <a:defRPr/>
                    </a:pPr>
                    <a:fld id="{92A52A45-D757-4687-A043-5C3D44EF120A}" type="PERCENTAGE">
                      <a:rPr lang="en-US">
                        <a:solidFill>
                          <a:schemeClr val="bg1"/>
                        </a:solidFill>
                      </a:rPr>
                      <a:t/>
                    </a:fld>
                    <a:endParaRPr lang="uk-UA"/>
                  </a:p>
                </c:rich>
              </c:tx>
            </c:dLbl>
            <c:dLblPos val="inEnd"/>
            <c:leaderLines>
              <c:spPr bwMode="auto">
                <a:prstGeom prst="rect">
                  <a:avLst/>
                </a:prstGeom>
                <a:ln w="9525" cap="flat" cmpd="sng" algn="ctr">
                  <a:solidFill>
                    <a:schemeClr val="tx1">
                      <a:lumMod val="35000"/>
                      <a:lumOff val="65000"/>
                    </a:schemeClr>
                  </a:solidFill>
                  <a:round/>
                </a:ln>
              </c:spPr>
            </c:leaderLines>
            <c:showBubbleSize val="0"/>
            <c:showCatName val="0"/>
            <c:showLeaderLines val="1"/>
            <c:showLegendKey val="0"/>
            <c:showPercent val="1"/>
            <c:showSerName val="0"/>
            <c:showVal val="0"/>
            <c:spPr bwMode="auto">
              <a:prstGeom prst="rect">
                <a:avLst/>
              </a:prstGeom>
              <a:noFill/>
              <a:ln>
                <a:noFill/>
              </a:ln>
            </c:spPr>
            <c:txPr>
              <a:bodyPr rot="0" spcFirstLastPara="true" vertOverflow="ellipsis" vert="horz" wrap="square" lIns="38100" tIns="19050" rIns="38100" bIns="19050" anchor="ctr" anchorCtr="true">
                <a:spAutoFit/>
              </a:bodyPr>
              <a:lstStyle/>
              <a:p>
                <a:pPr>
                  <a:defRPr sz="1000" b="1" i="0" u="none" strike="noStrike">
                    <a:solidFill>
                      <a:sysClr val="windowText" lastClr="000000"/>
                    </a:solidFill>
                    <a:latin typeface="+mn-lt"/>
                    <a:ea typeface="+mn-ea"/>
                    <a:cs typeface="+mn-cs"/>
                  </a:defRPr>
                </a:pPr>
                <a:endParaRPr lang="uk-UA"/>
              </a:p>
            </c:txPr>
          </c:dLbls>
          <c:cat>
            <c:strRef>
              <c:f>Лист1!$A$2:$A$6</c:f>
              <c:strCache>
                <c:ptCount val="5"/>
                <c:pt idx="0">
                  <c:v xml:space="preserve">Муніципальний сектор</c:v>
                </c:pt>
                <c:pt idx="1">
                  <c:v>Населення</c:v>
                </c:pt>
                <c:pt idx="2">
                  <c:v>Промисловість</c:v>
                </c:pt>
                <c:pt idx="3">
                  <c:v xml:space="preserve">Третинний сектор</c:v>
                </c:pt>
                <c:pt idx="4">
                  <c:v>Інші</c:v>
                </c:pt>
              </c:strCache>
            </c:strRef>
          </c:cat>
          <c:val>
            <c:numRef>
              <c:f>Лист1!$B$2:$B$6</c:f>
              <c:numCache>
                <c:formatCode>General</c:formatCode>
                <c:ptCount val="5"/>
                <c:pt idx="0">
                  <c:v>904.25</c:v>
                </c:pt>
                <c:pt idx="1">
                  <c:v>4641.941</c:v>
                </c:pt>
                <c:pt idx="2">
                  <c:v>3483.942</c:v>
                </c:pt>
                <c:pt idx="3">
                  <c:v>47.103</c:v>
                </c:pt>
                <c:pt idx="4">
                  <c:v>619.776</c:v>
                </c:pt>
              </c:numCache>
            </c:numRef>
          </c:val>
        </c:ser>
        <c:dLbls>
          <c:dLblPos val="inEnd"/>
          <c:showBubbleSize val="0"/>
          <c:showCatName val="0"/>
          <c:showLeaderLines val="1"/>
          <c:showLegendKey val="0"/>
          <c:showPercent val="1"/>
          <c:showSerName val="0"/>
          <c:showVal val="0"/>
        </c:dLbls>
        <c:firstSliceAng val="0"/>
      </c:pieChart>
      <c:spPr bwMode="auto">
        <a:prstGeom prst="rect">
          <a:avLst/>
        </a:prstGeom>
        <a:noFill/>
        <a:ln>
          <a:noFill/>
        </a:ln>
      </c:spPr>
    </c:plotArea>
    <c:legend>
      <c:legendPos val="r"/>
      <c:layout>
        <c:manualLayout>
          <c:xMode val="edge"/>
          <c:yMode val="edge"/>
          <c:x val="0.70543771314299997"/>
          <c:y val="0.29523880773810635"/>
          <c:w val="0.27755548413591158"/>
          <c:h val="0.43002911453170489"/>
        </c:manualLayout>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noFill/>
      <a:round/>
    </a:ln>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r>
              <a:rPr lang="uk-UA" sz="1200" b="1" i="0">
                <a:solidFill>
                  <a:sysClr val="windowText" lastClr="000000"/>
                </a:solidFill>
                <a:latin typeface="Arial"/>
                <a:cs typeface="Arial"/>
              </a:rPr>
              <a:t>Споживання теплової енергії Гкал за категоріями споживачів</a:t>
            </a:r>
            <a:endParaRPr lang="uk-UA" sz="1200">
              <a:solidFill>
                <a:sysClr val="windowText" lastClr="000000"/>
              </a:solidFill>
              <a:latin typeface="Arial"/>
              <a:cs typeface="Arial"/>
            </a:endParaRPr>
          </a:p>
        </c:rich>
      </c:tx>
      <c:layout/>
      <c:overlay val="0"/>
      <c:spPr bwMode="auto">
        <a:prstGeom prst="rect">
          <a:avLst/>
        </a:prstGeom>
        <a:noFill/>
        <a:ln>
          <a:noFill/>
        </a:ln>
      </c:spPr>
      <c:txPr>
        <a:bodyPr rot="0" spcFirstLastPara="true" vertOverflow="ellipsis" vert="horz" wrap="square" anchor="ctr" anchorCtr="true"/>
        <a:lstStyle/>
        <a:p>
          <a:pPr>
            <a:defRPr sz="1400" b="0" i="0" u="none" strike="noStrike" spc="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04580927384077"/>
          <c:y val="0.13838903170522707"/>
          <c:w val="0.86486351706036746"/>
          <c:h val="0.66421000074219516"/>
        </c:manualLayout>
      </c:layout>
      <c:barChart>
        <c:barDir val="col"/>
        <c:grouping val="clustered"/>
        <c:varyColors val="0"/>
        <c:ser>
          <c:idx val="0"/>
          <c:order val="0"/>
          <c:tx>
            <c:strRef>
              <c:f>Лист1!$B$1</c:f>
              <c:strCache>
                <c:ptCount val="1"/>
                <c:pt idx="0">
                  <c:v xml:space="preserve">Муніципальні будівлі</c:v>
                </c:pt>
              </c:strCache>
            </c:strRef>
          </c:tx>
          <c:spPr bwMode="auto">
            <a:prstGeom prst="rect">
              <a:avLst/>
            </a:prstGeom>
            <a:solidFill>
              <a:schemeClr val="accent1"/>
            </a:solidFill>
            <a:ln>
              <a:noFill/>
            </a:ln>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2425.96</c:v>
                </c:pt>
                <c:pt idx="1">
                  <c:v>2895.15</c:v>
                </c:pt>
                <c:pt idx="2">
                  <c:v>2129.44</c:v>
                </c:pt>
              </c:numCache>
            </c:numRef>
          </c:val>
        </c:ser>
        <c:ser>
          <c:idx val="1"/>
          <c:order val="1"/>
          <c:tx>
            <c:strRef>
              <c:f>Лист1!$C$1</c:f>
              <c:strCache>
                <c:ptCount val="1"/>
                <c:pt idx="0">
                  <c:v>Населення</c:v>
                </c:pt>
              </c:strCache>
            </c:strRef>
          </c:tx>
          <c:spPr bwMode="auto">
            <a:prstGeom prst="rect">
              <a:avLst/>
            </a:prstGeom>
            <a:solidFill>
              <a:schemeClr val="accent2"/>
            </a:solidFill>
            <a:ln>
              <a:noFill/>
            </a:ln>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1773.64</c:v>
                </c:pt>
                <c:pt idx="1">
                  <c:v>1961.4</c:v>
                </c:pt>
                <c:pt idx="2">
                  <c:v>1422.25</c:v>
                </c:pt>
              </c:numCache>
            </c:numRef>
          </c:val>
        </c:ser>
        <c:ser>
          <c:idx val="2"/>
          <c:order val="2"/>
          <c:tx>
            <c:strRef>
              <c:f>Лист1!$D$1</c:f>
              <c:strCache>
                <c:ptCount val="1"/>
                <c:pt idx="0">
                  <c:v xml:space="preserve">Третинний сектор</c:v>
                </c:pt>
              </c:strCache>
            </c:strRef>
          </c:tx>
          <c:spPr bwMode="auto">
            <a:prstGeom prst="rect">
              <a:avLst/>
            </a:prstGeom>
            <a:solidFill>
              <a:schemeClr val="accent3"/>
            </a:solidFill>
            <a:ln>
              <a:noFill/>
            </a:ln>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482.81</c:v>
                </c:pt>
                <c:pt idx="1">
                  <c:v>639.42</c:v>
                </c:pt>
                <c:pt idx="2">
                  <c:v>399.54</c:v>
                </c:pt>
              </c:numCache>
            </c:numRef>
          </c:val>
        </c:ser>
        <c:dLbls>
          <c:showBubbleSize val="0"/>
          <c:showCatName val="0"/>
          <c:showLeaderLines val="0"/>
          <c:showLegendKey val="0"/>
          <c:showPercent val="0"/>
          <c:showSerName val="0"/>
          <c:showVal val="0"/>
        </c:dLbls>
        <c:gapWidth val="219"/>
        <c:overlap val="-27"/>
        <c:axId val="427024048"/>
        <c:axId val="427026400"/>
      </c:barChart>
      <c:catAx>
        <c:axId val="427024048"/>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427026400"/>
        <c:crosses val="autoZero"/>
        <c:auto val="1"/>
        <c:lblAlgn val="ctr"/>
        <c:lblOffset val="100"/>
        <c:noMultiLvlLbl val="0"/>
      </c:catAx>
      <c:valAx>
        <c:axId val="427026400"/>
        <c:scaling>
          <c:orientation val="minMax"/>
        </c:scaling>
        <c:delete val="0"/>
        <c:axPos val="l"/>
        <c:majorGridlines>
          <c:spPr bwMode="auto">
            <a:prstGeom prst="rect">
              <a:avLst/>
            </a:prstGeom>
            <a:ln w="9525" cap="flat" cmpd="sng" algn="ctr">
              <a:solidFill>
                <a:schemeClr val="tx1">
                  <a:lumMod val="15000"/>
                  <a:lumOff val="85000"/>
                </a:schemeClr>
              </a:solidFill>
              <a:round/>
            </a:ln>
          </c:spPr>
        </c:majorGridlines>
        <c:numFmt formatCode="General" sourceLinked="1"/>
        <c:majorTickMark val="none"/>
        <c:minorTickMark val="none"/>
        <c:tickLblPos val="nextTo"/>
        <c:spPr bwMode="auto">
          <a:prstGeom prst="rect">
            <a:avLst/>
          </a:prstGeom>
          <a:noFill/>
          <a:ln>
            <a:noFill/>
          </a:ln>
        </c:spPr>
        <c:txPr>
          <a:bodyPr rot="-6000000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crossAx val="427024048"/>
        <c:crosses val="autoZero"/>
        <c:crossBetween val="between"/>
      </c:valAx>
      <c:spPr bwMode="auto">
        <a:prstGeom prst="rect">
          <a:avLst/>
        </a:prstGeom>
        <a:noFill/>
        <a:ln>
          <a:noFill/>
        </a:ln>
      </c:spPr>
    </c:plotArea>
    <c:legend>
      <c:legendPos val="b"/>
      <c:layout>
        <c:manualLayout>
          <c:xMode val="edge"/>
          <c:yMode val="edge"/>
          <c:x val="0.13250458120595623"/>
          <c:y val="0.85048942411610318"/>
          <c:w val="0.74051853592927752"/>
          <c:h val="0.14951057588389688"/>
        </c:manualLayout>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noFill/>
      <a:round/>
    </a:ln>
  </c:spPr>
  <c:txPr>
    <a:bodyPr/>
    <a:lstStyle/>
    <a:p>
      <a:pP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0"/>
  <c:lang val="uk-UA"/>
  <c:roundedCorners val="0"/>
  <mc:AlternateContent>
    <mc:Choice Requires="c14">
      <c14:style val="102"/>
    </mc:Choice>
    <mc:Fallback>
      <c:style val="2"/>
    </mc:Fallback>
  </mc:AlternateContent>
  <c:chart>
    <c:title>
      <c:tx>
        <c:rich>
          <a:bodyPr rot="0" spcFirstLastPara="true" vertOverflow="ellipsis" vert="horz" wrap="square" anchor="ctr" anchorCtr="true"/>
          <a:lstStyle/>
          <a:p>
            <a:pPr>
              <a:defRPr sz="1400" b="1" i="0" u="none" strike="noStrike" cap="all" spc="50">
                <a:solidFill>
                  <a:schemeClr val="tx1">
                    <a:lumMod val="65000"/>
                    <a:lumOff val="35000"/>
                  </a:schemeClr>
                </a:solidFill>
                <a:latin typeface="+mn-lt"/>
                <a:ea typeface="+mn-ea"/>
                <a:cs typeface="+mn-cs"/>
              </a:defRPr>
            </a:pPr>
            <a:r>
              <a:rPr lang="uk-UA" sz="1100">
                <a:latin typeface="Arial"/>
                <a:cs typeface="Arial"/>
              </a:rPr>
              <a:t>Структура споживання теплової енергії в базовому 2019 році</a:t>
            </a:r>
            <a:endParaRPr/>
          </a:p>
        </c:rich>
      </c:tx>
      <c:layout>
        <c:manualLayout>
          <c:xMode val="edge"/>
          <c:yMode val="edge"/>
          <c:x val="0.15311447811447812"/>
          <c:y val="0"/>
        </c:manualLayout>
      </c:layout>
      <c:overlay val="0"/>
      <c:spPr bwMode="auto">
        <a:prstGeom prst="rect">
          <a:avLst/>
        </a:prstGeom>
        <a:noFill/>
        <a:ln>
          <a:noFill/>
        </a:ln>
      </c:spPr>
      <c:txPr>
        <a:bodyPr rot="0" spcFirstLastPara="true" vertOverflow="ellipsis" vert="horz" wrap="square" anchor="ctr" anchorCtr="true"/>
        <a:lstStyle/>
        <a:p>
          <a:pPr>
            <a:defRPr sz="1400" b="1" i="0" u="none" strike="noStrike" cap="all" spc="5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066693003426029726"/>
          <c:y val="0.17813531353135315"/>
          <c:w val="0.56952544311034881"/>
          <c:h val="0.82186468646864685"/>
        </c:manualLayout>
      </c:layout>
      <c:pieChart>
        <c:varyColors val="1"/>
        <c:ser>
          <c:idx val="0"/>
          <c:order val="0"/>
          <c:tx>
            <c:strRef>
              <c:f>Лист1!$B$1</c:f>
              <c:strCache>
                <c:ptCount val="1"/>
                <c:pt idx="0">
                  <c:v>Продажи</c:v>
                </c:pt>
              </c:strCache>
            </c:strRef>
          </c:tx>
          <c:dPt>
            <c:idx val="0"/>
            <c:bubble3D val="0"/>
            <c:spPr bwMode="auto">
              <a:prstGeom prst="rect">
                <a:avLst/>
              </a:prstGeom>
              <a:solidFill>
                <a:schemeClr val="accent1"/>
              </a:solidFill>
              <a:ln>
                <a:noFill/>
              </a:ln>
            </c:spPr>
          </c:dPt>
          <c:dPt>
            <c:idx val="1"/>
            <c:bubble3D val="0"/>
            <c:spPr bwMode="auto">
              <a:prstGeom prst="rect">
                <a:avLst/>
              </a:prstGeom>
              <a:solidFill>
                <a:schemeClr val="accent2"/>
              </a:solidFill>
              <a:ln>
                <a:noFill/>
              </a:ln>
            </c:spPr>
          </c:dPt>
          <c:dPt>
            <c:idx val="2"/>
            <c:bubble3D val="0"/>
            <c:spPr bwMode="auto">
              <a:prstGeom prst="rect">
                <a:avLst/>
              </a:prstGeom>
              <a:solidFill>
                <a:schemeClr val="accent3"/>
              </a:solidFill>
              <a:ln>
                <a:noFill/>
              </a:ln>
            </c:spPr>
          </c:dPt>
          <c:dLbls>
            <c:dLbl>
              <c:idx val="0"/>
              <c:dLblPos val="bestFit"/>
              <c:layout>
                <c:manualLayout>
                  <c:x val="-0.11225337904190548"/>
                  <c:y val="0.0044587178445446166"/>
                </c:manualLayout>
              </c:layout>
              <c:showBubbleSize val="0"/>
              <c:showCatName val="0"/>
              <c:showLegendKey val="0"/>
              <c:showPercent val="1"/>
              <c:showSerName val="0"/>
              <c:showVal val="0"/>
            </c:dLbl>
            <c:dLbl>
              <c:idx val="2"/>
              <c:dLblPos val="bestFit"/>
              <c:layout>
                <c:manualLayout>
                  <c:x val="0.040956487581909402"/>
                  <c:y val="0.11918847981840104"/>
                </c:manualLayout>
              </c:layout>
              <c:showBubbleSize val="0"/>
              <c:showCatName val="0"/>
              <c:showLegendKey val="0"/>
              <c:showPercent val="1"/>
              <c:showSerName val="0"/>
              <c:showVal val="0"/>
            </c:dLbl>
            <c:dLblPos val="inEnd"/>
            <c:leaderLines>
              <c:spPr bwMode="auto">
                <a:prstGeom prst="rect">
                  <a:avLst/>
                </a:prstGeom>
                <a:ln w="9525" cap="flat" cmpd="sng" algn="ctr">
                  <a:solidFill>
                    <a:schemeClr val="tx1">
                      <a:lumMod val="35000"/>
                      <a:lumOff val="65000"/>
                    </a:schemeClr>
                  </a:solidFill>
                  <a:round/>
                </a:ln>
              </c:spPr>
            </c:leaderLines>
            <c:showBubbleSize val="0"/>
            <c:showCatName val="0"/>
            <c:showLeaderLines val="1"/>
            <c:showLegendKey val="0"/>
            <c:showPercent val="1"/>
            <c:showSerName val="0"/>
            <c:showVal val="0"/>
            <c:spPr bwMode="auto">
              <a:prstGeom prst="rect">
                <a:avLst/>
              </a:prstGeom>
              <a:noFill/>
              <a:ln>
                <a:noFill/>
              </a:ln>
            </c:spPr>
            <c:txPr>
              <a:bodyPr rot="0" spcFirstLastPara="true" vertOverflow="ellipsis" vert="horz" wrap="square" lIns="38100" tIns="19050" rIns="38100" bIns="19050" anchor="ctr" anchorCtr="true">
                <a:spAutoFit/>
              </a:bodyPr>
              <a:lstStyle/>
              <a:p>
                <a:pPr>
                  <a:defRPr sz="1100" b="1" i="0" u="none" strike="noStrike">
                    <a:solidFill>
                      <a:sysClr val="windowText" lastClr="000000"/>
                    </a:solidFill>
                    <a:latin typeface="+mn-lt"/>
                    <a:ea typeface="+mn-ea"/>
                    <a:cs typeface="+mn-cs"/>
                  </a:defRPr>
                </a:pPr>
                <a:endParaRPr lang="uk-UA"/>
              </a:p>
            </c:txPr>
          </c:dLbls>
          <c:cat>
            <c:strRef>
              <c:f>Лист1!$A$2:$A$4</c:f>
              <c:strCache>
                <c:ptCount val="3"/>
                <c:pt idx="0">
                  <c:v xml:space="preserve">Муніципальні будівлі</c:v>
                </c:pt>
                <c:pt idx="1">
                  <c:v>Населення</c:v>
                </c:pt>
                <c:pt idx="2">
                  <c:v>Інші</c:v>
                </c:pt>
              </c:strCache>
            </c:strRef>
          </c:cat>
          <c:val>
            <c:numRef>
              <c:f>Лист1!$B$2:$B$4</c:f>
              <c:numCache>
                <c:formatCode>General</c:formatCode>
                <c:ptCount val="3"/>
                <c:pt idx="0">
                  <c:v>2129.44</c:v>
                </c:pt>
                <c:pt idx="1">
                  <c:v>1422.25</c:v>
                </c:pt>
                <c:pt idx="2">
                  <c:v>399.54</c:v>
                </c:pt>
              </c:numCache>
            </c:numRef>
          </c:val>
        </c:ser>
        <c:dLbls>
          <c:dLblPos val="inEnd"/>
          <c:showBubbleSize val="0"/>
          <c:showCatName val="0"/>
          <c:showLeaderLines val="1"/>
          <c:showLegendKey val="0"/>
          <c:showPercent val="1"/>
          <c:showSerName val="0"/>
          <c:showVal val="0"/>
        </c:dLbls>
        <c:firstSliceAng val="0"/>
      </c:pieChart>
      <c:spPr bwMode="auto">
        <a:prstGeom prst="rect">
          <a:avLst/>
        </a:prstGeom>
        <a:noFill/>
        <a:ln>
          <a:noFill/>
        </a:ln>
      </c:spPr>
    </c:plotArea>
    <c:legend>
      <c:legendPos val="r"/>
      <c:layout>
        <c:manualLayout>
          <c:xMode val="edge"/>
          <c:yMode val="edge"/>
          <c:x val="0.70291144996240817"/>
          <c:y val="0.29899885657857128"/>
          <c:w val="0.27993589137549918"/>
          <c:h val="0.50175476209038228"/>
        </c:manualLayout>
      </c:layout>
      <c:overlay val="0"/>
      <c:spPr bwMode="auto">
        <a:prstGeom prst="rect">
          <a:avLst/>
        </a:prstGeom>
        <a:noFill/>
        <a:ln>
          <a:noFill/>
        </a:ln>
      </c:spPr>
      <c:txPr>
        <a:bodyPr rot="0" spcFirstLastPara="true" vertOverflow="ellipsis" vert="horz" wrap="square" anchor="ctr" anchorCtr="true"/>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c:spPr>
  <c:txPr>
    <a:bodyPr/>
    <a:lstStyle/>
    <a:p>
      <a:pPr>
        <a:defRPr/>
      </a:pPr>
      <a:endParaRPr lang="uk-UA"/>
    </a:p>
  </c:txPr>
  <c:externalData r:id="rId1">
    <c:autoUpdate val="0"/>
  </c:externalData>
</c:chartSpace>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Другая 6">
      <a:dk1>
        <a:sysClr val="windowText" lastClr="000000"/>
      </a:dk1>
      <a:lt1>
        <a:sysClr val="window" lastClr="FFFFFF"/>
      </a:lt1>
      <a:dk2>
        <a:srgbClr val="44546A"/>
      </a:dk2>
      <a:lt2>
        <a:srgbClr val="E7E6E6"/>
      </a:lt2>
      <a:accent1>
        <a:srgbClr val="00B050"/>
      </a:accent1>
      <a:accent2>
        <a:srgbClr val="FFFF00"/>
      </a:accent2>
      <a:accent3>
        <a:srgbClr val="FF0066"/>
      </a:accent3>
      <a:accent4>
        <a:srgbClr val="FF0000"/>
      </a:accent4>
      <a:accent5>
        <a:srgbClr val="4472C4"/>
      </a:accent5>
      <a:accent6>
        <a:srgbClr val="36FE91"/>
      </a:accent6>
      <a:hlink>
        <a:srgbClr val="7030A0"/>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ONLYOFFICE/5.4.2.46</Application>
  <Company>SPecialiST RePack</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SECAP MENA</dc:title>
  <dc:creator>Баукрафт</dc:creator>
  <cp:lastModifiedBy>ПРИМАКОВ Геннадій Анатолійович</cp:lastModifiedBy>
  <cp:revision>3</cp:revision>
  <dcterms:created xsi:type="dcterms:W3CDTF">2020-12-01T12:32:00Z</dcterms:created>
  <dcterms:modified xsi:type="dcterms:W3CDTF">2020-12-31T11:34:25Z</dcterms:modified>
</cp:coreProperties>
</file>