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1297" cy="63225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17160" t="7101" r="17861" b="5730"/>
                        <a:stretch/>
                      </pic:blipFill>
                      <pic:spPr bwMode="auto">
                        <a:xfrm>
                          <a:off x="0" y="0"/>
                          <a:ext cx="471295" cy="632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7.1pt;height:49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tabs>
          <w:tab w:val="left" w:pos="4252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23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 27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5103" w:firstLine="0"/>
        <w:jc w:val="both"/>
        <w:spacing w:lineRule="auto" w:line="240" w:after="0" w:afterAutospacing="0" w:before="113" w:beforeAutospacing="0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" w:name="_Hlk59127219"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порушення клопотання щод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 надання згоди на безоплатну передачу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у комуналь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ну власність Менської міської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територіальної громади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майна та фондів</w:t>
      </w:r>
      <w:bookmarkEnd w:id="1"/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Заслухавши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інформацію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щодо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безоплатної передачі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майна та малоцінних необоротних матеріальних 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ктивів, що перебувають на балансі КУ Менської районної ради «Трудовий архів Менського району», а також документів, нагромаджених в процесі документування службових, трудових або інших правовідносин юридичних і фізичних осіб, які здійснювали свою діяльність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території, що наразі входить до Менської міської територіальної громади,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ідповідно до Законів України «Про місцеве самоврядування в Україні», </w:t>
      </w:r>
      <w:r>
        <w:rPr>
          <w:rFonts w:ascii="Times New Roman" w:hAnsi="Times New Roman" w:cs="Times New Roman" w:eastAsia="Times New Roman"/>
          <w:sz w:val="28"/>
          <w:szCs w:val="28"/>
          <w:shd w:val="clear" w:color="auto" w:fill="FFFFFF"/>
        </w:rPr>
        <w:t xml:space="preserve">«Про передачу об’єктів права державної та комунальної власності</w:t>
      </w:r>
      <w:r>
        <w:rPr>
          <w:rFonts w:ascii="Times New Roman" w:hAnsi="Times New Roman" w:cs="Times New Roman" w:eastAsia="Times New Roman"/>
          <w:b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 И Р І Ш И Л А 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565"/>
        <w:numPr>
          <w:ilvl w:val="0"/>
          <w:numId w:val="2"/>
        </w:numPr>
        <w:ind w:left="0" w:firstLine="709"/>
        <w:jc w:val="both"/>
        <w:spacing w:lineRule="auto" w:line="240" w:after="0" w:afterAutospacing="0" w:before="0" w:beforeAutospacing="0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Порушити перед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Корюківською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районною радою клопотання щодо надання згоди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безоплатну передачу у комунальну власність Менської міської територіальної громади майна, закріпленого на праві оперативного управління за Комунальною установою Менської районної ради «Трудовий архів Менського району» (код ЄДРПОУ 36570684),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що є спільною власністю територіальних громад сіл, селищ, міста Менського району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а також документів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архівних фондів)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нагромаджених у процесі документування службових, трудових або інших правовідносин юридичних і фізичних осіб, та інших архівних документів, що не належать до Національного архівного фонду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тих підприємств, установ, організацій та закладів, які були розташовані (зареєстровані)  на території Менської міської територіальної громади згідно додатків №№1,2.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565"/>
        <w:numPr>
          <w:ilvl w:val="0"/>
          <w:numId w:val="2"/>
        </w:numPr>
        <w:ind w:left="0" w:firstLine="709"/>
        <w:jc w:val="both"/>
        <w:spacing w:lineRule="auto" w:line="240" w:after="0" w:afterAutospacing="0" w:before="0" w:beforeAutospacing="0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постійну комісію міської ради з питань житлово-комунального господарства та комунальної власності.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tabs>
          <w:tab w:val="left" w:pos="709" w:leader="none"/>
          <w:tab w:val="left" w:pos="851" w:leader="none"/>
          <w:tab w:val="left" w:pos="6946" w:leader="none"/>
          <w:tab w:val="left" w:pos="7088" w:leader="none"/>
        </w:tabs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tabs>
          <w:tab w:val="left" w:pos="709" w:leader="none"/>
          <w:tab w:val="left" w:pos="851" w:leader="none"/>
          <w:tab w:val="left" w:pos="6946" w:leader="none"/>
          <w:tab w:val="left" w:pos="7088" w:leader="none"/>
        </w:tabs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Міський голова</w:t>
        <w:tab/>
        <w:t xml:space="preserve">Г.А. Примаков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/>
          <w:b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/>
    </w:p>
    <w:p>
      <w:pPr>
        <w:ind w:left="5528" w:right="0" w:firstLine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 w:val="false"/>
          <w:color w:val="000000"/>
          <w:sz w:val="20"/>
        </w:rPr>
      </w:pPr>
      <w:r>
        <w:rPr>
          <w:rFonts w:ascii="Times New Roman" w:hAnsi="Times New Roman" w:cs="Times New Roman" w:eastAsia="Times New Roman"/>
          <w:b w:val="false"/>
          <w:sz w:val="20"/>
        </w:rPr>
        <w:t xml:space="preserve">Додаток № 1 до рішення 2 сесії Менської міської ради від 23.12.2020 №27 “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Про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порушення  клопотання щод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о надання згоди на безоплатну передачу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 у комуналь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ну власність Менської міської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територіальної громади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майна та фондів”</w:t>
      </w:r>
      <w:r>
        <w:rPr>
          <w:rFonts w:ascii="Times New Roman" w:hAnsi="Times New Roman" w:cs="Times New Roman" w:eastAsia="Times New Roman"/>
          <w:b w:val="false"/>
          <w:sz w:val="20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Перелік майна, яке перебуває в оперативному управлінні та на балансі Комунальної установи «Трудовий архів Менського району» </w:t>
      </w:r>
      <w:r/>
    </w:p>
    <w:p>
      <w:pPr>
        <w:spacing w:lineRule="auto" w:line="240" w:after="0" w:afterAutospacing="0" w:before="0" w:beforeAutospacing="0"/>
        <w:shd w:val="clear" w:color="auto" w:fill="FFFFFF"/>
        <w:rPr>
          <w:rFonts w:ascii="Times New Roman" w:hAnsi="Times New Roman" w:cs="Times New Roman" w:eastAsia="Times New Roman"/>
          <w:lang w:eastAsia="uk-UA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lang w:eastAsia="uk-UA"/>
        </w:rPr>
      </w:r>
      <w:r/>
    </w:p>
    <w:tbl>
      <w:tblPr>
        <w:tblW w:w="954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12"/>
        <w:gridCol w:w="4482"/>
        <w:gridCol w:w="1218"/>
        <w:gridCol w:w="1526"/>
        <w:gridCol w:w="1809"/>
      </w:tblGrid>
      <w:tr>
        <w:trPr>
          <w:trHeight w:val="29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№</w:t>
            </w:r>
            <w:r>
              <w:rPr>
                <w:b w:val="false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Найменування</w:t>
            </w:r>
            <w:r>
              <w:rPr>
                <w:b w:val="false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Кількість</w:t>
            </w:r>
            <w:r>
              <w:rPr>
                <w:b w:val="false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Вартість</w:t>
            </w:r>
            <w:r>
              <w:rPr>
                <w:b w:val="false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Технічний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4"/>
                <w:lang w:val="ru-RU" w:eastAsia="ru-RU"/>
              </w:rPr>
              <w:t xml:space="preserve"> стан</w:t>
            </w:r>
            <w:r>
              <w:rPr>
                <w:b w:val="false"/>
                <w:sz w:val="20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Шафа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для папок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300,00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Шафа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для папок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450,00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Процесор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680,00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Корпус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415,00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Стіл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письмовий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550,00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Модем D-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Link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219,00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Радіотелефон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309,00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Відеокарта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637,00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Материнська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плата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853,00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Монітор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194 LG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939,00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Стилаж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6000,00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Клавіатура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147,00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Дрель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246,00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Стремянка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244,50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Чайник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 xml:space="preserve"> SATURN ST-EK8003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білий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 xml:space="preserve">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369,00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Р/телефон PANASONIK KX-TG1611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червоний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669,00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БФП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 xml:space="preserve"> CANON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 xml:space="preserve">i-sensys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 xml:space="preserve"> MF3010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3600,00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Засіб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КЗІ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 Secure Token-337M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2040,00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19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Стілець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280,00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Дзеркало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80,00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Вогнегасник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з кронштейном ВВК-3,5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1308,00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задовільний</w:t>
            </w:r>
            <w:r/>
          </w:p>
        </w:tc>
      </w:tr>
      <w:tr>
        <w:trPr>
          <w:trHeight w:val="3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2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ВСЬОГО: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8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ru-RU" w:eastAsia="ru-RU"/>
              </w:rPr>
              <w:t xml:space="preserve">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20335,50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9" w:type="dxa"/>
            <w:vAlign w:val="bottom"/>
            <w:textDirection w:val="lrTb"/>
            <w:noWrap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 </w:t>
            </w:r>
            <w:r/>
          </w:p>
        </w:tc>
      </w:tr>
    </w:tbl>
    <w:p>
      <w:pPr>
        <w:jc w:val="both"/>
        <w:spacing w:lineRule="auto" w:line="240" w:after="0" w:afterAutospacing="0" w:before="0" w:beforeAutospacing="0"/>
        <w:tabs>
          <w:tab w:val="left" w:pos="709" w:leader="none"/>
          <w:tab w:val="left" w:pos="851" w:leader="none"/>
          <w:tab w:val="left" w:pos="6946" w:leader="none"/>
          <w:tab w:val="left" w:pos="708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  <w:br w:type="page"/>
      </w:r>
      <w:r/>
    </w:p>
    <w:p>
      <w:pPr>
        <w:ind w:left="5528" w:right="0" w:firstLine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 w:val="false"/>
          <w:sz w:val="20"/>
        </w:rPr>
        <w:t xml:space="preserve">Додаток № 2 до рішення 2 сесії Менської міської ради від 23.12.2020 №27 “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Про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порушення  клопотання щод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о надання згоди на безоплатну передачу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 у комуналь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ну власність Менської міської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територіальної громади 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  <w:t xml:space="preserve">майна та фондів”</w:t>
      </w:r>
      <w:r>
        <w:rPr>
          <w:rFonts w:ascii="Times New Roman" w:hAnsi="Times New Roman" w:cs="Times New Roman" w:eastAsia="Times New Roman"/>
          <w:b w:val="false"/>
          <w:color w:val="000000"/>
          <w:sz w:val="20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/>
          <w:b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Список фондів, </w:t>
      </w:r>
      <w:r>
        <w:rPr>
          <w:rFonts w:ascii="Times New Roman" w:hAnsi="Times New Roman" w:cs="Times New Roman"/>
          <w:b/>
          <w:sz w:val="28"/>
          <w:szCs w:val="28"/>
        </w:rPr>
        <w:t xml:space="preserve">що зберігаються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Комунальній установі Менської районної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«Трудовий архів Менського району» </w:t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/>
          <w:b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10519" w:type="dxa"/>
        <w:tblInd w:w="-743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2692"/>
        <w:gridCol w:w="1276"/>
        <w:gridCol w:w="1275"/>
        <w:gridCol w:w="1166"/>
        <w:gridCol w:w="851"/>
        <w:gridCol w:w="850"/>
      </w:tblGrid>
      <w:tr>
        <w:trPr>
          <w:cantSplit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№ фонду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Merge w:val="restart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Дата першого надходження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vMerge w:val="restart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Назва фонду</w:t>
            </w:r>
            <w:r>
              <w:rPr>
                <w:sz w:val="18"/>
              </w:rPr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17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Кількість справ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Дати</w:t>
            </w:r>
            <w:r>
              <w:rPr>
                <w:sz w:val="18"/>
              </w:rPr>
            </w:r>
            <w:r/>
          </w:p>
        </w:tc>
      </w:tr>
      <w:tr>
        <w:trPr>
          <w:cantSplit/>
          <w:trHeight w:val="90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59" w:after="160"/>
              <w:rPr>
                <w:rFonts w:ascii="Times New Roman" w:hAnsi="Times New Roman" w:cs="Times New Roman"/>
                <w:b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59" w:after="160"/>
              <w:rPr>
                <w:rFonts w:ascii="Times New Roman" w:hAnsi="Times New Roman" w:cs="Times New Roman"/>
                <w:b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59" w:after="160"/>
              <w:rPr>
                <w:rFonts w:ascii="Times New Roman" w:hAnsi="Times New Roman" w:cs="Times New Roman"/>
                <w:b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 w:val="false"/>
                <w:sz w:val="20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 w:val="false"/>
                <w:sz w:val="20"/>
                <w:szCs w:val="28"/>
              </w:rPr>
              <w:t xml:space="preserve">з особо</w:t>
            </w:r>
            <w:r>
              <w:rPr>
                <w:rFonts w:ascii="Times New Roman" w:hAnsi="Times New Roman" w:cs="Times New Roman"/>
                <w:b w:val="false"/>
                <w:sz w:val="20"/>
                <w:szCs w:val="28"/>
              </w:rPr>
              <w:t xml:space="preserve">вого</w:t>
            </w:r>
            <w:r>
              <w:rPr>
                <w:rFonts w:ascii="Times New Roman" w:hAnsi="Times New Roman" w:cs="Times New Roman"/>
                <w:b w:val="false"/>
                <w:sz w:val="20"/>
                <w:szCs w:val="28"/>
              </w:rPr>
              <w:t xml:space="preserve"> складу</w:t>
            </w:r>
            <w:r>
              <w:rPr>
                <w:b w:val="false"/>
                <w:sz w:val="1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 w:val="false"/>
                <w:sz w:val="20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 w:val="false"/>
                <w:sz w:val="20"/>
                <w:szCs w:val="28"/>
              </w:rPr>
              <w:t xml:space="preserve">тривалого зберігання</w:t>
            </w:r>
            <w:r>
              <w:rPr>
                <w:b w:val="false"/>
                <w:sz w:val="1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b w:val="false"/>
                <w:sz w:val="20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 w:val="false"/>
                <w:sz w:val="20"/>
                <w:szCs w:val="28"/>
              </w:rPr>
              <w:t xml:space="preserve">тимчасового зберігання</w:t>
            </w:r>
            <w:r>
              <w:rPr>
                <w:b w:val="false"/>
                <w:sz w:val="16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59" w:after="160"/>
              <w:rPr>
                <w:rFonts w:ascii="Times New Roman" w:hAnsi="Times New Roman" w:cs="Times New Roman"/>
                <w:b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КСП «Світанок»,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Киселівка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14.04.2010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Агротехком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Дягова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СФГ «Барвінок»,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Семенівка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24.04.2010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КСП «Шлях хлібороба»,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Ушня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2002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07.06.2010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 завод продовольчих товарів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04.08.2010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СК»Дягівський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с.Дягова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2003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11.05.2011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СГТОВ «Полісся»,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Синявка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2003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10.05.2011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Макошинський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Сільгоспмаш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Макошино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  ЗБВ,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Макошино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2002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07.10.2011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НВС «Люпин»,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Дягова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2001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02.08.2012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Черніговторф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Киселівка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СТОВ «Зміна»,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Садове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2001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23.09.2013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«Нове життя»,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Осьмаки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2009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14.11.2015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СФГ «Зоря»,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Синявка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2009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17.11.2015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Виборча комісія з місцевих виборів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12.04.2016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Територіальні виборчі комісії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09.08.2018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Філіал «Менське бюро подорожей та екскурсій»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2001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01.08.2018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районна партійна організація АПУ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05.10.2014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2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СФГ  «Світанок»,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2003</w:t>
            </w:r>
            <w:r/>
          </w:p>
        </w:tc>
      </w:tr>
      <w:tr>
        <w:trPr/>
        <w:tc>
          <w:tcPr>
            <w:gridSpan w:val="8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1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 фондів;   3522  справ  з кадрових питань (особового складу); </w:t>
            </w:r>
            <w:r/>
          </w:p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 справ тимчасового зберігання</w:t>
            </w:r>
            <w:r/>
          </w:p>
        </w:tc>
      </w:tr>
    </w:tbl>
    <w:p>
      <w:pPr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1"/>
    <w:next w:val="56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basedOn w:val="562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1"/>
    <w:next w:val="561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basedOn w:val="562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1"/>
    <w:next w:val="561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basedOn w:val="562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1"/>
    <w:next w:val="561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basedOn w:val="56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1"/>
    <w:next w:val="561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basedOn w:val="562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1"/>
    <w:next w:val="561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basedOn w:val="562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1"/>
    <w:next w:val="561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basedOn w:val="562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1"/>
    <w:next w:val="561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basedOn w:val="562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1"/>
    <w:next w:val="561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basedOn w:val="562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No Spacing"/>
    <w:qFormat/>
    <w:uiPriority w:val="1"/>
    <w:pPr>
      <w:spacing w:lineRule="auto" w:line="240" w:after="0" w:before="0"/>
    </w:pPr>
  </w:style>
  <w:style w:type="paragraph" w:styleId="409">
    <w:name w:val="Title"/>
    <w:basedOn w:val="561"/>
    <w:next w:val="561"/>
    <w:link w:val="41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0">
    <w:name w:val="Title Char"/>
    <w:basedOn w:val="562"/>
    <w:link w:val="409"/>
    <w:uiPriority w:val="10"/>
    <w:rPr>
      <w:sz w:val="48"/>
      <w:szCs w:val="48"/>
    </w:rPr>
  </w:style>
  <w:style w:type="paragraph" w:styleId="411">
    <w:name w:val="Subtitle"/>
    <w:basedOn w:val="561"/>
    <w:next w:val="561"/>
    <w:link w:val="412"/>
    <w:qFormat/>
    <w:uiPriority w:val="11"/>
    <w:rPr>
      <w:sz w:val="24"/>
      <w:szCs w:val="24"/>
    </w:rPr>
    <w:pPr>
      <w:spacing w:after="200" w:before="200"/>
    </w:pPr>
  </w:style>
  <w:style w:type="character" w:styleId="412">
    <w:name w:val="Subtitle Char"/>
    <w:basedOn w:val="562"/>
    <w:link w:val="411"/>
    <w:uiPriority w:val="11"/>
    <w:rPr>
      <w:sz w:val="24"/>
      <w:szCs w:val="24"/>
    </w:rPr>
  </w:style>
  <w:style w:type="paragraph" w:styleId="413">
    <w:name w:val="Quote"/>
    <w:basedOn w:val="561"/>
    <w:next w:val="561"/>
    <w:link w:val="414"/>
    <w:qFormat/>
    <w:uiPriority w:val="29"/>
    <w:rPr>
      <w:i/>
    </w:rPr>
    <w:pPr>
      <w:ind w:left="720" w:right="720"/>
    </w:pPr>
  </w:style>
  <w:style w:type="character" w:styleId="414">
    <w:name w:val="Quote Char"/>
    <w:link w:val="413"/>
    <w:uiPriority w:val="29"/>
    <w:rPr>
      <w:i/>
    </w:rPr>
  </w:style>
  <w:style w:type="paragraph" w:styleId="415">
    <w:name w:val="Intense Quote"/>
    <w:basedOn w:val="561"/>
    <w:next w:val="561"/>
    <w:link w:val="41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6">
    <w:name w:val="Intense Quote Char"/>
    <w:link w:val="415"/>
    <w:uiPriority w:val="30"/>
    <w:rPr>
      <w:i/>
    </w:rPr>
  </w:style>
  <w:style w:type="paragraph" w:styleId="417">
    <w:name w:val="Header"/>
    <w:basedOn w:val="561"/>
    <w:link w:val="4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8">
    <w:name w:val="Header Char"/>
    <w:basedOn w:val="562"/>
    <w:link w:val="417"/>
    <w:uiPriority w:val="99"/>
  </w:style>
  <w:style w:type="paragraph" w:styleId="419">
    <w:name w:val="Footer"/>
    <w:basedOn w:val="561"/>
    <w:link w:val="4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0">
    <w:name w:val="Footer Char"/>
    <w:basedOn w:val="562"/>
    <w:link w:val="419"/>
    <w:uiPriority w:val="99"/>
  </w:style>
  <w:style w:type="table" w:styleId="421">
    <w:name w:val="Table Grid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6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8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0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1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2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3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4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5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6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3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4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5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6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7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8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5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6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7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8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9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0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1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3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4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5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6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7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8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9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0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21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2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3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4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25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6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7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8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9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0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1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2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3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4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5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6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7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8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9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0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1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2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3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4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5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6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7">
    <w:name w:val="Hyperlink"/>
    <w:uiPriority w:val="99"/>
    <w:unhideWhenUsed/>
    <w:rPr>
      <w:color w:val="0000FF" w:themeColor="hyperlink"/>
      <w:u w:val="single"/>
    </w:rPr>
  </w:style>
  <w:style w:type="paragraph" w:styleId="548">
    <w:name w:val="footnote text"/>
    <w:basedOn w:val="561"/>
    <w:link w:val="549"/>
    <w:uiPriority w:val="99"/>
    <w:semiHidden/>
    <w:unhideWhenUsed/>
    <w:rPr>
      <w:sz w:val="18"/>
    </w:rPr>
    <w:pPr>
      <w:spacing w:lineRule="auto" w:line="240" w:after="40"/>
    </w:pPr>
  </w:style>
  <w:style w:type="character" w:styleId="549">
    <w:name w:val="Footnote Text Char"/>
    <w:link w:val="548"/>
    <w:uiPriority w:val="99"/>
    <w:rPr>
      <w:sz w:val="18"/>
    </w:rPr>
  </w:style>
  <w:style w:type="character" w:styleId="550">
    <w:name w:val="footnote reference"/>
    <w:basedOn w:val="562"/>
    <w:uiPriority w:val="99"/>
    <w:unhideWhenUsed/>
    <w:rPr>
      <w:vertAlign w:val="superscript"/>
    </w:rPr>
  </w:style>
  <w:style w:type="paragraph" w:styleId="551">
    <w:name w:val="toc 1"/>
    <w:basedOn w:val="561"/>
    <w:next w:val="561"/>
    <w:uiPriority w:val="39"/>
    <w:unhideWhenUsed/>
    <w:pPr>
      <w:ind w:left="0" w:right="0" w:firstLine="0"/>
      <w:spacing w:after="57"/>
    </w:pPr>
  </w:style>
  <w:style w:type="paragraph" w:styleId="552">
    <w:name w:val="toc 2"/>
    <w:basedOn w:val="561"/>
    <w:next w:val="561"/>
    <w:uiPriority w:val="39"/>
    <w:unhideWhenUsed/>
    <w:pPr>
      <w:ind w:left="283" w:right="0" w:firstLine="0"/>
      <w:spacing w:after="57"/>
    </w:pPr>
  </w:style>
  <w:style w:type="paragraph" w:styleId="553">
    <w:name w:val="toc 3"/>
    <w:basedOn w:val="561"/>
    <w:next w:val="561"/>
    <w:uiPriority w:val="39"/>
    <w:unhideWhenUsed/>
    <w:pPr>
      <w:ind w:left="567" w:right="0" w:firstLine="0"/>
      <w:spacing w:after="57"/>
    </w:pPr>
  </w:style>
  <w:style w:type="paragraph" w:styleId="554">
    <w:name w:val="toc 4"/>
    <w:basedOn w:val="561"/>
    <w:next w:val="561"/>
    <w:uiPriority w:val="39"/>
    <w:unhideWhenUsed/>
    <w:pPr>
      <w:ind w:left="850" w:right="0" w:firstLine="0"/>
      <w:spacing w:after="57"/>
    </w:pPr>
  </w:style>
  <w:style w:type="paragraph" w:styleId="555">
    <w:name w:val="toc 5"/>
    <w:basedOn w:val="561"/>
    <w:next w:val="561"/>
    <w:uiPriority w:val="39"/>
    <w:unhideWhenUsed/>
    <w:pPr>
      <w:ind w:left="1134" w:right="0" w:firstLine="0"/>
      <w:spacing w:after="57"/>
    </w:pPr>
  </w:style>
  <w:style w:type="paragraph" w:styleId="556">
    <w:name w:val="toc 6"/>
    <w:basedOn w:val="561"/>
    <w:next w:val="561"/>
    <w:uiPriority w:val="39"/>
    <w:unhideWhenUsed/>
    <w:pPr>
      <w:ind w:left="1417" w:right="0" w:firstLine="0"/>
      <w:spacing w:after="57"/>
    </w:pPr>
  </w:style>
  <w:style w:type="paragraph" w:styleId="557">
    <w:name w:val="toc 7"/>
    <w:basedOn w:val="561"/>
    <w:next w:val="561"/>
    <w:uiPriority w:val="39"/>
    <w:unhideWhenUsed/>
    <w:pPr>
      <w:ind w:left="1701" w:right="0" w:firstLine="0"/>
      <w:spacing w:after="57"/>
    </w:pPr>
  </w:style>
  <w:style w:type="paragraph" w:styleId="558">
    <w:name w:val="toc 8"/>
    <w:basedOn w:val="561"/>
    <w:next w:val="561"/>
    <w:uiPriority w:val="39"/>
    <w:unhideWhenUsed/>
    <w:pPr>
      <w:ind w:left="1984" w:right="0" w:firstLine="0"/>
      <w:spacing w:after="57"/>
    </w:pPr>
  </w:style>
  <w:style w:type="paragraph" w:styleId="559">
    <w:name w:val="toc 9"/>
    <w:basedOn w:val="561"/>
    <w:next w:val="561"/>
    <w:uiPriority w:val="39"/>
    <w:unhideWhenUsed/>
    <w:pPr>
      <w:ind w:left="2268" w:right="0" w:firstLine="0"/>
      <w:spacing w:after="57"/>
    </w:pPr>
  </w:style>
  <w:style w:type="paragraph" w:styleId="560">
    <w:name w:val="TOC Heading"/>
    <w:uiPriority w:val="39"/>
    <w:unhideWhenUsed/>
  </w:style>
  <w:style w:type="paragraph" w:styleId="561" w:default="1">
    <w:name w:val="Normal"/>
    <w:qFormat/>
    <w:rPr>
      <w:rFonts w:ascii="Calibri" w:hAnsi="Calibri" w:cs="Calibri" w:eastAsia="Calibri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62" w:default="1">
    <w:name w:val="Default Paragraph Font"/>
    <w:uiPriority w:val="1"/>
    <w:semiHidden/>
    <w:unhideWhenUsed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paragraph" w:styleId="565">
    <w:name w:val="List Paragraph"/>
    <w:basedOn w:val="56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20</cp:revision>
  <dcterms:created xsi:type="dcterms:W3CDTF">2020-12-17T17:00:00Z</dcterms:created>
  <dcterms:modified xsi:type="dcterms:W3CDTF">2020-12-25T14:27:25Z</dcterms:modified>
</cp:coreProperties>
</file>