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r>
      <w:r>
        <w:rPr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3901" cy="65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</w:t>
      </w:r>
      <w:r>
        <w:rPr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23 грудня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2020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року</w:t>
        <w:tab/>
        <w:t xml:space="preserve">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48</w:t>
      </w:r>
      <w:r>
        <w:rPr>
          <w:color w:val="000000" w:themeColor="text1"/>
          <w:lang w:val="uk-UA"/>
        </w:rPr>
      </w:r>
      <w:r/>
    </w:p>
    <w:p>
      <w:pPr>
        <w:widowControl w:val="off"/>
        <w:rPr>
          <w:rFonts w:ascii="Times New Roman" w:hAnsi="Times New Roman" w:eastAsia="Lucida Sans Unicode"/>
          <w:b/>
          <w:color w:val="00000A"/>
          <w:lang w:val="uk-UA"/>
        </w:rPr>
      </w:pPr>
      <w:r>
        <w:rPr>
          <w:rFonts w:ascii="Times New Roman" w:hAnsi="Times New Roman" w:eastAsia="Lucida Sans Unicode"/>
          <w:b/>
          <w:color w:val="00000A"/>
          <w:lang w:val="uk-UA" w:bidi="hi-IN" w:eastAsia="hi-IN"/>
        </w:rPr>
      </w:r>
      <w:r>
        <w:rPr>
          <w:lang w:val="uk-UA"/>
        </w:rPr>
      </w:r>
      <w:r/>
    </w:p>
    <w:p>
      <w:pPr>
        <w:ind w:left="0" w:right="5103" w:firstLine="0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затвердження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в новій редакції</w:t>
      </w:r>
      <w:r>
        <w:rPr>
          <w:lang w:val="uk-UA"/>
        </w:rPr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>
        <w:rPr>
          <w:lang w:val="uk-UA"/>
        </w:rPr>
      </w:r>
      <w:r/>
    </w:p>
    <w:p>
      <w:pPr>
        <w:ind w:left="0"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р</w:t>
      </w:r>
      <w:r>
        <w:rPr>
          <w:rFonts w:ascii="Times New Roman" w:hAnsi="Times New Roman"/>
          <w:sz w:val="28"/>
          <w:szCs w:val="28"/>
          <w:lang w:val="uk-UA"/>
        </w:rPr>
        <w:t xml:space="preserve">озглянувш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новій редакції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керуючись ст.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52 Закону України «Про місцеве самоврядування в Україні», виконавчий комітет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  <w:r>
        <w:rPr>
          <w:lang w:val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b/>
          <w:lang w:val="uk-UA"/>
        </w:rPr>
      </w:r>
      <w:r/>
    </w:p>
    <w:p>
      <w:pPr>
        <w:ind w:firstLine="708"/>
        <w:jc w:val="both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 Програму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в новій редакції </w:t>
      </w:r>
      <w:r>
        <w:rPr>
          <w:rFonts w:ascii="Times New Roman" w:hAnsi="Times New Roman" w:eastAsia="Times New Roman"/>
          <w:sz w:val="28"/>
          <w:lang w:val="uk-UA"/>
        </w:rPr>
        <w:t xml:space="preserve">згідно додатку до даного рішення </w:t>
      </w:r>
      <w:r>
        <w:rPr>
          <w:rFonts w:ascii="Times New Roman" w:hAnsi="Times New Roman" w:eastAsia="Times New Roman"/>
          <w:sz w:val="28"/>
          <w:lang w:val="uk-UA"/>
        </w:rPr>
        <w:t xml:space="preserve">- дода</w:t>
      </w:r>
      <w:r>
        <w:rPr>
          <w:rFonts w:ascii="Times New Roman" w:hAnsi="Times New Roman" w:eastAsia="Times New Roman"/>
          <w:sz w:val="28"/>
          <w:lang w:val="uk-UA"/>
        </w:rPr>
        <w:t xml:space="preserve">ється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  <w:r/>
    </w:p>
    <w:p>
      <w:pPr>
        <w:ind w:firstLine="708"/>
        <w:jc w:val="both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Фінансовому управлінню міської ради передбачити кошти в проекті бюджету на 2021 - 2022   роки на реалізацію програми.</w:t>
      </w:r>
      <w:r>
        <w:rPr>
          <w:lang w:val="uk-UA"/>
        </w:rPr>
      </w:r>
      <w:r/>
    </w:p>
    <w:p>
      <w:pPr>
        <w:ind w:left="0" w:firstLine="708"/>
        <w:jc w:val="both"/>
        <w:spacing w:after="0" w:before="0"/>
        <w:shd w:val="clear" w:color="auto" w:fill="FFFFFF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3. Контроль за виконанням рішення покласти на постійну комісію з питань планування, фінансів, бюджету та соціально-економічного розвитку Менської міської ради.</w:t>
      </w:r>
      <w:r>
        <w:rPr>
          <w:lang w:val="uk-UA"/>
        </w:rPr>
      </w:r>
      <w:r/>
    </w:p>
    <w:p>
      <w:pPr>
        <w:ind w:left="0" w:right="0" w:firstLine="720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/>
    </w:p>
    <w:p>
      <w:pPr>
        <w:ind w:left="0" w:right="0" w:firstLine="0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0"/>
        <w:jc w:val="both"/>
        <w:spacing w:after="0" w:before="0"/>
        <w:tabs>
          <w:tab w:val="left" w:pos="6236" w:leader="none"/>
        </w:tabs>
        <w:rPr>
          <w:b w:val="fals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Міський голова</w:t>
        <w:tab/>
        <w:t xml:space="preserve">Г.А. Примаков </w:t>
      </w:r>
      <w:r>
        <w:rPr>
          <w:b w:val="false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8"/>
          <w:lang w:val="uk-UA"/>
        </w:rPr>
        <w:br w:type="page"/>
      </w:r>
      <w:r>
        <w:rPr>
          <w:rFonts w:ascii="Times New Roman" w:hAnsi="Times New Roman" w:eastAsia="Times New Roman"/>
          <w:sz w:val="22"/>
          <w:lang w:val="uk-UA"/>
        </w:rPr>
        <w:t xml:space="preserve">Дода</w:t>
      </w:r>
      <w:r>
        <w:rPr>
          <w:rFonts w:ascii="Times New Roman" w:hAnsi="Times New Roman" w:eastAsia="Times New Roman"/>
          <w:sz w:val="22"/>
          <w:lang w:val="uk-UA"/>
        </w:rPr>
        <w:t xml:space="preserve">ток </w:t>
      </w:r>
      <w:r>
        <w:rPr>
          <w:rFonts w:ascii="Times New Roman" w:hAnsi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eastAsia="Times New Roman"/>
          <w:sz w:val="22"/>
          <w:lang w:val="uk-UA"/>
        </w:rPr>
        <w:t xml:space="preserve">до </w:t>
      </w:r>
      <w:r>
        <w:rPr>
          <w:rFonts w:ascii="Times New Roman" w:hAnsi="Times New Roman" w:eastAsia="Times New Roman"/>
          <w:sz w:val="22"/>
          <w:lang w:val="uk-UA"/>
        </w:rPr>
        <w:t xml:space="preserve">рішення 2 сесії</w:t>
      </w:r>
      <w:r>
        <w:rPr>
          <w:rFonts w:ascii="Times New Roman" w:hAnsi="Times New Roman" w:eastAsia="Times New Roman"/>
          <w:sz w:val="22"/>
          <w:lang w:val="uk-UA"/>
        </w:rPr>
        <w:t xml:space="preserve"> Менської міської ради 8 скликання від 23</w:t>
      </w:r>
      <w:r>
        <w:rPr>
          <w:rFonts w:ascii="Times New Roman" w:hAnsi="Times New Roman" w:eastAsia="Times New Roman"/>
          <w:sz w:val="22"/>
          <w:lang w:val="uk-UA"/>
        </w:rPr>
        <w:t xml:space="preserve">.12.2020 р. «</w:t>
      </w:r>
      <w:bookmarkStart w:id="0" w:name="_Hlk57716639"/>
      <w:r>
        <w:rPr>
          <w:rFonts w:ascii="Times New Roman" w:hAnsi="Times New Roman" w:eastAsia="Times New Roman"/>
          <w:sz w:val="22"/>
          <w:lang w:val="uk-UA"/>
        </w:rPr>
        <w:t xml:space="preserve">Про затвердження програми </w:t>
      </w:r>
      <w:r>
        <w:rPr>
          <w:rFonts w:ascii="Times New Roman" w:hAnsi="Times New Roman" w:eastAsia="Times New Roman"/>
          <w:sz w:val="22"/>
          <w:szCs w:val="22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 w:eastAsia="Times New Roman"/>
          <w:color w:val="000000"/>
          <w:sz w:val="22"/>
          <w:szCs w:val="22"/>
          <w:lang w:val="uk-UA" w:eastAsia="ru-RU"/>
        </w:rPr>
        <w:t xml:space="preserve"> в новій редакції»</w:t>
      </w:r>
      <w:r>
        <w:rPr>
          <w:rFonts w:ascii="Times New Roman" w:hAnsi="Times New Roman" w:eastAsia="Times New Roman"/>
          <w:color w:val="000000"/>
          <w:sz w:val="22"/>
          <w:szCs w:val="22"/>
          <w:lang w:val="uk-UA" w:eastAsia="ru-RU"/>
        </w:rPr>
        <w:t xml:space="preserve"> </w:t>
      </w:r>
      <w:bookmarkEnd w:id="0"/>
      <w:r>
        <w:rPr>
          <w:rFonts w:ascii="Times New Roman" w:hAnsi="Times New Roman" w:eastAsia="Times New Roman"/>
          <w:sz w:val="22"/>
          <w:szCs w:val="22"/>
          <w:lang w:val="uk-UA"/>
        </w:rPr>
        <w:t xml:space="preserve">№48</w:t>
      </w:r>
      <w:r>
        <w:rPr>
          <w:sz w:val="22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36"/>
        </w:rPr>
      </w:pPr>
      <w:r>
        <w:rPr>
          <w:rFonts w:ascii="Times New Roman" w:hAnsi="Times New Roman" w:eastAsia="Times New Roman"/>
          <w:b/>
          <w:color w:val="000000"/>
          <w:sz w:val="36"/>
          <w:lang w:val="uk-UA"/>
        </w:rPr>
        <w:t xml:space="preserve">Програма </w:t>
      </w:r>
      <w:r>
        <w:rPr>
          <w:rFonts w:ascii="Times New Roman" w:hAnsi="Times New Roman" w:eastAsia="Times New Roman"/>
          <w:b/>
          <w:color w:val="000000"/>
          <w:sz w:val="36"/>
          <w:lang w:val="uk-UA"/>
        </w:rPr>
        <w:t xml:space="preserve">попередження дитячої безпритульності та бездоглядності, розвитку сімейних форм виховання </w:t>
      </w:r>
      <w:r>
        <w:rPr>
          <w:rFonts w:ascii="Times New Roman" w:hAnsi="Times New Roman" w:eastAsia="Times New Roman"/>
          <w:b/>
          <w:color w:val="000000"/>
          <w:sz w:val="36"/>
          <w:lang w:val="uk-UA"/>
        </w:rPr>
        <w:t xml:space="preserve">дітей-сиріт, дітей, позбавлених батьківського піклування, на 2018-2022 роки «Діти Менщини» </w:t>
      </w:r>
      <w:r>
        <w:rPr>
          <w:rFonts w:ascii="Times New Roman" w:hAnsi="Times New Roman" w:eastAsia="Times New Roman"/>
          <w:b/>
          <w:color w:val="000000"/>
          <w:sz w:val="36"/>
          <w:lang w:val="uk-UA"/>
        </w:rPr>
        <w:t xml:space="preserve">(нова редакція)</w:t>
      </w:r>
      <w:r>
        <w:rPr>
          <w:sz w:val="36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40"/>
          <w:lang w:val="uk-UA"/>
        </w:rPr>
      </w:pPr>
      <w:r>
        <w:rPr>
          <w:rFonts w:ascii="Times New Roman" w:hAnsi="Times New Roman" w:eastAsia="Times New Roman"/>
          <w:b/>
          <w:color w:val="000000"/>
          <w:sz w:val="40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jc w:val="center"/>
        <w:rPr>
          <w:rFonts w:ascii="Times New Roman" w:hAnsi="Times New Roman" w:eastAsia="Times New Roman"/>
          <w:color w:val="000000"/>
          <w:sz w:val="32"/>
          <w:lang w:val="uk-UA"/>
        </w:rPr>
      </w:pPr>
      <w:r>
        <w:rPr>
          <w:rFonts w:ascii="Times New Roman" w:hAnsi="Times New Roman" w:eastAsia="Times New Roman"/>
          <w:color w:val="000000"/>
          <w:sz w:val="32"/>
          <w:lang w:val="uk-UA"/>
        </w:rPr>
      </w:r>
      <w:r>
        <w:rPr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м. Мена</w:t>
      </w:r>
      <w:r>
        <w:rPr>
          <w:lang w:val="uk-UA"/>
        </w:rPr>
      </w:r>
      <w:r/>
    </w:p>
    <w:p>
      <w:pPr>
        <w:jc w:val="center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2020 рік</w:t>
      </w:r>
      <w:r>
        <w:rPr>
          <w:lang w:val="uk-UA"/>
        </w:rPr>
      </w:r>
      <w:r/>
    </w:p>
    <w:p>
      <w:pPr>
        <w:jc w:val="center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br w:type="page"/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Зміст</w:t>
      </w:r>
      <w:r>
        <w:rPr>
          <w:lang w:val="uk-UA"/>
        </w:rPr>
      </w:r>
      <w:r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8978"/>
      </w:tblGrid>
      <w:tr>
        <w:trPr>
          <w:trHeight w:val="42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ind w:firstLine="720"/>
              <w:jc w:val="center"/>
              <w:tabs>
                <w:tab w:val="left" w:pos="1080" w:leader="none"/>
              </w:tabs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Паспорт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Менщини».</w:t>
            </w:r>
            <w:r>
              <w:rPr>
                <w:lang w:val="uk-UA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Визначення проблеми, на розв’язання якої спрямована Програма.</w:t>
            </w:r>
            <w:r>
              <w:rPr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Мета Програми.</w:t>
            </w:r>
            <w:r>
              <w:rPr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Обґрунтування шляхів і засобів розв’язання проблеми, обсягів та джерел фінансування, строки та етапи виконання Програми.</w:t>
            </w:r>
            <w:r>
              <w:rPr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Завдання, заходи реалізації Програми та результативні показники.</w:t>
            </w:r>
            <w:r>
              <w:rPr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Координація та контроль за ходом виконання Програми.</w:t>
            </w:r>
            <w:r>
              <w:rPr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Додаток 1. Ресурсне забезпечення Програми.</w:t>
            </w:r>
            <w:r>
              <w:rPr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Додаток 2. Напрями діяльності та заходи Програми.</w:t>
            </w:r>
            <w:r>
              <w:rPr>
                <w:lang w:val="uk-UA"/>
              </w:rPr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b/>
          <w:i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i/>
          <w:color w:val="000000"/>
          <w:sz w:val="28"/>
          <w:lang w:val="uk-UA"/>
        </w:rPr>
        <w:t xml:space="preserve"> </w:t>
      </w:r>
      <w:r>
        <w:rPr>
          <w:lang w:val="uk-UA"/>
        </w:rPr>
      </w:r>
      <w:r/>
    </w:p>
    <w:p>
      <w:pPr>
        <w:ind w:left="360"/>
        <w:jc w:val="center"/>
        <w:rPr>
          <w:rFonts w:ascii="Times New Roman" w:hAnsi="Times New Roman" w:eastAsia="Times New Roman"/>
          <w:b/>
          <w:i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i/>
          <w:color w:val="000000"/>
          <w:sz w:val="28"/>
          <w:lang w:val="uk-UA"/>
        </w:rPr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br w:type="page"/>
      </w:r>
      <w:r/>
    </w:p>
    <w:p>
      <w:pPr>
        <w:ind w:left="360"/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ПАСПОРТ</w:t>
      </w:r>
      <w:r>
        <w:rPr>
          <w:lang w:val="uk-UA"/>
        </w:rPr>
      </w:r>
      <w:r/>
    </w:p>
    <w:p>
      <w:pPr>
        <w:ind w:left="357"/>
        <w:jc w:val="center"/>
        <w:tabs>
          <w:tab w:val="left" w:pos="7380" w:leader="none"/>
        </w:tabs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lang w:val="uk-UA"/>
        </w:rPr>
      </w:r>
      <w:r/>
    </w:p>
    <w:p>
      <w:pPr>
        <w:tabs>
          <w:tab w:val="left" w:pos="7380" w:leader="none"/>
        </w:tabs>
        <w:rPr>
          <w:rFonts w:ascii="Times New Roman" w:hAnsi="Times New Roman" w:eastAsia="Times New Roman"/>
          <w:b/>
          <w:i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i/>
          <w:color w:val="000000"/>
          <w:sz w:val="28"/>
          <w:lang w:val="uk-UA"/>
        </w:rPr>
      </w:r>
      <w:r>
        <w:rPr>
          <w:lang w:val="uk-UA"/>
        </w:rPr>
      </w:r>
      <w:r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3522"/>
        <w:gridCol w:w="5352"/>
      </w:tblGrid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Ініціатор розроблення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hd w:val="clear" w:color="auto" w:fill="FFFFFF"/>
                <w:lang w:val="uk-UA"/>
              </w:rPr>
              <w:t xml:space="preserve">Дата, номер і назва розпорядчого 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  <w:lang w:val="uk-UA"/>
              </w:rPr>
              <w:t xml:space="preserve">документа органу виконавчої влади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про розроблення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11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Закони України: «Про соціальні послуги»,</w:t>
            </w: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 «Про органи і служби у справах дітей та спеціальні установи для дітей» від 24 січня 1995 року № 20/95-ВР, «Про забезпечення організаційно-правових умов соціального захисту дітей-сиріт та дітей, позбавлених батьківського піклування» від 13 січня 2005 року </w:t>
            </w: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br/>
              <w:t xml:space="preserve">№ 2342-</w:t>
            </w: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IV</w:t>
            </w: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, Указ Президента України від 25 серпня 2015 року № 501/2015 «Про затвердження Національної стратегії у сфері прав людини»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  <w:lang w:val="uk-UA"/>
              </w:rPr>
              <w:t xml:space="preserve">Розробник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Комунальна установа «Менський міський центр соціальних </w:t>
            </w: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служб» 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 міської ради, служба у справах дітей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  <w:lang w:val="uk-UA"/>
              </w:rPr>
              <w:t xml:space="preserve">Співрозробники 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 - 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  <w:lang w:val="uk-UA"/>
              </w:rPr>
              <w:t xml:space="preserve">Відповідальний виконавець </w:t>
            </w: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  <w:lang w:val="uk-UA"/>
              </w:rPr>
              <w:t xml:space="preserve">Учасники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right="11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Комунальна установа «Менський міський центр соціальних служб» Менської міської ради, служба у справах дітей </w:t>
            </w:r>
            <w:r>
              <w:rPr>
                <w:rFonts w:ascii="Times New Roman" w:hAnsi="Times New Roman" w:eastAsia="Times New Roman"/>
                <w:color w:val="000000"/>
                <w:sz w:val="28"/>
                <w:lang w:val="uk-UA"/>
              </w:rPr>
              <w:t xml:space="preserve">Менської міської ради, виконавчий комітет міської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lang w:val="uk-UA"/>
              </w:rPr>
              <w:t xml:space="preserve">ради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hd w:val="clear" w:color="auto" w:fill="FFFFFF"/>
                <w:lang w:val="uk-UA"/>
              </w:rPr>
              <w:t xml:space="preserve">Термін реалізації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2018-2022 роки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7.1.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Етапи виконання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І-ий етап: 2018 – 2020 роки</w:t>
            </w:r>
            <w:r>
              <w:rPr>
                <w:lang w:val="uk-UA"/>
              </w:rPr>
            </w:r>
            <w:r/>
          </w:p>
          <w:p>
            <w:pPr>
              <w:ind w:left="72"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ІІ-ий етап: 2021 – 2022 роки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Перелік місцевих бюджетів, які 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  <w:lang w:val="uk-UA"/>
              </w:rPr>
              <w:t xml:space="preserve">беруть участь у виконанні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Бюд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жет Менської міської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територіальної громади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512,300 тис.грн.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9.1.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jc w:val="both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hd w:val="clear" w:color="auto" w:fill="FFFFFF"/>
                <w:lang w:val="uk-UA"/>
              </w:rPr>
              <w:t xml:space="preserve">Коштів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бюджету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 територіальної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uk-UA"/>
              </w:rPr>
              <w:t xml:space="preserve"> громади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328,650 тис.грн.</w:t>
            </w:r>
            <w:r>
              <w:rPr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9.2.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jc w:val="both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hd w:val="clear" w:color="auto" w:fill="FFFFFF"/>
                <w:lang w:val="uk-UA"/>
              </w:rPr>
              <w:t xml:space="preserve">Благодійні внески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183,650 тис.грн.</w:t>
            </w:r>
            <w:r>
              <w:rPr>
                <w:lang w:val="uk-UA"/>
              </w:rPr>
            </w:r>
            <w:r/>
          </w:p>
        </w:tc>
      </w:tr>
    </w:tbl>
    <w:p>
      <w:pPr>
        <w:ind w:firstLine="708"/>
        <w:shd w:val="nil" w:color="auto" w:fill="FFFFFF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hd w:val="clear" w:color="auto" w:fill="FFFFFF"/>
          <w:lang w:val="uk-UA"/>
        </w:rPr>
        <w:t xml:space="preserve">1. Визначення проблеми, на розв’язання якої спрямована Програма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На сучасному етапі розвитку укра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їнського суспільства посилення соціально-правового захисту дітей є одним із пріоритетних напрямків здійснення державної соціальної політики та важливою умовою інтеграції до Європейської спільноти. Це зобов’язує усі органи влади працювати в інтересах дітей.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Для забезпечення виконання завдань державної політики у сфері охорони дитинства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діяльність Менської міської ради спрямовується на захист прав, свобод та інтересів дітей, запобігання їх бездоглядності та безпритульності, соціальному сирітству, розвиток сімейних форм виховання дітей-сиріт та дітей, позбавлених батьківського піклування.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На сьогодні найбільш соціально вразливи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ми є сім'ї з дітьми, батьки яких з певних причин не можуть забезпечити належного утримання та догляду за дитиною, ухиляються від виконання батьківських обов’язків. Часто такі діти стають жертвами насилля та злочинів, залучаються до протиправної діяльності.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Їх життю і здоров’ю постійно загрожує небезпека.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Для запобігання подібним негативним проявам у дитячому середовищі в районі налагод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жена системна профілактична робота, що включає проведення заходів із своєчасної діагностики ознак сімейного неблагополуччя, профілактичної роботи з батьками, організацію надання необхідної соціальної, психологічної, педагогічної та медичної допомоги дітям.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Особливої уваги та турботи з боку суспільства, всіх державних органів та недержавних організацій потребують діти-сироти та діти, позбавлені батьківського піклування.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Незважаючи на те, що кількість таких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дітей  постійно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зме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ншується, актуальним залишається питання їх влаштування до сімейних форм виховання (усиновлення, опіка, піклування, прийомні сім’ї, дитячі будинки сімейного типу), пошуку нових батьків, створення умов для зростання кожного маленького українця у колі сім'ї.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Тому актуальними залишаються питання: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підвищення ефективності діяльності органів опіки та піклування, закладів соціального захисту дітей, спрямованої на профілактику бездоглядності та безпритульності дітей;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подальшого розвитку </w:t>
      </w:r>
      <w:r>
        <w:rPr>
          <w:rFonts w:ascii="Times New Roman" w:hAnsi="Times New Roman" w:eastAsia="Times New Roman"/>
          <w:sz w:val="28"/>
          <w:lang w:val="uk-UA"/>
        </w:rPr>
        <w:t xml:space="preserve">в  територіальній</w:t>
      </w:r>
      <w:r>
        <w:rPr>
          <w:rFonts w:ascii="Times New Roman" w:hAnsi="Times New Roman" w:eastAsia="Times New Roman"/>
          <w:sz w:val="28"/>
          <w:lang w:val="uk-UA"/>
        </w:rPr>
        <w:t xml:space="preserve"> громаді форм сімейного виховання дітей-сиріт та дітей, позбавлених бат</w:t>
      </w:r>
      <w:r>
        <w:rPr>
          <w:rFonts w:ascii="Times New Roman" w:hAnsi="Times New Roman" w:eastAsia="Times New Roman"/>
          <w:sz w:val="28"/>
          <w:lang w:val="uk-UA"/>
        </w:rPr>
        <w:t xml:space="preserve">ьківського піклування, їх усиновлення, влаштування під опіку, піклування, розгалуження мережі прийомних сімей та дитячих будинків сімейного типу, запров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адження послуги патронату, що є ефективним засобом боротьби з дитячою бездоглядністю та безпритульністю.</w:t>
      </w:r>
      <w:r>
        <w:rPr>
          <w:lang w:val="uk-UA"/>
        </w:rPr>
      </w:r>
      <w:r/>
    </w:p>
    <w:p>
      <w:pPr>
        <w:ind w:left="357" w:firstLine="357"/>
        <w:jc w:val="both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2. Мета Програми</w:t>
      </w:r>
      <w:r>
        <w:rPr>
          <w:lang w:val="uk-UA"/>
        </w:rPr>
      </w:r>
      <w:r/>
    </w:p>
    <w:p>
      <w:pPr>
        <w:ind w:firstLine="700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Метою програми є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сирітства.</w:t>
      </w:r>
      <w:r>
        <w:rPr>
          <w:lang w:val="uk-UA"/>
        </w:rPr>
      </w:r>
      <w:r/>
    </w:p>
    <w:p>
      <w:pPr>
        <w:ind w:firstLine="700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Пріоритетними напрямками в реалізації заходів Програми визначено: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удосконалення діяльності органів опіки та піклування в нап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рямку раннього вияв</w:t>
      </w:r>
      <w:r>
        <w:rPr>
          <w:rFonts w:ascii="Times New Roman" w:hAnsi="Times New Roman" w:eastAsia="Times New Roman"/>
          <w:sz w:val="28"/>
          <w:lang w:val="uk-UA"/>
        </w:rPr>
        <w:t xml:space="preserve">лення сімей з дітьми, які перебувають у складних життєвих обставинах, спрямованих на підвищення їх соціальної захищеності, економічної спроможності та зміцнення батьківського виховного потенціалу, надання їм необхідних соціальних послуг;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подальший розвиток сімейних форм виховання дітей-сиріт та дітей, позбавлених батьківського піклування, створення умов для влаштування дітей у сім’ї, запровадження в громаді послуги патронату;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удосконалення механізму взаємодії місцевих органів влади з питань здійснення контролю за умовами утримання і виховання дітей у сім’ях, де батьки неналежним чином виконують свої батьківські </w:t>
      </w:r>
      <w:r>
        <w:rPr>
          <w:rFonts w:ascii="Times New Roman" w:hAnsi="Times New Roman" w:eastAsia="Times New Roman"/>
          <w:sz w:val="28"/>
          <w:lang w:val="uk-UA"/>
        </w:rPr>
        <w:t xml:space="preserve">обов’язки,  у</w:t>
      </w:r>
      <w:r>
        <w:rPr>
          <w:rFonts w:ascii="Times New Roman" w:hAnsi="Times New Roman" w:eastAsia="Times New Roman"/>
          <w:sz w:val="28"/>
          <w:lang w:val="uk-UA"/>
        </w:rPr>
        <w:t xml:space="preserve"> сім’ях усиновлювачів, опікунів, піклувальників, прийомних батьків, батьків-вихова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телів.</w:t>
      </w:r>
      <w:r>
        <w:rPr>
          <w:lang w:val="uk-UA"/>
        </w:rPr>
      </w:r>
      <w:r/>
    </w:p>
    <w:p>
      <w:pPr>
        <w:ind w:firstLine="720"/>
        <w:jc w:val="both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3. Обґрунтування шляхів і засобів розв'язання проблеми, обсягів та джерел фінансування, строки та етапи виконання Програми</w:t>
      </w:r>
      <w:r>
        <w:rPr>
          <w:lang w:val="uk-UA"/>
        </w:rPr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Прийняття цієї Програми дозволить підвищити рівень здійснення соціального захисту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дітей, особливо дітей, які опинились у складних життєвих обставинах, дітей-сиріт та дітей, позбавлених батьківського піклування, забезпечення їх прав, свобод і законних інтересів, у тому числі на безпечні умови виховання та проживання в сімейному оточенні.</w:t>
      </w:r>
      <w:r>
        <w:rPr>
          <w:lang w:val="uk-UA"/>
        </w:rPr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Програма передбачає протягом 2018-2022 років здійснити комплекс заходів, спрямованих на поліпшення становища дітей, їх фізичного, інтелектуального і духовного розвитку шляхом: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підтримки сімей, які взяли на виховання дітей-сиріт та дітей, позбавлених батьківського піклування, сімей і дітей соціально незахищених категорій, сімей, які перебувають у складних життєвих обставинах;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збільшення кількості прийомних сімей та дитячих будинків сімейного типу, сприяння їх ефективній діяльності;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запровадження в громаді послуги патронату;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зменшення кількості дітей, які перебувають в закладах інституційного догляду;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проведення спільних профілактичних рейдів та операцій для своєчасного виявлення бездоглядних та безпритульних дітей, їх влаштування до закладів соціального захисту дітей;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підвищення рівня взаємодії між службою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 справах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дітей, закладами освіти, охорони здоров’я, соціального зах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исту населення, правоохоронними органами, центром соціальних служб з питань соціальної підтримки сімей з дітьми, подолання дитячої бездоглядності та безпритульності, здійснення соціального захисту дітей-сиріт та дітей, позбавлених батьківського піклування;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проведення перевірок діяльності органів опіки та піклування, закладів для дітей-сиріт і дітей, позбавлених батьківського піклування, щодо забезпечення ними захисту прав дітей;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підвищення поінформованості населення з питань реалізації прав, свобод та законних інтересів дітей, розв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итку сімейних форм виховання дітей-сиріт та дітей, позбавлених батьківського піклування, послуги патронату в результаті </w:t>
      </w:r>
      <w:r>
        <w:rPr>
          <w:rFonts w:ascii="Times New Roman" w:hAnsi="Times New Roman" w:eastAsia="Times New Roman"/>
          <w:sz w:val="28"/>
          <w:lang w:val="uk-UA"/>
        </w:rPr>
        <w:t xml:space="preserve">проведення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інформаційних кампаній в мережі Інтернет та ЗМІ, виготовлення та поширення соціальної реклами, інформаційних матеріалів тощо.</w:t>
      </w:r>
      <w:r>
        <w:rPr>
          <w:lang w:val="uk-UA"/>
        </w:rPr>
      </w:r>
      <w:r/>
    </w:p>
    <w:p>
      <w:pPr>
        <w:ind w:firstLine="900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 CYR" w:hAnsi="Times New Roman CYR" w:cs="Times New Roman CYR" w:eastAsia="Times New Roman CYR"/>
          <w:color w:val="000000"/>
          <w:sz w:val="28"/>
          <w:lang w:val="uk-UA"/>
        </w:rPr>
        <w:t xml:space="preserve">Програма є довгостроковою та розроблена на період до 2022 року, передбачає два етапи виконання: І-й етап й– 2018-2019 роки; ІІ-й – 2020-2022 роки.</w:t>
      </w:r>
      <w:r>
        <w:rPr>
          <w:lang w:val="uk-UA"/>
        </w:rPr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Фінансове забезпечення заходів Програми здійснюється за рахунок коштів бюд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жету Менської міської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територіальної громади та інших джерел, не забороне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них чинним законодавством. При цьому обсяг коштів 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нього.</w:t>
      </w:r>
      <w:r>
        <w:rPr>
          <w:lang w:val="uk-UA"/>
        </w:rPr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Ресурсне забезпечення Програми та строки її виконання наведено у додатку 1.</w:t>
      </w:r>
      <w:r>
        <w:rPr>
          <w:lang w:val="uk-UA"/>
        </w:rPr>
      </w:r>
      <w:r/>
    </w:p>
    <w:p>
      <w:pPr>
        <w:ind w:left="714"/>
        <w:jc w:val="both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4. Завдання, заходи реалізації Програми та результативні показники</w:t>
      </w:r>
      <w:r>
        <w:rPr>
          <w:lang w:val="uk-UA"/>
        </w:rPr>
      </w:r>
      <w:r/>
    </w:p>
    <w:p>
      <w:pPr>
        <w:ind w:firstLine="900"/>
        <w:jc w:val="both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Протягом 2018-2022 років планується реалізувати завдання та здійснити такі заходи:</w:t>
      </w:r>
      <w:r>
        <w:rPr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запобігання дитячій бездоглядності та безпритульності дітей, а саме: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своєчасно виявляти дітей, які залишились </w:t>
      </w:r>
      <w:r>
        <w:rPr>
          <w:rFonts w:ascii="Times New Roman" w:hAnsi="Times New Roman" w:eastAsia="Times New Roman"/>
          <w:sz w:val="28"/>
          <w:lang w:val="uk-UA"/>
        </w:rPr>
        <w:t xml:space="preserve">без догляду</w:t>
      </w:r>
      <w:r>
        <w:rPr>
          <w:rFonts w:ascii="Times New Roman" w:hAnsi="Times New Roman" w:eastAsia="Times New Roman"/>
          <w:sz w:val="28"/>
          <w:lang w:val="uk-UA"/>
        </w:rPr>
        <w:t xml:space="preserve"> або піклування батьків, безпритульних та покинутих батьками дітей, забезпечувати їх влаштування до центрів соціально-психологічної реабілітації дітей, патронатних сімей;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встановлювати статус дитини-сироти або дитини, позбавленої батьківського піклування, не пізніше як через два місяці після виявлення дитини, яка залишилася без батьківського піклування;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удосконалення процесу реабілітації бездоглядних та безпритульних дітей та їхніх сімей, дітей, які опинилися у складних життєвих обставинах, а саме: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запроваджувати інноваційні методики надання соціальних послуг сім'ям з дітьми;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розвивати форми роботи з батьками дітей, які перебувають </w:t>
      </w:r>
      <w:r>
        <w:rPr>
          <w:rFonts w:ascii="Times New Roman" w:hAnsi="Times New Roman" w:eastAsia="Times New Roman"/>
          <w:sz w:val="28"/>
          <w:lang w:val="uk-UA"/>
        </w:rPr>
        <w:t xml:space="preserve">у центрах</w:t>
      </w:r>
      <w:r>
        <w:rPr>
          <w:rFonts w:ascii="Times New Roman" w:hAnsi="Times New Roman" w:eastAsia="Times New Roman"/>
          <w:sz w:val="28"/>
          <w:lang w:val="uk-UA"/>
        </w:rPr>
        <w:t xml:space="preserve"> соціально-психологічної реабілітації дітей, у закладах інституційного догляду, батьками, які ухиляються від виконання батьківських обов'язків;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запроваджувати нові соціальні послуги для сімей з дітьми, які опинились у складних життєвих обставинах;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розвиток сімейних форм виховання дітей-сиріт та дітей, позбавлених батьківського піклування (усиновлення, опіка, піклування, створення дитячих </w:t>
      </w:r>
      <w:r>
        <w:rPr>
          <w:rFonts w:ascii="Times New Roman" w:hAnsi="Times New Roman" w:eastAsia="Times New Roman"/>
          <w:sz w:val="28"/>
          <w:lang w:val="uk-UA"/>
        </w:rPr>
        <w:t xml:space="preserve">будинків сімейного типу, прийомних сімей), запровадження послуги патронату, для чого: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збільшити питому вагу дітей-сиріт та дітей, позбавлених батьківського піклування, охоплених сімейними формами виховання, у 2018 році – до 87%, у 2019 – до 89%, у 2020 – до 91%; у 2021 до 93%, у 2022 – до 95%.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забезпечити доступ населення до повної та об’єктивної інформації з питань влаштування дітей-сиріт та дітей, позбавлених батьківського піклування, до сімейних форм </w:t>
      </w:r>
      <w:r>
        <w:rPr>
          <w:rFonts w:ascii="Times New Roman" w:hAnsi="Times New Roman" w:eastAsia="Times New Roman"/>
          <w:sz w:val="28"/>
          <w:lang w:val="uk-UA"/>
        </w:rPr>
        <w:t xml:space="preserve">виховання,  використовуючи</w:t>
      </w:r>
      <w:r>
        <w:rPr>
          <w:rFonts w:ascii="Times New Roman" w:hAnsi="Times New Roman" w:eastAsia="Times New Roman"/>
          <w:sz w:val="28"/>
          <w:lang w:val="uk-UA"/>
        </w:rPr>
        <w:t xml:space="preserve"> можливості інтернет-ресурсів та ЗМІ;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580"/>
        <w:numPr>
          <w:ilvl w:val="0"/>
          <w:numId w:val="4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інформувати населення та здійснювати пошук, направлення на навчання кандидатів у патронатні вихователі.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shd w:val="nil" w:color="auto" w:fill="FFFFFF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br w:type="page"/>
      </w:r>
      <w:r/>
    </w:p>
    <w:p>
      <w:pPr>
        <w:ind w:left="714"/>
        <w:jc w:val="both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5. Координація 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та контроль за ходом виконання Програми</w:t>
      </w:r>
      <w:r>
        <w:rPr>
          <w:lang w:val="uk-UA"/>
        </w:rPr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Безпосередній контроль за реалізацією заходів Програми здійснює служба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 справах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дітей міської ради </w:t>
      </w:r>
      <w:r>
        <w:rPr>
          <w:rFonts w:ascii="Times New Roman CYR" w:hAnsi="Times New Roman CYR" w:cs="Times New Roman CYR" w:eastAsia="Times New Roman CYR"/>
          <w:color w:val="000000"/>
          <w:sz w:val="28"/>
          <w:lang w:val="uk-UA"/>
        </w:rPr>
        <w:t xml:space="preserve">та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постійна комісія з питань освіти, культури, молоді, </w:t>
      </w:r>
      <w:r>
        <w:rPr>
          <w:rFonts w:ascii="Times New Roman" w:hAnsi="Times New Roman" w:eastAsia="Times New Roman"/>
          <w:sz w:val="28"/>
          <w:lang w:val="uk-UA"/>
        </w:rPr>
        <w:t xml:space="preserve">фізкультури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і спорту Менської міської ради.</w:t>
      </w:r>
      <w:r>
        <w:rPr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6. Ресурсне забезпечення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lang w:val="uk-UA"/>
        </w:rPr>
      </w:r>
      <w:r/>
    </w:p>
    <w:p>
      <w:pPr>
        <w:jc w:val="right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  <w:r/>
    </w:p>
    <w:tbl>
      <w:tblPr>
        <w:tblW w:w="0" w:type="auto"/>
        <w:tblInd w:w="2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122"/>
        <w:gridCol w:w="1173"/>
        <w:gridCol w:w="1053"/>
        <w:gridCol w:w="1188"/>
        <w:gridCol w:w="1276"/>
        <w:gridCol w:w="1417"/>
      </w:tblGrid>
      <w:tr>
        <w:trPr>
          <w:trHeight w:val="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Обсяг коштів, які пропонується залучити на виконання Програми</w:t>
            </w:r>
            <w:r>
              <w:rPr>
                <w:lang w:val="uk-UA"/>
              </w:rPr>
            </w:r>
            <w:r/>
          </w:p>
        </w:tc>
        <w:tc>
          <w:tcPr>
            <w:gridSpan w:val="5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81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Етапи виконання Програми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Усього витрат на виконання Програми</w:t>
            </w:r>
            <w:r>
              <w:rPr>
                <w:lang w:val="uk-UA"/>
              </w:rPr>
            </w:r>
            <w:r/>
          </w:p>
        </w:tc>
      </w:tr>
      <w:tr>
        <w:trPr>
          <w:trHeight w:val="205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lang w:val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95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17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ІІ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2018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7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2019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5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8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2021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2022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lang w:val="uk-UA"/>
              </w:rPr>
              <w:t xml:space="preserve">Обсяг ресурсів, всього, у тому числі: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69,435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7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142,365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5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129,900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8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80,30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90,30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512,300 тис.грн.</w:t>
            </w:r>
            <w:r>
              <w:rPr>
                <w:lang w:val="uk-UA"/>
              </w:rPr>
            </w:r>
            <w:r/>
          </w:p>
        </w:tc>
      </w:tr>
      <w:tr>
        <w:trPr>
          <w:trHeight w:val="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lang w:val="uk-UA"/>
              </w:rPr>
              <w:t xml:space="preserve">Бюджет </w:t>
            </w:r>
            <w:bookmarkStart w:id="1" w:name="_GoBack"/>
            <w:r>
              <w:rPr>
                <w:lang w:val="uk-UA"/>
              </w:rPr>
            </w:r>
            <w:bookmarkEnd w:id="1"/>
            <w:r>
              <w:rPr>
                <w:rFonts w:ascii="Times New Roman" w:hAnsi="Times New Roman" w:eastAsia="Times New Roman"/>
                <w:lang w:val="uk-UA"/>
              </w:rPr>
              <w:t xml:space="preserve">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69,435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7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73,715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5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74,900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8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50,30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60,30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328,650 тис.грн.</w:t>
            </w:r>
            <w:r>
              <w:rPr>
                <w:lang w:val="uk-UA"/>
              </w:rPr>
            </w:r>
            <w:r/>
          </w:p>
        </w:tc>
      </w:tr>
      <w:tr>
        <w:trPr>
          <w:trHeight w:val="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lang w:val="uk-UA"/>
              </w:rPr>
              <w:t xml:space="preserve">Благодійні внески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7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68,650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5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55,00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88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30,00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30,00 тис.грн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lang w:val="uk-UA"/>
              </w:rPr>
              <w:t xml:space="preserve">183,650 тис.грн.</w:t>
            </w:r>
            <w:r>
              <w:rPr>
                <w:lang w:val="uk-UA"/>
              </w:rPr>
            </w:r>
            <w:r/>
          </w:p>
        </w:tc>
      </w:tr>
    </w:tbl>
    <w:p>
      <w:pPr>
        <w:jc w:val="right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 </w:t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br w:type="page"/>
      </w:r>
      <w:r/>
    </w:p>
    <w:p>
      <w:pPr>
        <w:jc w:val="center"/>
        <w:spacing w:before="120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7. Напрями діяльності та заходи</w:t>
      </w:r>
      <w:r>
        <w:rPr>
          <w:sz w:val="20"/>
          <w:lang w:val="uk-UA"/>
        </w:rPr>
      </w:r>
      <w:r/>
    </w:p>
    <w:p>
      <w:pPr>
        <w:jc w:val="center"/>
        <w:spacing w:after="240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lang w:val="uk-UA"/>
        </w:rPr>
      </w:r>
      <w:r/>
    </w:p>
    <w:tbl>
      <w:tblPr>
        <w:tblW w:w="0" w:type="auto"/>
        <w:tblInd w:w="-142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93"/>
        <w:gridCol w:w="105"/>
        <w:gridCol w:w="11"/>
        <w:gridCol w:w="1559"/>
        <w:gridCol w:w="142"/>
        <w:gridCol w:w="583"/>
        <w:gridCol w:w="90"/>
        <w:gridCol w:w="734"/>
        <w:gridCol w:w="739"/>
        <w:gridCol w:w="719"/>
        <w:gridCol w:w="602"/>
        <w:gridCol w:w="657"/>
        <w:gridCol w:w="657"/>
        <w:gridCol w:w="37"/>
        <w:gridCol w:w="709"/>
        <w:gridCol w:w="159"/>
        <w:gridCol w:w="221"/>
        <w:gridCol w:w="298"/>
        <w:gridCol w:w="123"/>
        <w:gridCol w:w="128"/>
        <w:gridCol w:w="913"/>
      </w:tblGrid>
      <w:tr>
        <w:trPr>
          <w:trHeight w:val="5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№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Перелік заходів </w:t>
            </w: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Строк виконання заходів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Виконавці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Джерела фінансування </w:t>
            </w:r>
            <w:r>
              <w:rPr>
                <w:lang w:val="uk-UA"/>
              </w:rPr>
            </w:r>
            <w:r/>
          </w:p>
        </w:tc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060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Орієнтовні обсяги фінансування (вартість), тис.грн., у тому числі по роках: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Очікуваний результат</w:t>
            </w:r>
            <w:r>
              <w:rPr>
                <w:lang w:val="uk-UA"/>
              </w:rPr>
            </w:r>
            <w:r/>
          </w:p>
        </w:tc>
      </w:tr>
      <w:tr>
        <w:trPr>
          <w:trHeight w:val="644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vMerge w:val="restart"/>
            <w:textDirection w:val="lrTb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Загальний обсяг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2018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2019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vMerge w:val="restart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2021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9" w:type="dxa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2022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66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54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 етап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387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ІІ етап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7"/>
        </w:trPr>
        <w:tc>
          <w:tcPr>
            <w:gridSpan w:val="21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780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lang w:val="uk-UA"/>
              </w:rPr>
              <w:t xml:space="preserve">1. Запобігання соціальному сирітству, попередження бездоглядності та безпритульності серед дітей</w:t>
            </w:r>
            <w:r>
              <w:rPr>
                <w:lang w:val="uk-UA"/>
              </w:rPr>
            </w:r>
            <w:r/>
          </w:p>
        </w:tc>
      </w:tr>
      <w:tr>
        <w:trPr>
          <w:trHeight w:val="3846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1.1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textDirection w:val="lrTb"/>
            <w:noWrap w:val="false"/>
          </w:tcPr>
          <w:p>
            <w:pPr>
              <w:ind w:left="74"/>
              <w:tabs>
                <w:tab w:val="center" w:pos="4677" w:leader="none"/>
                <w:tab w:val="right" w:pos="9355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Організація профілактичних рейдів та операцій в ОТГ для виявлення причин, що зумовлюють дитячу бездоглядність та безпритульність, інші негативні прояви в дитячому середовищі. Функціонув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ання Єдиної інформаційно-аналітичної системи «Діти»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Служба у справах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дітей міської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 ради, міський центр соціальних служб, виконавчий комітет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міської ради.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ОТГ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21300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20000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700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300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300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Зменшення рівня асоціальних проявів серед дітей.</w:t>
            </w:r>
            <w:r>
              <w:rPr>
                <w:rFonts w:ascii="Times New Roman" w:hAnsi="Times New Roman" w:eastAsia="Times New Roman"/>
                <w:sz w:val="22"/>
                <w:lang w:val="uk-UA"/>
              </w:rPr>
              <w:t xml:space="preserve"> Забезпечення своєчасної постановки на облік дітей, які опинились у складних життєвих обставинах, залишились без піклування батьків</w:t>
            </w:r>
            <w:r>
              <w:rPr>
                <w:lang w:val="uk-UA"/>
              </w:rPr>
            </w:r>
            <w:r/>
          </w:p>
        </w:tc>
      </w:tr>
      <w:tr>
        <w:trPr>
          <w:trHeight w:val="1134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22"/>
                <w:lang w:val="uk-UA"/>
              </w:rPr>
              <w:t xml:space="preserve">1.2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textDirection w:val="lrTb"/>
            <w:noWrap w:val="false"/>
          </w:tcPr>
          <w:p>
            <w:pPr>
              <w:ind w:left="74"/>
              <w:tabs>
                <w:tab w:val="left" w:pos="4677" w:leader="none"/>
                <w:tab w:val="left" w:pos="9355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Проведення виїзних нарад, засідань за «круглим столом» з питан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ь соціально-правового захисту дітей, попередження насильства та жорстокого поводження, організації взаємодії суб’єктів соціальної роботи з питань виявлення, обліку, соціального супроводу сімей у складних життєвих обставинах та надання їм  соціальних послуг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Міський центр соціальних служб, служба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у справах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 дітей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ОТГ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2400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400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Підвищення рівня в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заємодії структурних підрозділів органів місцевого самоврядування та інститутів громадянського суспільства у вирішенні актуальних завдань соціально-правового захисту дітей, попередження виявів насильства, подолання та мінімізація складних життєвих обставин</w:t>
            </w:r>
            <w:r>
              <w:rPr>
                <w:lang w:val="uk-UA"/>
              </w:rPr>
            </w:r>
            <w:r/>
          </w:p>
        </w:tc>
      </w:tr>
      <w:tr>
        <w:trPr>
          <w:trHeight w:val="1134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22"/>
                <w:lang w:val="uk-UA"/>
              </w:rPr>
              <w:t xml:space="preserve">1.3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textDirection w:val="lrTb"/>
            <w:noWrap w:val="false"/>
          </w:tcPr>
          <w:p>
            <w:pPr>
              <w:ind w:left="74"/>
              <w:tabs>
                <w:tab w:val="left" w:pos="4677" w:leader="none"/>
                <w:tab w:val="left" w:pos="9355" w:leader="none"/>
              </w:tabs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Організація виїзної роботи в сільській місцевості з питань виявлення сімей, які перебувають у складних життєвих обставинах, надання їм соціальних послуг, в т.ч. послуги соціального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супроводу, профілактики негативних явищ, насильства і жорстокого поводження, покращення взаємодії суб’єктів соціальної роботи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Міський центр соціальних служб, служба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у справах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 дітей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ОТГ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1300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300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300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300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vMerge w:val="restart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Підвищення рівня поінформованості населення  про соціальні послуги, забезпечення доступності і ефективності надання соціальних послуг центром соціальних служб, раннє виявлення фахівцями із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соціальної роботи складних життєвих обставин, удосконалення системи захисту прав дітей, попередження виявів насильства, подолання та мінімізація складних життєвих обставин у сім’ях.</w:t>
            </w:r>
            <w:r>
              <w:rPr>
                <w:lang w:val="uk-UA"/>
              </w:rPr>
            </w:r>
            <w:r/>
          </w:p>
        </w:tc>
      </w:tr>
      <w:tr>
        <w:trPr>
          <w:trHeight w:val="1134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22"/>
                <w:lang w:val="uk-UA"/>
              </w:rPr>
              <w:t xml:space="preserve">1.4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textDirection w:val="lrTb"/>
            <w:noWrap w:val="false"/>
          </w:tcPr>
          <w:p>
            <w:pPr>
              <w:ind w:left="6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Проведення просвітницько-профілактичних акцій, заходів серед дітей, молоді, різних категорій сімей, спрямов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аних на профілактику соціально-небезпечних хвороб, негативних проявів, правопорушень, з питань профілактики дитячої бездоглядності та безпритульності, жорстокого поводження з дітьми та насильства,  пропаганду здорового способу життя, профілактику ВІЛ/СНІДу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Міський центр соціальних служб, служба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у справах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 дітей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ОТГ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10400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4300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600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1500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2000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2000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134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22"/>
                <w:lang w:val="uk-UA"/>
              </w:rPr>
              <w:t xml:space="preserve">1.5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textDirection w:val="lrTb"/>
            <w:noWrap w:val="false"/>
          </w:tcPr>
          <w:p>
            <w:pPr>
              <w:ind w:left="6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Проведення навчальних семінарів для посадових осіб міських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вик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онкомів, заступників директорів із виховної роботи, інших суб’єктів соціальної роботи  з питань попередження дитячої безпритульності та бездоглядності, профілактики соціального сирітства, насильства і жорстокого поводження, розвитку сімейних форм виховання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Міський центр соціальних служб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, служба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у справах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 дітей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ОТГ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2485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835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450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400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400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400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Підвищення професійного рівня знань посадових осіб  міськвиконко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мів, заступників директорів з виховної роботи, інших суб’єктів соціальної роботи, покращення взаємодії всіх суб’єктів соціальної роботи</w:t>
            </w:r>
            <w:r>
              <w:rPr>
                <w:lang w:val="uk-UA"/>
              </w:rPr>
            </w:r>
            <w:r/>
          </w:p>
        </w:tc>
      </w:tr>
      <w:tr>
        <w:trPr>
          <w:trHeight w:val="1928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93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22"/>
                <w:lang w:val="uk-UA"/>
              </w:rPr>
              <w:t xml:space="preserve">1.6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675" w:type="dxa"/>
            <w:textDirection w:val="lrTb"/>
            <w:noWrap w:val="false"/>
          </w:tcPr>
          <w:p>
            <w:pPr>
              <w:ind w:left="6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Забезпечення посередництва у наданні благодійної допомоги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Міський центр соціальних служб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Благодійні внески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19650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3650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5000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5500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5500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1134"/>
        </w:trPr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555" w:type="dxa"/>
            <w:textDirection w:val="lrTb"/>
            <w:noWrap w:val="false"/>
          </w:tcPr>
          <w:p>
            <w:pPr>
              <w:jc w:val="center"/>
              <w:spacing w:before="240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Всього по розділу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57535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5735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25400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8400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9000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9000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6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161"/>
        </w:trPr>
        <w:tc>
          <w:tcPr>
            <w:gridSpan w:val="21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780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val="uk-UA"/>
              </w:rPr>
              <w:t xml:space="preserve">2. Соціальний захист дітей-сиріт та дітей, позбавлених батьківського піклування</w:t>
            </w:r>
            <w:r>
              <w:rPr>
                <w:lang w:val="uk-UA"/>
              </w:rPr>
            </w:r>
            <w:r/>
          </w:p>
        </w:tc>
      </w:tr>
      <w:tr>
        <w:trPr>
          <w:trHeight w:val="10334"/>
        </w:trPr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09" w:type="dxa"/>
            <w:textDirection w:val="lrTb"/>
            <w:noWrap w:val="false"/>
          </w:tcPr>
          <w:p>
            <w:pPr>
              <w:ind w:left="6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2.1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ind w:left="6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Розробка, випуск та розповсюдження соціально-рекламної, друкованої інформаційно-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 та послуги патронату.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Проведення заходу з нагоди Дня усиновлення (30 вересня), інших заход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ів щодо популяризації сімейних форм виховання, запровадження послуги патронату.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4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Міський центр соціальних служб, служба у справах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дітей  міської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ОТГ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8500</w:t>
            </w: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2600</w:t>
            </w: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900</w:t>
            </w: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1000</w:t>
            </w: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68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2000</w:t>
            </w: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4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  <w:t xml:space="preserve">2000</w:t>
            </w:r>
            <w:r>
              <w:rPr>
                <w:rFonts w:ascii="Times New Roman" w:hAnsi="Times New Roman" w:eastAsia="Times New Roman"/>
                <w:b/>
                <w:sz w:val="22"/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41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Забезпечення доступу населення до інформації з питань влаштування дітей-сиріт та дітей, позбавлених батьківського піклування, до сімейних форм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виховання, популяризація сімейних форм виховання, підтримання престижу прийомних сімей і ДБСТ, запровадження в громаді послуги патронату. </w:t>
            </w:r>
            <w:r>
              <w:rPr>
                <w:lang w:val="uk-UA"/>
              </w:rPr>
            </w:r>
            <w:r/>
          </w:p>
        </w:tc>
      </w:tr>
      <w:tr>
        <w:trPr>
          <w:trHeight w:val="1134"/>
        </w:trPr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555" w:type="dxa"/>
            <w:textDirection w:val="lrTb"/>
            <w:noWrap w:val="false"/>
          </w:tcPr>
          <w:p>
            <w:pPr>
              <w:ind w:right="113"/>
              <w:jc w:val="center"/>
              <w:spacing w:before="240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Всього по розділу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8500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2600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900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1000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68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2000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4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2000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41" w:type="dxa"/>
            <w:textDirection w:val="lrTb"/>
            <w:noWrap w:val="false"/>
          </w:tcPr>
          <w:p>
            <w:pPr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gridSpan w:val="21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780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val="uk-UA"/>
              </w:rPr>
              <w:t xml:space="preserve">3. Соціальне забезпечення та підтримка сімей з дітьми</w:t>
            </w:r>
            <w:r>
              <w:rPr>
                <w:lang w:val="uk-UA"/>
              </w:rPr>
            </w:r>
            <w:r/>
          </w:p>
        </w:tc>
      </w:tr>
      <w:tr>
        <w:trPr>
          <w:trHeight w:val="1820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22"/>
                <w:lang w:val="uk-UA"/>
              </w:rPr>
              <w:t xml:space="preserve">3.1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70" w:type="dxa"/>
            <w:textDirection w:val="lrTb"/>
            <w:noWrap w:val="false"/>
          </w:tcPr>
          <w:p>
            <w:pPr>
              <w:ind w:right="-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Проведення благодійних акцій, святкових заходів для дітей соціально незахищени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х категорій з нагоди відзначення Дня сім’ї і матері, Дня захисту дітей (1 червня); Дня захисту інвалідів, Новорічних та Різдвяних свят. Проведення акцій та заходів з питань популяризації сімейних цінностей, здорового способу життя, попередження негативних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проявів, залучення ресурсів громади до підтримки сімей, інших благодійних заходів та заходів соціальної підтримки сімей з дітьми.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Міський центр соціальних служб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ОТГ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282265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61100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51065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70500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6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44800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4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54800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13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ей. Підтримка творчої молоді.</w:t>
            </w:r>
            <w:r>
              <w:rPr>
                <w:lang w:val="uk-UA"/>
              </w:rPr>
            </w:r>
            <w:r/>
          </w:p>
        </w:tc>
      </w:tr>
      <w:tr>
        <w:trPr>
          <w:trHeight w:val="1984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9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3.2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70" w:type="dxa"/>
            <w:textDirection w:val="lrTb"/>
            <w:noWrap w:val="false"/>
          </w:tcPr>
          <w:p>
            <w:pPr>
              <w:ind w:left="62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Забезпечення посередництва у наданні благодійної допомоги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2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2018-2022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4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Міський центр соціальних служб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39" w:type="dxa"/>
            <w:textDirection w:val="tbRl"/>
            <w:noWrap w:val="false"/>
          </w:tcPr>
          <w:p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Благодійні внески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164000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65000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50000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6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24500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4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24500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13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946"/>
        </w:trPr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555" w:type="dxa"/>
            <w:textDirection w:val="lrTb"/>
            <w:noWrap w:val="false"/>
          </w:tcPr>
          <w:p>
            <w:pPr>
              <w:jc w:val="center"/>
              <w:spacing w:before="240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Всього по розділу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446265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61100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116065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120500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6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69300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4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79300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1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1134"/>
        </w:trPr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555" w:type="dxa"/>
            <w:textDirection w:val="lrTb"/>
            <w:noWrap w:val="false"/>
          </w:tcPr>
          <w:p>
            <w:pPr>
              <w:jc w:val="center"/>
              <w:spacing w:before="240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Разом по заходам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1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512300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0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69435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142365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57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129900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6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80300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49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90300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1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  <w:lang w:val="uk-UA"/>
              </w:rPr>
            </w:pPr>
            <w:r>
              <w:rPr>
                <w:rFonts w:ascii="Calibri" w:hAnsi="Calibri" w:cs="Calibri" w:eastAsia="Calibri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rPr>
          <w:sz w:val="6"/>
        </w:rPr>
      </w:pPr>
      <w:r>
        <w:rPr>
          <w:sz w:val="6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559"/>
    <w:link w:val="550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559"/>
    <w:link w:val="551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559"/>
    <w:link w:val="552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559"/>
    <w:link w:val="553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559"/>
    <w:link w:val="554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559"/>
    <w:link w:val="555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559"/>
    <w:link w:val="5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559"/>
    <w:link w:val="557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559"/>
    <w:link w:val="558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559"/>
    <w:link w:val="573"/>
    <w:uiPriority w:val="10"/>
    <w:rPr>
      <w:sz w:val="48"/>
      <w:szCs w:val="48"/>
    </w:rPr>
  </w:style>
  <w:style w:type="character" w:styleId="404">
    <w:name w:val="Subtitle Char"/>
    <w:basedOn w:val="559"/>
    <w:link w:val="575"/>
    <w:uiPriority w:val="11"/>
    <w:rPr>
      <w:sz w:val="24"/>
      <w:szCs w:val="24"/>
    </w:rPr>
  </w:style>
  <w:style w:type="character" w:styleId="405">
    <w:name w:val="Quote Char"/>
    <w:link w:val="581"/>
    <w:uiPriority w:val="29"/>
    <w:rPr>
      <w:i/>
    </w:rPr>
  </w:style>
  <w:style w:type="character" w:styleId="406">
    <w:name w:val="Intense Quote Char"/>
    <w:link w:val="583"/>
    <w:uiPriority w:val="30"/>
    <w:rPr>
      <w:i/>
    </w:rPr>
  </w:style>
  <w:style w:type="paragraph" w:styleId="407">
    <w:name w:val="Header"/>
    <w:basedOn w:val="549"/>
    <w:link w:val="4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08">
    <w:name w:val="Header Char"/>
    <w:basedOn w:val="559"/>
    <w:link w:val="407"/>
    <w:uiPriority w:val="99"/>
  </w:style>
  <w:style w:type="paragraph" w:styleId="409">
    <w:name w:val="Footer"/>
    <w:basedOn w:val="549"/>
    <w:link w:val="4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0">
    <w:name w:val="Footer Char"/>
    <w:basedOn w:val="559"/>
    <w:link w:val="409"/>
    <w:uiPriority w:val="99"/>
  </w:style>
  <w:style w:type="table" w:styleId="411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0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1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2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3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4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5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4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5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6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7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4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5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6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7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8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9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0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2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3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4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5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6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7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8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9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0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1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2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3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4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5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7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8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9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0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1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2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0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1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2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3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4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5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6">
    <w:name w:val="Hyperlink"/>
    <w:uiPriority w:val="99"/>
    <w:unhideWhenUsed/>
    <w:rPr>
      <w:color w:val="0000FF" w:themeColor="hyperlink"/>
      <w:u w:val="single"/>
    </w:rPr>
  </w:style>
  <w:style w:type="paragraph" w:styleId="537">
    <w:name w:val="footnote text"/>
    <w:basedOn w:val="549"/>
    <w:link w:val="538"/>
    <w:uiPriority w:val="99"/>
    <w:semiHidden/>
    <w:unhideWhenUsed/>
    <w:rPr>
      <w:sz w:val="18"/>
    </w:rPr>
    <w:pPr>
      <w:spacing w:lineRule="auto" w:line="240" w:after="40"/>
    </w:pPr>
  </w:style>
  <w:style w:type="character" w:styleId="538">
    <w:name w:val="Footnote Text Char"/>
    <w:link w:val="537"/>
    <w:uiPriority w:val="99"/>
    <w:rPr>
      <w:sz w:val="18"/>
    </w:rPr>
  </w:style>
  <w:style w:type="character" w:styleId="539">
    <w:name w:val="footnote reference"/>
    <w:basedOn w:val="559"/>
    <w:uiPriority w:val="99"/>
    <w:unhideWhenUsed/>
    <w:rPr>
      <w:vertAlign w:val="superscript"/>
    </w:rPr>
  </w:style>
  <w:style w:type="paragraph" w:styleId="540">
    <w:name w:val="toc 1"/>
    <w:basedOn w:val="549"/>
    <w:next w:val="549"/>
    <w:uiPriority w:val="39"/>
    <w:unhideWhenUsed/>
    <w:pPr>
      <w:ind w:left="0" w:right="0" w:firstLine="0"/>
      <w:spacing w:after="57"/>
    </w:pPr>
  </w:style>
  <w:style w:type="paragraph" w:styleId="541">
    <w:name w:val="toc 2"/>
    <w:basedOn w:val="549"/>
    <w:next w:val="549"/>
    <w:uiPriority w:val="39"/>
    <w:unhideWhenUsed/>
    <w:pPr>
      <w:ind w:left="283" w:right="0" w:firstLine="0"/>
      <w:spacing w:after="57"/>
    </w:pPr>
  </w:style>
  <w:style w:type="paragraph" w:styleId="542">
    <w:name w:val="toc 3"/>
    <w:basedOn w:val="549"/>
    <w:next w:val="549"/>
    <w:uiPriority w:val="39"/>
    <w:unhideWhenUsed/>
    <w:pPr>
      <w:ind w:left="567" w:right="0" w:firstLine="0"/>
      <w:spacing w:after="57"/>
    </w:pPr>
  </w:style>
  <w:style w:type="paragraph" w:styleId="543">
    <w:name w:val="toc 4"/>
    <w:basedOn w:val="549"/>
    <w:next w:val="549"/>
    <w:uiPriority w:val="39"/>
    <w:unhideWhenUsed/>
    <w:pPr>
      <w:ind w:left="850" w:right="0" w:firstLine="0"/>
      <w:spacing w:after="57"/>
    </w:pPr>
  </w:style>
  <w:style w:type="paragraph" w:styleId="544">
    <w:name w:val="toc 5"/>
    <w:basedOn w:val="549"/>
    <w:next w:val="549"/>
    <w:uiPriority w:val="39"/>
    <w:unhideWhenUsed/>
    <w:pPr>
      <w:ind w:left="1134" w:right="0" w:firstLine="0"/>
      <w:spacing w:after="57"/>
    </w:pPr>
  </w:style>
  <w:style w:type="paragraph" w:styleId="545">
    <w:name w:val="toc 6"/>
    <w:basedOn w:val="549"/>
    <w:next w:val="549"/>
    <w:uiPriority w:val="39"/>
    <w:unhideWhenUsed/>
    <w:pPr>
      <w:ind w:left="1417" w:right="0" w:firstLine="0"/>
      <w:spacing w:after="57"/>
    </w:pPr>
  </w:style>
  <w:style w:type="paragraph" w:styleId="546">
    <w:name w:val="toc 7"/>
    <w:basedOn w:val="549"/>
    <w:next w:val="549"/>
    <w:uiPriority w:val="39"/>
    <w:unhideWhenUsed/>
    <w:pPr>
      <w:ind w:left="1701" w:right="0" w:firstLine="0"/>
      <w:spacing w:after="57"/>
    </w:pPr>
  </w:style>
  <w:style w:type="paragraph" w:styleId="547">
    <w:name w:val="toc 8"/>
    <w:basedOn w:val="549"/>
    <w:next w:val="549"/>
    <w:uiPriority w:val="39"/>
    <w:unhideWhenUsed/>
    <w:pPr>
      <w:ind w:left="1984" w:right="0" w:firstLine="0"/>
      <w:spacing w:after="57"/>
    </w:pPr>
  </w:style>
  <w:style w:type="paragraph" w:styleId="548">
    <w:name w:val="toc 9"/>
    <w:basedOn w:val="549"/>
    <w:next w:val="549"/>
    <w:uiPriority w:val="39"/>
    <w:unhideWhenUsed/>
    <w:pPr>
      <w:ind w:left="2268" w:right="0" w:firstLine="0"/>
      <w:spacing w:after="57"/>
    </w:pPr>
  </w:style>
  <w:style w:type="paragraph" w:styleId="549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550">
    <w:name w:val="Heading 1"/>
    <w:basedOn w:val="549"/>
    <w:next w:val="549"/>
    <w:link w:val="564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51">
    <w:name w:val="Heading 2"/>
    <w:basedOn w:val="549"/>
    <w:next w:val="549"/>
    <w:link w:val="565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2">
    <w:name w:val="Heading 3"/>
    <w:basedOn w:val="549"/>
    <w:next w:val="549"/>
    <w:link w:val="566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3">
    <w:name w:val="Heading 4"/>
    <w:basedOn w:val="549"/>
    <w:next w:val="549"/>
    <w:link w:val="567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54">
    <w:name w:val="Heading 5"/>
    <w:basedOn w:val="549"/>
    <w:next w:val="549"/>
    <w:link w:val="568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55">
    <w:name w:val="Heading 6"/>
    <w:basedOn w:val="549"/>
    <w:next w:val="549"/>
    <w:link w:val="569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56">
    <w:name w:val="Heading 7"/>
    <w:basedOn w:val="549"/>
    <w:next w:val="549"/>
    <w:link w:val="570"/>
    <w:qFormat/>
    <w:uiPriority w:val="9"/>
    <w:semiHidden/>
    <w:unhideWhenUsed/>
    <w:pPr>
      <w:spacing w:after="60" w:before="240"/>
      <w:outlineLvl w:val="6"/>
    </w:pPr>
  </w:style>
  <w:style w:type="paragraph" w:styleId="557">
    <w:name w:val="Heading 8"/>
    <w:basedOn w:val="549"/>
    <w:next w:val="549"/>
    <w:link w:val="571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58">
    <w:name w:val="Heading 9"/>
    <w:basedOn w:val="549"/>
    <w:next w:val="549"/>
    <w:link w:val="572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559" w:default="1">
    <w:name w:val="Default Paragraph Font"/>
    <w:uiPriority w:val="1"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Balloon Text"/>
    <w:basedOn w:val="549"/>
    <w:link w:val="563"/>
    <w:uiPriority w:val="99"/>
    <w:semiHidden/>
    <w:unhideWhenUsed/>
    <w:rPr>
      <w:rFonts w:ascii="Tahoma" w:hAnsi="Tahoma" w:cs="Tahoma"/>
      <w:sz w:val="16"/>
      <w:szCs w:val="16"/>
    </w:rPr>
  </w:style>
  <w:style w:type="character" w:styleId="563" w:customStyle="1">
    <w:name w:val="Текст у виносці Знак"/>
    <w:basedOn w:val="559"/>
    <w:link w:val="562"/>
    <w:uiPriority w:val="99"/>
    <w:semiHidden/>
    <w:rPr>
      <w:rFonts w:ascii="Tahoma" w:hAnsi="Tahoma" w:cs="Tahoma"/>
      <w:sz w:val="16"/>
      <w:szCs w:val="16"/>
    </w:rPr>
  </w:style>
  <w:style w:type="character" w:styleId="564" w:customStyle="1">
    <w:name w:val="Заголовок 1 Знак"/>
    <w:basedOn w:val="559"/>
    <w:link w:val="550"/>
    <w:uiPriority w:val="9"/>
    <w:rPr>
      <w:rFonts w:ascii="Cambria" w:hAnsi="Cambria" w:eastAsia="Cambria"/>
      <w:b/>
      <w:bCs/>
      <w:sz w:val="32"/>
      <w:szCs w:val="32"/>
    </w:rPr>
  </w:style>
  <w:style w:type="character" w:styleId="565" w:customStyle="1">
    <w:name w:val="Заголовок 2 Знак"/>
    <w:basedOn w:val="559"/>
    <w:link w:val="551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6" w:customStyle="1">
    <w:name w:val="Заголовок 3 Знак"/>
    <w:basedOn w:val="559"/>
    <w:link w:val="552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67" w:customStyle="1">
    <w:name w:val="Заголовок 4 Знак"/>
    <w:basedOn w:val="559"/>
    <w:link w:val="553"/>
    <w:uiPriority w:val="9"/>
    <w:rPr>
      <w:b/>
      <w:bCs/>
      <w:sz w:val="28"/>
      <w:szCs w:val="28"/>
    </w:rPr>
  </w:style>
  <w:style w:type="character" w:styleId="568" w:customStyle="1">
    <w:name w:val="Заголовок 5 Знак"/>
    <w:basedOn w:val="559"/>
    <w:link w:val="554"/>
    <w:uiPriority w:val="9"/>
    <w:semiHidden/>
    <w:rPr>
      <w:b/>
      <w:bCs/>
      <w:i/>
      <w:iCs/>
      <w:sz w:val="26"/>
      <w:szCs w:val="26"/>
    </w:rPr>
  </w:style>
  <w:style w:type="character" w:styleId="569" w:customStyle="1">
    <w:name w:val="Заголовок 6 Знак"/>
    <w:basedOn w:val="559"/>
    <w:link w:val="555"/>
    <w:uiPriority w:val="9"/>
    <w:semiHidden/>
    <w:rPr>
      <w:b/>
      <w:bCs/>
    </w:rPr>
  </w:style>
  <w:style w:type="character" w:styleId="570" w:customStyle="1">
    <w:name w:val="Заголовок 7 Знак"/>
    <w:basedOn w:val="559"/>
    <w:link w:val="556"/>
    <w:uiPriority w:val="9"/>
    <w:semiHidden/>
    <w:rPr>
      <w:sz w:val="24"/>
      <w:szCs w:val="24"/>
    </w:rPr>
  </w:style>
  <w:style w:type="character" w:styleId="571" w:customStyle="1">
    <w:name w:val="Заголовок 8 Знак"/>
    <w:basedOn w:val="559"/>
    <w:link w:val="557"/>
    <w:uiPriority w:val="9"/>
    <w:semiHidden/>
    <w:rPr>
      <w:i/>
      <w:iCs/>
      <w:sz w:val="24"/>
      <w:szCs w:val="24"/>
    </w:rPr>
  </w:style>
  <w:style w:type="character" w:styleId="572" w:customStyle="1">
    <w:name w:val="Заголовок 9 Знак"/>
    <w:basedOn w:val="559"/>
    <w:link w:val="558"/>
    <w:uiPriority w:val="9"/>
    <w:semiHidden/>
    <w:rPr>
      <w:rFonts w:ascii="Cambria" w:hAnsi="Cambria" w:eastAsia="Cambria"/>
    </w:rPr>
  </w:style>
  <w:style w:type="paragraph" w:styleId="573">
    <w:name w:val="Title"/>
    <w:basedOn w:val="549"/>
    <w:next w:val="549"/>
    <w:link w:val="574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4" w:customStyle="1">
    <w:name w:val="Назва Знак"/>
    <w:basedOn w:val="559"/>
    <w:link w:val="573"/>
    <w:uiPriority w:val="10"/>
    <w:rPr>
      <w:rFonts w:ascii="Cambria" w:hAnsi="Cambria" w:eastAsia="Cambria"/>
      <w:b/>
      <w:bCs/>
      <w:sz w:val="32"/>
      <w:szCs w:val="32"/>
    </w:rPr>
  </w:style>
  <w:style w:type="paragraph" w:styleId="575">
    <w:name w:val="Subtitle"/>
    <w:basedOn w:val="549"/>
    <w:next w:val="549"/>
    <w:link w:val="576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6" w:customStyle="1">
    <w:name w:val="Підзаголовок Знак"/>
    <w:basedOn w:val="559"/>
    <w:link w:val="575"/>
    <w:uiPriority w:val="11"/>
    <w:rPr>
      <w:rFonts w:ascii="Cambria" w:hAnsi="Cambria" w:eastAsia="Cambria"/>
      <w:sz w:val="24"/>
      <w:szCs w:val="24"/>
    </w:rPr>
  </w:style>
  <w:style w:type="character" w:styleId="577">
    <w:name w:val="Strong"/>
    <w:basedOn w:val="559"/>
    <w:qFormat/>
    <w:uiPriority w:val="22"/>
    <w:rPr>
      <w:b/>
      <w:bCs/>
    </w:rPr>
  </w:style>
  <w:style w:type="character" w:styleId="578">
    <w:name w:val="Emphasis"/>
    <w:basedOn w:val="559"/>
    <w:qFormat/>
    <w:uiPriority w:val="20"/>
    <w:rPr>
      <w:rFonts w:ascii="Calibri" w:hAnsi="Calibri"/>
      <w:b/>
      <w:i/>
      <w:iCs/>
    </w:rPr>
  </w:style>
  <w:style w:type="paragraph" w:styleId="579">
    <w:name w:val="No Spacing"/>
    <w:basedOn w:val="549"/>
    <w:qFormat/>
    <w:uiPriority w:val="1"/>
    <w:rPr>
      <w:szCs w:val="32"/>
    </w:rPr>
  </w:style>
  <w:style w:type="paragraph" w:styleId="580">
    <w:name w:val="List Paragraph"/>
    <w:basedOn w:val="549"/>
    <w:qFormat/>
    <w:uiPriority w:val="34"/>
    <w:pPr>
      <w:contextualSpacing w:val="true"/>
      <w:ind w:left="720"/>
    </w:pPr>
  </w:style>
  <w:style w:type="paragraph" w:styleId="581">
    <w:name w:val="Quote"/>
    <w:basedOn w:val="549"/>
    <w:next w:val="549"/>
    <w:link w:val="582"/>
    <w:qFormat/>
    <w:uiPriority w:val="29"/>
    <w:rPr>
      <w:i/>
    </w:rPr>
  </w:style>
  <w:style w:type="character" w:styleId="582" w:customStyle="1">
    <w:name w:val="Цитата Знак"/>
    <w:basedOn w:val="559"/>
    <w:link w:val="581"/>
    <w:uiPriority w:val="29"/>
    <w:rPr>
      <w:i/>
      <w:sz w:val="24"/>
      <w:szCs w:val="24"/>
    </w:rPr>
  </w:style>
  <w:style w:type="paragraph" w:styleId="583">
    <w:name w:val="Intense Quote"/>
    <w:basedOn w:val="549"/>
    <w:next w:val="549"/>
    <w:link w:val="584"/>
    <w:qFormat/>
    <w:uiPriority w:val="30"/>
    <w:rPr>
      <w:b/>
      <w:i/>
      <w:szCs w:val="22"/>
    </w:rPr>
    <w:pPr>
      <w:ind w:left="720" w:right="720"/>
    </w:pPr>
  </w:style>
  <w:style w:type="character" w:styleId="584" w:customStyle="1">
    <w:name w:val="Насичена цитата Знак"/>
    <w:basedOn w:val="559"/>
    <w:link w:val="583"/>
    <w:uiPriority w:val="30"/>
    <w:rPr>
      <w:b/>
      <w:i/>
      <w:sz w:val="24"/>
    </w:rPr>
  </w:style>
  <w:style w:type="character" w:styleId="585">
    <w:name w:val="Subtle Emphasis"/>
    <w:qFormat/>
    <w:uiPriority w:val="19"/>
    <w:rPr>
      <w:i/>
      <w:color w:val="5A5A5A" w:themeColor="text1" w:themeTint="A5"/>
    </w:rPr>
  </w:style>
  <w:style w:type="character" w:styleId="586">
    <w:name w:val="Intense Emphasis"/>
    <w:basedOn w:val="559"/>
    <w:qFormat/>
    <w:uiPriority w:val="21"/>
    <w:rPr>
      <w:b/>
      <w:i/>
      <w:sz w:val="24"/>
      <w:szCs w:val="24"/>
      <w:u w:val="single"/>
    </w:rPr>
  </w:style>
  <w:style w:type="character" w:styleId="587">
    <w:name w:val="Subtle Reference"/>
    <w:basedOn w:val="559"/>
    <w:qFormat/>
    <w:uiPriority w:val="31"/>
    <w:rPr>
      <w:sz w:val="24"/>
      <w:szCs w:val="24"/>
      <w:u w:val="single"/>
    </w:rPr>
  </w:style>
  <w:style w:type="character" w:styleId="588">
    <w:name w:val="Intense Reference"/>
    <w:basedOn w:val="559"/>
    <w:qFormat/>
    <w:uiPriority w:val="32"/>
    <w:rPr>
      <w:b/>
      <w:sz w:val="24"/>
      <w:u w:val="single"/>
    </w:rPr>
  </w:style>
  <w:style w:type="character" w:styleId="589">
    <w:name w:val="Book Title"/>
    <w:basedOn w:val="559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0">
    <w:name w:val="TOC Heading"/>
    <w:basedOn w:val="550"/>
    <w:next w:val="549"/>
    <w:qFormat/>
    <w:uiPriority w:val="39"/>
    <w:semiHidden/>
    <w:unhideWhenUsed/>
    <w:pPr>
      <w:outlineLvl w:val="9"/>
    </w:pPr>
  </w:style>
  <w:style w:type="table" w:styleId="591">
    <w:name w:val="Table Grid"/>
    <w:basedOn w:val="560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11</cp:revision>
  <dcterms:created xsi:type="dcterms:W3CDTF">2020-11-24T11:05:00Z</dcterms:created>
  <dcterms:modified xsi:type="dcterms:W3CDTF">2020-12-27T19:00:58Z</dcterms:modified>
</cp:coreProperties>
</file>