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400" cy="66871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80399" cy="6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8pt;height:52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23 грудня 2020 року</w:t>
        <w:tab/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населених пунктів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- 2023 роки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color w:val="000000"/>
          <w:sz w:val="28"/>
          <w:szCs w:val="27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Програму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оборони на території населених пунктів Менської міської територіальної громади на 2021-2023 роки, керуючись ст.26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Програму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оборони на території населених пунктів Менської міської територіальної громади на 2021-2023 роки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7"/>
          <w:lang w:val="uk-UA" w:eastAsia="ru-RU"/>
        </w:rPr>
        <w:t xml:space="preserve"> згідно додатку 1 до даного рішення - додається.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ання заходів передбачених Програмою здійснювати з врахуванням можливих показників бюджету громади.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Працівникам апарату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numPr>
          <w:ilvl w:val="0"/>
          <w:numId w:val="6"/>
        </w:numPr>
        <w:ind w:left="0" w:right="0" w:firstLine="283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 виконанням рішення пок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ласти на заступників міського голови з питань діяльності виконкому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64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  <w:lang w:val="uk-UA"/>
        </w:rPr>
        <w:t xml:space="preserve">Дода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ток №1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рішення 2 сесії Менської міської ради 8 скликання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від 23.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.2020 №50 «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Про затвердження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програми територіальної оборони на території населених пунктів Менської 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міської територіальної громади на 2021-2023 роки»</w:t>
      </w:r>
      <w:r>
        <w:rPr>
          <w:rFonts w:ascii="Times New Roman" w:hAnsi="Times New Roman" w:cs="Times New Roman" w:eastAsia="Times New Roman"/>
          <w:sz w:val="22"/>
          <w:lang w:val="uk-UA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val="uk-UA"/>
        </w:rPr>
        <w:t xml:space="preserve">ПРОГРАМА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пун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2020 рік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ЗМІСТ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736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 Паспорт 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пун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громади на 2021 - 2023 роки 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9"/>
        </w:trPr>
        <w:tc>
          <w:tcPr>
            <w:tcW w:w="8953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озділ І.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Загальна характеристика 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 Розділ ІІ. Визначення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проблеми, на розв’язання 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спрямована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19"/>
        </w:trPr>
        <w:tc>
          <w:tcPr>
            <w:tcW w:w="8953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Розділ ІІІ.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709"/>
        </w:trPr>
        <w:tc>
          <w:tcPr>
            <w:tcW w:w="895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Розділ IV.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Обґрунтування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шляхів і засобів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розв’язання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проблеми, обсягів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джерел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фінансування, строки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77"/>
        </w:trPr>
        <w:tc>
          <w:tcPr>
            <w:tcW w:w="895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 Розділ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Завдання, заходи реалізації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 та результативні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показники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64"/>
        </w:trPr>
        <w:tc>
          <w:tcPr>
            <w:tcW w:w="895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 Розділ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Координація та контроль за ходом 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9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widowControl w:val="off"/>
              <w:tabs>
                <w:tab w:val="left" w:pos="1843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ind w:left="-108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 Заходи 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нктів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громади на 2021 - 2023 роки.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ind w:left="-108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 Ресурсне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елених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громади на 2021 - 2023 роки.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tabs>
          <w:tab w:val="left" w:pos="26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ПАСПОРТ 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пун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73"/>
        <w:gridCol w:w="4253"/>
      </w:tblGrid>
      <w:tr>
        <w:trPr>
          <w:trHeight w:val="755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tabs>
                <w:tab w:val="left" w:pos="4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Ініціатор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розроблення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районний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214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Дата, номер і назва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розпорядчого документа органу влади про розроблення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06.12.1991 №1932-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XII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Закон України «Про оборону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України»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23.09.2016 № 406/2016 Указ Президента України «Про Положення про територіальну оборону України»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684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Розробник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345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Відповідальні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888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Учасники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підтримка, Менська ПМСД.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69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реалізації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-2023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861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місцевих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бюджетів, які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беруть участь у виконанні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територіальної 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202"/>
        </w:trPr>
        <w:tc>
          <w:tcPr>
            <w:tcW w:w="472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77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Загальний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фінансових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ресурсів, необхідних для реалізації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Програми, всього: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оштів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бюджету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тис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гривень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16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тис. гривень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360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36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Розділ I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Загальна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характеристика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90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громади на 2021 - 2023 роки (далі - Програма) розроблена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  <w:lang w:val="uk-UA"/>
        </w:rPr>
        <w:t xml:space="preserve">України «Про оборону України»,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Указу Президента України «Про Положення про територіальну оборону України»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23.09.2016 № 406/2016.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ind w:firstLine="90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Програмою передбачено виконання заходів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оборони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населених пунктів Менської міської 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озділ ІІ</w:t>
      </w:r>
      <w:r>
        <w:rPr>
          <w:rFonts w:ascii="Times New Roman" w:hAnsi="Times New Roman" w:cs="Times New Roman" w:eastAsia="Times New Roman"/>
          <w:b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Визначення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проблеми, на розв’язання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спрямована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ind w:firstLine="90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ускладненням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ситуації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Донецької та Луганської областей,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ості населення, системи державного та військового управління в державі виникла нагальна проблема в створенні (підрозділів) військових частин територіальної оборони на території області та їх матеріально-технічному забезпеченні для захисту суверенітету і 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залежності держави, охорони важливих об’єктів і комунікацій, органів державної влади, території і населення області, боротьби з диверсійними розвідувальними групами та незаконно збройними формуваннями, а також підтримання безпеки та правопорядку в області.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ind w:firstLine="90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урахуванням зазначеного вище необхідно завчасно у мирний час створити сприятливі умови для вжиття відповідних додаткових заходів щодо удосконалення: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підготовка у мирний час формування та розгортання в особливий період (підрозділів) військових частин територіальної оборони;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організації та підтримання у постійній готовності системи управління територіальною обороною в області;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взаємодії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органів місцевого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правоохоронних органів і органів військового управління при підготовці до виконання та при виконанні завдань територіальної оборони;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Також виникає гостра необхідність щодо удосконалення теоретичної і практичної підготовки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особового складу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підрозділів територіальної оборони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виконання завдань територіальної оборони в особливий період з: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порядку взаємодії між державними органами, забезпечення належних умов підтримання публічної безпеки і правопорядку в умовах особливого періоду;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надійного функціонування в умовах особливого періоду органів державної влади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місцевого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органів військового управління;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оперативного розгортання військ (сил) Збройних Сил України та інших військових формувань;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охорони та оборони важливих об’єктів і комунікацій життєдіяльності в умовах особливого періоду;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 заходів правового режиму воєнного стану;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тактичної, тактико-спеціальної, інженерної, вогневої, медичної та психологічної підготовки особового складу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територіальної оборони;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ind w:firstLine="90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Зазначені вище завдання передбачаються у заходах Програми (передбачені в додатку 1 до програми) і мають бути поставлені в авангарді організаційної роботи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місцевого самоврядування, правоохоронних органів, домінувати у навчально-виховному процесі навчальних закладів, на підприємствах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з усіма категоріями громадян.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ru-RU"/>
        </w:rPr>
      </w:r>
      <w:bookmarkStart w:id="0" w:name="78"/>
      <w:r>
        <w:rPr>
          <w:rFonts w:ascii="Times New Roman" w:hAnsi="Times New Roman" w:cs="Times New Roman" w:eastAsia="Times New Roman"/>
          <w:b/>
          <w:sz w:val="28"/>
          <w:lang w:val="uk-UA" w:eastAsia="ru-RU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Розділ ІІІ</w:t>
      </w:r>
      <w:r>
        <w:rPr>
          <w:rFonts w:ascii="Times New Roman" w:hAnsi="Times New Roman" w:cs="Times New Roman" w:eastAsia="Times New Roman"/>
          <w:b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ета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4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Метою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Програми є здійснення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щодо: підготовки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важливих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об’єктів і комунікацій, органів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влади, органів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місцевого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самоврядування, боротьби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диверсійними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групами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незаконно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створеними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збройними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формуваннями, забезпечення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правового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режиму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воєнного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стану; матеріально-технічного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потреб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відмобілізуванні та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проведенні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занять, тренувань, зборів, а саме: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творення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бази для 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навчальних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зборів з підрозділа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індивідуальними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засобами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захисту, засобами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харчування, речовим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майном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особового складу та спорядженням, в тому числі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засобами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зв’язку, індивідуальними комплектами медичної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допомоги;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створення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бази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мобілізаційного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розгортання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військових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частин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навчально-матеріальної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до складу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 w:val="false"/>
          <w:sz w:val="28"/>
          <w:szCs w:val="28"/>
          <w:lang w:val="uk-UA"/>
        </w:rPr>
        <w:t xml:space="preserve">територіальної оборони, а саме: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обладнання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місць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бойового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злагодження (занять) з підрозділами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оборони, в тому числі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необхідним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приладдям (інвентарем) для організації занять з тактичної, інженерної та вогневої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підготовок;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6"/>
        <w:numPr>
          <w:ilvl w:val="1"/>
          <w:numId w:val="7"/>
        </w:numPr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макетів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стрілецької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зброї, мін та ручних гранат, виготовлення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мішеней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для 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вправ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стрільб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стрілецької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зброї та метання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ручних гранат.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озділ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IV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шляхів і 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асобів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розв’язання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проблеми, обсягів та джерел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фінансування, стр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оки виконання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передбачає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комплексне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розв’язання проблем матеріально-технічного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оборони, обладнання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місць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формування (місце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зборів з підрозділами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оборони, створення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бази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мобілізаційного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розгортання та навчально-матеріальної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складу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оборони),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заційне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заходів з реалізації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здійснює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міська рада та районний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територіальний центр комплектування та соціальної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підтримки. </w:t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можливість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виконати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вимоги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здійснення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забезпечення та підвищення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готовності  до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завдань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військових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частин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територіальної оборони.</w:t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Орієнтовний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обсяг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необхідного ресурсу складає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420 тис. грн.</w:t>
      </w:r>
      <w:r>
        <w:rPr>
          <w:rFonts w:ascii="Times New Roman" w:hAnsi="Times New Roman" w:cs="Times New Roman" w:eastAsia="Times New Roman"/>
          <w:sz w:val="28"/>
          <w:lang w:val="uk-UA" w:eastAsia="ru-RU"/>
        </w:rPr>
        <w:t xml:space="preserve"> (додаток 2 до Програми)</w:t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</w:p>
    <w:p>
      <w:pPr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здійснюється за рахунок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кош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тів бюджету Менської місь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та інших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джерел, не заборонених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законодавств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ом. При цьому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обсяг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коштів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визначається органами виконавчої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влади та місцевого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 час формування бюджету з урахуванням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фінансових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можливостей та може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змінюватися в процесі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 бюджету при внесенні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 до нього.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54"/>
        <w:ind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Реалізація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відбуватиметься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протягом 2021 - 2023 років.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озділ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V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Завдання та результативні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зники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передбачається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здійснити ряд завдань та заходів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підготовки до створення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територіальної оборони та їх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забезпечення.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Реалізація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змогу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забезпечити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особовий склад підрозділів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територіальної оборони необхідними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засобами майна та спорядження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відповідно до існуючих норм згідно з потребами, організацію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розміщення, харчування та підготовки.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озділ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V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Координація та контроль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за ходом виконання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покладається на Менську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міську раду та Менський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районний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підтримки.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900"/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міська рада та районний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підтримки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забезпечують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своєчасне та якісне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Програми, ефективне і цільове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бюджетних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коштів.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8"/>
          <w:head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1197" w:right="11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Cs/>
          <w:spacing w:val="-4"/>
          <w:sz w:val="22"/>
          <w:szCs w:val="28"/>
        </w:rPr>
      </w:pPr>
      <w:r>
        <w:rPr>
          <w:rFonts w:ascii="Times New Roman" w:hAnsi="Times New Roman" w:cs="Times New Roman" w:eastAsia="Times New Roman"/>
          <w:bCs/>
          <w:spacing w:val="-4"/>
          <w:sz w:val="22"/>
          <w:szCs w:val="28"/>
          <w:lang w:val="uk-UA" w:bidi="ar-SA" w:eastAsia="ru-RU"/>
        </w:rPr>
      </w:r>
      <w:r>
        <w:rPr>
          <w:rFonts w:ascii="Times New Roman" w:hAnsi="Times New Roman" w:cs="Times New Roman" w:eastAsia="Times New Roman"/>
          <w:bCs/>
          <w:spacing w:val="-4"/>
          <w:sz w:val="22"/>
          <w:szCs w:val="28"/>
          <w:lang w:val="uk-UA"/>
        </w:rPr>
        <w:t xml:space="preserve">Додаток 1</w:t>
      </w:r>
      <w:r>
        <w:rPr>
          <w:rFonts w:ascii="Times New Roman" w:hAnsi="Times New Roman" w:cs="Times New Roman" w:eastAsia="Times New Roman"/>
          <w:spacing w:val="-4"/>
          <w:sz w:val="22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-4"/>
          <w:sz w:val="22"/>
          <w:szCs w:val="28"/>
          <w:lang w:val="uk-UA"/>
        </w:rPr>
        <w:t xml:space="preserve">до Програми територіальної оборони на території населених пун</w:t>
      </w:r>
      <w:r>
        <w:rPr>
          <w:rFonts w:ascii="Times New Roman" w:hAnsi="Times New Roman" w:cs="Times New Roman" w:eastAsia="Times New Roman"/>
          <w:spacing w:val="-4"/>
          <w:sz w:val="22"/>
          <w:szCs w:val="28"/>
          <w:lang w:val="uk-UA"/>
        </w:rPr>
        <w:t xml:space="preserve">ктів Менської міської </w:t>
      </w:r>
      <w:r>
        <w:rPr>
          <w:rFonts w:ascii="Times New Roman" w:hAnsi="Times New Roman" w:cs="Times New Roman" w:eastAsia="Times New Roman"/>
          <w:spacing w:val="-4"/>
          <w:sz w:val="22"/>
          <w:szCs w:val="28"/>
          <w:lang w:val="uk-UA"/>
        </w:rPr>
        <w:t xml:space="preserve"> територіальної громади на 2021 - 2023 роки</w:t>
      </w:r>
      <w:r>
        <w:rPr>
          <w:rFonts w:ascii="Times New Roman" w:hAnsi="Times New Roman" w:cs="Times New Roman" w:eastAsia="Times New Roman"/>
          <w:spacing w:val="-4"/>
          <w:sz w:val="22"/>
          <w:lang w:val="uk-UA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нктів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14633" w:type="dxa"/>
        <w:tblInd w:w="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00"/>
        <w:gridCol w:w="953"/>
        <w:gridCol w:w="3260"/>
        <w:gridCol w:w="1955"/>
        <w:gridCol w:w="993"/>
        <w:gridCol w:w="992"/>
        <w:gridCol w:w="995"/>
        <w:gridCol w:w="1018"/>
      </w:tblGrid>
      <w:tr>
        <w:trPr>
          <w:trHeight w:val="46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3" w:type="dxa"/>
            <w:vAlign w:val="center"/>
            <w:vMerge w:val="restart"/>
            <w:textDirection w:val="lrTb"/>
            <w:noWrap w:val="false"/>
          </w:tcPr>
          <w:p>
            <w:pPr>
              <w:ind w:left="-164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55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0" w:type="dxa"/>
            <w:vAlign w:val="center"/>
            <w:textDirection w:val="lrTb"/>
            <w:noWrap w:val="false"/>
          </w:tcPr>
          <w:p>
            <w:pPr>
              <w:ind w:left="-147" w:right="-108" w:firstLine="147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фінансуван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ня,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тис. грн.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vMerge w:val="restart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b w:val="false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rHeight w:val="27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3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55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2021р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spacing w:val="-5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>
              <w:rPr>
                <w:rFonts w:ascii="Times New Roman" w:hAnsi="Times New Roman" w:cs="Times New Roman" w:eastAsia="Times New Roman"/>
                <w:b/>
                <w:spacing w:val="-5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right="-108" w:hanging="109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2023р.</w:t>
            </w:r>
            <w:r>
              <w:rPr>
                <w:rFonts w:ascii="Times New Roman" w:hAnsi="Times New Roman" w:cs="Times New Roman" w:eastAsia="Times New Roman"/>
                <w:b/>
                <w:spacing w:val="-5"/>
                <w:sz w:val="22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trHeight w:val="687"/>
        </w:trPr>
        <w:tc>
          <w:tcPr>
            <w:gridSpan w:val="9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3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І. Заходи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всебічного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підготовки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військовозобов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язаних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призначених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складу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підрозділів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оборони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навчальних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зборів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занять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Єдиного всеукраїнського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стрілецького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дня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>
          <w:trHeight w:val="12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еревезення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підрозділів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оборони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військовозобов'язаних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проведенні з ними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навчальних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зборів,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занять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навчань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практичних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дій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полігонів, дислокації,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в тому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палива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2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бладнання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бойового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злагодження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занять з підрозділами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оборони, в тому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необхідним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приладдям (інвентарем) 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занять з тактичної, інженерної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вогневої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підготовок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тактичної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медицини, придбання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гонгів.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 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Перевезення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військового майна для підрозділів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територіальної оборони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pStyle w:val="58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2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pStyle w:val="583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Продовольче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підрозділів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оборони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проведенні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навчальних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зборів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занять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навчань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пунктах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постійної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дислокації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польових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умовах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Придбання з цією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метою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супутніх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товарів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господарського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призначення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207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96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творення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навчально-матеріальної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бази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занять з військовозобов’язаними, призначеними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підрозділів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оборони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макетів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стрілецької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зброї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, мін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та ручних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гранат, виготовлення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мішеней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вправ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стрільб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 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2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96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транкінгових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засобів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зв’язку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widowControl w:val="off"/>
              <w:tabs>
                <w:tab w:val="left" w:pos="42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Обладнання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наметового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містечка для проведення занять в польових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умовах (виконання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завдань в польових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умовах):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ридбання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намет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типу УСБ-56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розрахунків за послуги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надані в період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навчань (тренувань).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електрогенераторів (електростанцій) для підрозділів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ТрО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територіальний центр комплектування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Обладнання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заглибленого пункту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управління штабу району територіальної оборони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2021 -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2023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-108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територіальний центр комплекту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вання та соціальної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та інші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pacing w:val="-5"/>
                <w:sz w:val="24"/>
                <w:szCs w:val="28"/>
                <w:lang w:val="uk-UA"/>
              </w:rPr>
              <w:t xml:space="preserve">законодавством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3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260" w:type="dxa"/>
            <w:textDirection w:val="lrTb"/>
            <w:noWrap w:val="false"/>
          </w:tcPr>
          <w:p>
            <w:pPr>
              <w:ind w:right="12"/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55" w:type="dxa"/>
            <w:textDirection w:val="lrTb"/>
            <w:noWrap w:val="false"/>
          </w:tcPr>
          <w:p>
            <w:pPr>
              <w:ind w:right="12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right="12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170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 w:val="false"/>
          </w:tcPr>
          <w:p>
            <w:pPr>
              <w:ind w:left="-40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018" w:type="dxa"/>
            <w:textDirection w:val="lrTb"/>
            <w:noWrap w:val="false"/>
          </w:tcPr>
          <w:p>
            <w:pPr>
              <w:ind w:left="-40" w:right="-108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0205" w:right="11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2"/>
          <w:szCs w:val="28"/>
        </w:rPr>
      </w:pPr>
      <w:r>
        <w:rPr>
          <w:rFonts w:ascii="Times New Roman" w:hAnsi="Times New Roman" w:cs="Times New Roman" w:eastAsia="Times New Roman"/>
          <w:sz w:val="22"/>
          <w:szCs w:val="28"/>
          <w:lang w:val="uk-UA"/>
        </w:rPr>
      </w:r>
      <w:r>
        <w:rPr>
          <w:rFonts w:ascii="Times New Roman" w:hAnsi="Times New Roman" w:cs="Times New Roman" w:eastAsia="Times New Roman"/>
          <w:bCs/>
          <w:spacing w:val="-4"/>
          <w:sz w:val="22"/>
          <w:szCs w:val="28"/>
          <w:lang w:val="uk-UA"/>
        </w:rPr>
        <w:t xml:space="preserve">Додаток 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2"/>
          <w:szCs w:val="28"/>
          <w:lang w:val="uk-UA"/>
        </w:rPr>
        <w:t xml:space="preserve">до Програми територіальної оборони на території населених пун</w:t>
      </w:r>
      <w:r>
        <w:rPr>
          <w:rFonts w:ascii="Times New Roman" w:hAnsi="Times New Roman" w:cs="Times New Roman" w:eastAsia="Times New Roman"/>
          <w:sz w:val="22"/>
          <w:szCs w:val="28"/>
          <w:lang w:val="uk-UA"/>
        </w:rPr>
        <w:t xml:space="preserve">ктів Менської міської </w:t>
      </w:r>
      <w:r>
        <w:rPr>
          <w:rFonts w:ascii="Times New Roman" w:hAnsi="Times New Roman" w:cs="Times New Roman" w:eastAsia="Times New Roman"/>
          <w:sz w:val="22"/>
          <w:szCs w:val="28"/>
          <w:lang w:val="uk-UA"/>
        </w:rPr>
        <w:t xml:space="preserve">територіальної громади на 2021 - 2023 роки</w:t>
      </w:r>
      <w:r>
        <w:rPr>
          <w:rFonts w:ascii="Times New Roman" w:hAnsi="Times New Roman" w:cs="Times New Roman" w:eastAsia="Times New Roman"/>
          <w:sz w:val="22"/>
          <w:szCs w:val="28"/>
          <w:lang w:val="uk-UA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Ресурсне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пун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ктів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громади на 2021 - 2023 роки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11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коштів, які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пропонується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залучити на виконання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6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Усього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витрат на виконання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Програми,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tcW w:w="822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ресурсів, всього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6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420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tcW w:w="822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територіальної громади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664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420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spacing w:lineRule="auto" w:line="240" w:after="0" w:afterAutospacing="0" w:before="0" w:beforeAutospacing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  <w:rPr>
        <w:rStyle w:val="600"/>
      </w:rPr>
      <w:framePr w:wrap="around" w:vAnchor="text" w:hAnchor="margin" w:xAlign="center" w:y="1"/>
    </w:pPr>
    <w:r>
      <w:rPr>
        <w:rStyle w:val="600"/>
      </w:rPr>
    </w:r>
    <w:r>
      <w:rPr>
        <w:rStyle w:val="6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  <w:rPr>
        <w:rStyle w:val="600"/>
      </w:rPr>
      <w:framePr w:wrap="around" w:vAnchor="text" w:hAnchor="margin" w:xAlign="center" w:y="1"/>
    </w:pPr>
    <w:r>
      <w:rPr>
        <w:rStyle w:val="600"/>
      </w:rPr>
      <w:fldChar w:fldCharType="begin"/>
    </w:r>
    <w:r>
      <w:rPr>
        <w:rStyle w:val="600"/>
      </w:rPr>
      <w:instrText xml:space="preserve">PAGE  </w:instrText>
    </w:r>
    <w:r>
      <w:rPr>
        <w:rStyle w:val="600"/>
      </w:rPr>
      <w:fldChar w:fldCharType="separate"/>
    </w:r>
    <w:r>
      <w:rPr>
        <w:rStyle w:val="600"/>
      </w:rPr>
      <w:t xml:space="preserve">6</w:t>
    </w:r>
    <w:r>
      <w:rPr>
        <w:rStyle w:val="600"/>
      </w:rPr>
      <w:fldChar w:fldCharType="end"/>
    </w:r>
    <w:r/>
  </w:p>
  <w:p>
    <w:pPr>
      <w:pStyle w:val="5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decimal"/>
      <w:isLgl/>
      <w:suff w:val="tab"/>
      <w:lvlText w:val="%1.%2"/>
      <w:lvlJc w:val="left"/>
      <w:pPr>
        <w:ind w:left="1128" w:hanging="420"/>
        <w:tabs>
          <w:tab w:val="left" w:pos="1128" w:leader="none"/>
        </w:tabs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  <w:tabs>
          <w:tab w:val="left" w:pos="1428" w:leader="none"/>
        </w:tabs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  <w:tabs>
          <w:tab w:val="left" w:pos="1788" w:leader="none"/>
        </w:tabs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  <w:tabs>
          <w:tab w:val="left" w:pos="1788" w:leader="none"/>
        </w:tabs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  <w:tabs>
          <w:tab w:val="left" w:pos="2148" w:leader="none"/>
        </w:tabs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  <w:tabs>
          <w:tab w:val="left" w:pos="2148" w:leader="none"/>
        </w:tabs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  <w:tabs>
          <w:tab w:val="left" w:pos="2508" w:leader="none"/>
        </w:tabs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  <w:tabs>
          <w:tab w:val="left" w:pos="2868" w:leader="none"/>
        </w:tabs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1 Char"/>
    <w:basedOn w:val="563"/>
    <w:link w:val="554"/>
    <w:uiPriority w:val="9"/>
    <w:rPr>
      <w:rFonts w:ascii="Arial" w:hAnsi="Arial" w:cs="Arial" w:eastAsia="Arial"/>
      <w:sz w:val="40"/>
      <w:szCs w:val="40"/>
    </w:rPr>
  </w:style>
  <w:style w:type="character" w:styleId="401">
    <w:name w:val="Heading 2 Char"/>
    <w:basedOn w:val="563"/>
    <w:link w:val="555"/>
    <w:uiPriority w:val="9"/>
    <w:rPr>
      <w:rFonts w:ascii="Arial" w:hAnsi="Arial" w:cs="Arial" w:eastAsia="Arial"/>
      <w:sz w:val="34"/>
    </w:rPr>
  </w:style>
  <w:style w:type="character" w:styleId="402">
    <w:name w:val="Heading 3 Char"/>
    <w:basedOn w:val="563"/>
    <w:link w:val="556"/>
    <w:uiPriority w:val="9"/>
    <w:rPr>
      <w:rFonts w:ascii="Arial" w:hAnsi="Arial" w:cs="Arial" w:eastAsia="Arial"/>
      <w:sz w:val="30"/>
      <w:szCs w:val="30"/>
    </w:rPr>
  </w:style>
  <w:style w:type="character" w:styleId="403">
    <w:name w:val="Heading 4 Char"/>
    <w:basedOn w:val="563"/>
    <w:link w:val="557"/>
    <w:uiPriority w:val="9"/>
    <w:rPr>
      <w:rFonts w:ascii="Arial" w:hAnsi="Arial" w:cs="Arial" w:eastAsia="Arial"/>
      <w:b/>
      <w:bCs/>
      <w:sz w:val="26"/>
      <w:szCs w:val="26"/>
    </w:rPr>
  </w:style>
  <w:style w:type="character" w:styleId="404">
    <w:name w:val="Heading 5 Char"/>
    <w:basedOn w:val="563"/>
    <w:link w:val="558"/>
    <w:uiPriority w:val="9"/>
    <w:rPr>
      <w:rFonts w:ascii="Arial" w:hAnsi="Arial" w:cs="Arial" w:eastAsia="Arial"/>
      <w:b/>
      <w:bCs/>
      <w:sz w:val="24"/>
      <w:szCs w:val="24"/>
    </w:rPr>
  </w:style>
  <w:style w:type="character" w:styleId="405">
    <w:name w:val="Heading 6 Char"/>
    <w:basedOn w:val="563"/>
    <w:link w:val="559"/>
    <w:uiPriority w:val="9"/>
    <w:rPr>
      <w:rFonts w:ascii="Arial" w:hAnsi="Arial" w:cs="Arial" w:eastAsia="Arial"/>
      <w:b/>
      <w:bCs/>
      <w:sz w:val="22"/>
      <w:szCs w:val="22"/>
    </w:rPr>
  </w:style>
  <w:style w:type="character" w:styleId="406">
    <w:name w:val="Heading 7 Char"/>
    <w:basedOn w:val="563"/>
    <w:link w:val="5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7">
    <w:name w:val="Heading 8 Char"/>
    <w:basedOn w:val="563"/>
    <w:link w:val="561"/>
    <w:uiPriority w:val="9"/>
    <w:rPr>
      <w:rFonts w:ascii="Arial" w:hAnsi="Arial" w:cs="Arial" w:eastAsia="Arial"/>
      <w:i/>
      <w:iCs/>
      <w:sz w:val="22"/>
      <w:szCs w:val="22"/>
    </w:rPr>
  </w:style>
  <w:style w:type="character" w:styleId="408">
    <w:name w:val="Heading 9 Char"/>
    <w:basedOn w:val="563"/>
    <w:link w:val="562"/>
    <w:uiPriority w:val="9"/>
    <w:rPr>
      <w:rFonts w:ascii="Arial" w:hAnsi="Arial" w:cs="Arial" w:eastAsia="Arial"/>
      <w:i/>
      <w:iCs/>
      <w:sz w:val="21"/>
      <w:szCs w:val="21"/>
    </w:rPr>
  </w:style>
  <w:style w:type="character" w:styleId="409">
    <w:name w:val="Title Char"/>
    <w:basedOn w:val="563"/>
    <w:link w:val="577"/>
    <w:uiPriority w:val="10"/>
    <w:rPr>
      <w:sz w:val="48"/>
      <w:szCs w:val="48"/>
    </w:rPr>
  </w:style>
  <w:style w:type="character" w:styleId="410">
    <w:name w:val="Subtitle Char"/>
    <w:basedOn w:val="563"/>
    <w:link w:val="579"/>
    <w:uiPriority w:val="11"/>
    <w:rPr>
      <w:sz w:val="24"/>
      <w:szCs w:val="24"/>
    </w:rPr>
  </w:style>
  <w:style w:type="character" w:styleId="411">
    <w:name w:val="Quote Char"/>
    <w:link w:val="585"/>
    <w:uiPriority w:val="29"/>
    <w:rPr>
      <w:i/>
    </w:rPr>
  </w:style>
  <w:style w:type="character" w:styleId="412">
    <w:name w:val="Intense Quote Char"/>
    <w:link w:val="587"/>
    <w:uiPriority w:val="30"/>
    <w:rPr>
      <w:i/>
    </w:rPr>
  </w:style>
  <w:style w:type="character" w:styleId="413">
    <w:name w:val="Header Char"/>
    <w:basedOn w:val="563"/>
    <w:link w:val="598"/>
    <w:uiPriority w:val="99"/>
  </w:style>
  <w:style w:type="character" w:styleId="414">
    <w:name w:val="Footer Char"/>
    <w:basedOn w:val="563"/>
    <w:link w:val="601"/>
    <w:uiPriority w:val="99"/>
  </w:style>
  <w:style w:type="table" w:styleId="415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4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5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6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7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8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9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0">
    <w:name w:val="Hyperlink"/>
    <w:uiPriority w:val="99"/>
    <w:unhideWhenUsed/>
    <w:rPr>
      <w:color w:val="0000FF" w:themeColor="hyperlink"/>
      <w:u w:val="single"/>
    </w:rPr>
  </w:style>
  <w:style w:type="paragraph" w:styleId="541">
    <w:name w:val="footnote text"/>
    <w:basedOn w:val="553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63"/>
    <w:uiPriority w:val="99"/>
    <w:unhideWhenUsed/>
    <w:rPr>
      <w:vertAlign w:val="superscript"/>
    </w:rPr>
  </w:style>
  <w:style w:type="paragraph" w:styleId="544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5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6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7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8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9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50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1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2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3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554">
    <w:name w:val="Heading 1"/>
    <w:basedOn w:val="553"/>
    <w:next w:val="553"/>
    <w:link w:val="568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5">
    <w:name w:val="Heading 2"/>
    <w:basedOn w:val="553"/>
    <w:next w:val="553"/>
    <w:link w:val="569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6">
    <w:name w:val="Heading 3"/>
    <w:basedOn w:val="553"/>
    <w:next w:val="553"/>
    <w:link w:val="570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7">
    <w:name w:val="Heading 4"/>
    <w:basedOn w:val="553"/>
    <w:next w:val="553"/>
    <w:link w:val="571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8">
    <w:name w:val="Heading 5"/>
    <w:basedOn w:val="553"/>
    <w:next w:val="553"/>
    <w:link w:val="572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9">
    <w:name w:val="Heading 6"/>
    <w:basedOn w:val="553"/>
    <w:next w:val="553"/>
    <w:link w:val="573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60">
    <w:name w:val="Heading 7"/>
    <w:basedOn w:val="553"/>
    <w:next w:val="553"/>
    <w:link w:val="574"/>
    <w:qFormat/>
    <w:uiPriority w:val="9"/>
    <w:semiHidden/>
    <w:unhideWhenUsed/>
    <w:pPr>
      <w:spacing w:after="60" w:before="240"/>
      <w:outlineLvl w:val="6"/>
    </w:pPr>
  </w:style>
  <w:style w:type="paragraph" w:styleId="561">
    <w:name w:val="Heading 8"/>
    <w:basedOn w:val="553"/>
    <w:next w:val="553"/>
    <w:link w:val="575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62">
    <w:name w:val="Heading 9"/>
    <w:basedOn w:val="553"/>
    <w:next w:val="553"/>
    <w:link w:val="576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Balloon Text"/>
    <w:basedOn w:val="553"/>
    <w:link w:val="567"/>
    <w:uiPriority w:val="99"/>
    <w:semiHidden/>
    <w:unhideWhenUsed/>
    <w:rPr>
      <w:rFonts w:ascii="Tahoma" w:hAnsi="Tahoma" w:cs="Tahoma"/>
      <w:sz w:val="16"/>
      <w:szCs w:val="16"/>
    </w:rPr>
  </w:style>
  <w:style w:type="character" w:styleId="567" w:customStyle="1">
    <w:name w:val="Текст выноски Знак"/>
    <w:basedOn w:val="563"/>
    <w:link w:val="566"/>
    <w:uiPriority w:val="99"/>
    <w:semiHidden/>
    <w:rPr>
      <w:rFonts w:ascii="Tahoma" w:hAnsi="Tahoma" w:cs="Tahoma"/>
      <w:sz w:val="16"/>
      <w:szCs w:val="16"/>
    </w:rPr>
  </w:style>
  <w:style w:type="character" w:styleId="568" w:customStyle="1">
    <w:name w:val="Заголовок 1 Знак"/>
    <w:basedOn w:val="563"/>
    <w:link w:val="554"/>
    <w:uiPriority w:val="9"/>
    <w:rPr>
      <w:rFonts w:ascii="Cambria" w:hAnsi="Cambria" w:eastAsia="Cambria"/>
      <w:b/>
      <w:bCs/>
      <w:sz w:val="32"/>
      <w:szCs w:val="32"/>
    </w:rPr>
  </w:style>
  <w:style w:type="character" w:styleId="569" w:customStyle="1">
    <w:name w:val="Заголовок 2 Знак"/>
    <w:basedOn w:val="563"/>
    <w:link w:val="55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70" w:customStyle="1">
    <w:name w:val="Заголовок 3 Знак"/>
    <w:basedOn w:val="563"/>
    <w:link w:val="55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71" w:customStyle="1">
    <w:name w:val="Заголовок 4 Знак"/>
    <w:basedOn w:val="563"/>
    <w:link w:val="557"/>
    <w:uiPriority w:val="9"/>
    <w:rPr>
      <w:b/>
      <w:bCs/>
      <w:sz w:val="28"/>
      <w:szCs w:val="28"/>
    </w:rPr>
  </w:style>
  <w:style w:type="character" w:styleId="572" w:customStyle="1">
    <w:name w:val="Заголовок 5 Знак"/>
    <w:basedOn w:val="563"/>
    <w:link w:val="558"/>
    <w:uiPriority w:val="9"/>
    <w:semiHidden/>
    <w:rPr>
      <w:b/>
      <w:bCs/>
      <w:i/>
      <w:iCs/>
      <w:sz w:val="26"/>
      <w:szCs w:val="26"/>
    </w:rPr>
  </w:style>
  <w:style w:type="character" w:styleId="573" w:customStyle="1">
    <w:name w:val="Заголовок 6 Знак"/>
    <w:basedOn w:val="563"/>
    <w:link w:val="559"/>
    <w:uiPriority w:val="9"/>
    <w:semiHidden/>
    <w:rPr>
      <w:b/>
      <w:bCs/>
    </w:rPr>
  </w:style>
  <w:style w:type="character" w:styleId="574" w:customStyle="1">
    <w:name w:val="Заголовок 7 Знак"/>
    <w:basedOn w:val="563"/>
    <w:link w:val="560"/>
    <w:uiPriority w:val="9"/>
    <w:semiHidden/>
    <w:rPr>
      <w:sz w:val="24"/>
      <w:szCs w:val="24"/>
    </w:rPr>
  </w:style>
  <w:style w:type="character" w:styleId="575" w:customStyle="1">
    <w:name w:val="Заголовок 8 Знак"/>
    <w:basedOn w:val="563"/>
    <w:link w:val="561"/>
    <w:uiPriority w:val="9"/>
    <w:semiHidden/>
    <w:rPr>
      <w:i/>
      <w:iCs/>
      <w:sz w:val="24"/>
      <w:szCs w:val="24"/>
    </w:rPr>
  </w:style>
  <w:style w:type="character" w:styleId="576" w:customStyle="1">
    <w:name w:val="Заголовок 9 Знак"/>
    <w:basedOn w:val="563"/>
    <w:link w:val="562"/>
    <w:uiPriority w:val="9"/>
    <w:semiHidden/>
    <w:rPr>
      <w:rFonts w:ascii="Cambria" w:hAnsi="Cambria" w:eastAsia="Cambria"/>
    </w:rPr>
  </w:style>
  <w:style w:type="paragraph" w:styleId="577">
    <w:name w:val="Title"/>
    <w:basedOn w:val="553"/>
    <w:next w:val="553"/>
    <w:link w:val="578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8" w:customStyle="1">
    <w:name w:val="Название Знак"/>
    <w:basedOn w:val="563"/>
    <w:link w:val="577"/>
    <w:uiPriority w:val="10"/>
    <w:rPr>
      <w:rFonts w:ascii="Cambria" w:hAnsi="Cambria" w:eastAsia="Cambria"/>
      <w:b/>
      <w:bCs/>
      <w:sz w:val="32"/>
      <w:szCs w:val="32"/>
    </w:rPr>
  </w:style>
  <w:style w:type="paragraph" w:styleId="579">
    <w:name w:val="Subtitle"/>
    <w:basedOn w:val="553"/>
    <w:next w:val="553"/>
    <w:link w:val="580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80" w:customStyle="1">
    <w:name w:val="Подзаголовок Знак"/>
    <w:basedOn w:val="563"/>
    <w:link w:val="579"/>
    <w:uiPriority w:val="11"/>
    <w:rPr>
      <w:rFonts w:ascii="Cambria" w:hAnsi="Cambria" w:eastAsia="Cambria"/>
      <w:sz w:val="24"/>
      <w:szCs w:val="24"/>
    </w:rPr>
  </w:style>
  <w:style w:type="character" w:styleId="581">
    <w:name w:val="Strong"/>
    <w:basedOn w:val="563"/>
    <w:qFormat/>
    <w:uiPriority w:val="22"/>
    <w:rPr>
      <w:b/>
      <w:bCs/>
    </w:rPr>
  </w:style>
  <w:style w:type="character" w:styleId="582">
    <w:name w:val="Emphasis"/>
    <w:basedOn w:val="563"/>
    <w:qFormat/>
    <w:uiPriority w:val="20"/>
    <w:rPr>
      <w:rFonts w:ascii="Calibri" w:hAnsi="Calibri"/>
      <w:b/>
      <w:i/>
      <w:iCs/>
    </w:rPr>
  </w:style>
  <w:style w:type="paragraph" w:styleId="583">
    <w:name w:val="No Spacing"/>
    <w:basedOn w:val="553"/>
    <w:qFormat/>
    <w:uiPriority w:val="1"/>
    <w:rPr>
      <w:szCs w:val="32"/>
    </w:rPr>
  </w:style>
  <w:style w:type="paragraph" w:styleId="584">
    <w:name w:val="List Paragraph"/>
    <w:basedOn w:val="553"/>
    <w:qFormat/>
    <w:uiPriority w:val="34"/>
    <w:pPr>
      <w:contextualSpacing w:val="true"/>
      <w:ind w:left="720"/>
    </w:pPr>
  </w:style>
  <w:style w:type="paragraph" w:styleId="585">
    <w:name w:val="Quote"/>
    <w:basedOn w:val="553"/>
    <w:next w:val="553"/>
    <w:link w:val="586"/>
    <w:qFormat/>
    <w:uiPriority w:val="29"/>
    <w:rPr>
      <w:i/>
    </w:rPr>
  </w:style>
  <w:style w:type="character" w:styleId="586" w:customStyle="1">
    <w:name w:val="Цитата 2 Знак"/>
    <w:basedOn w:val="563"/>
    <w:link w:val="585"/>
    <w:uiPriority w:val="29"/>
    <w:rPr>
      <w:i/>
      <w:sz w:val="24"/>
      <w:szCs w:val="24"/>
    </w:rPr>
  </w:style>
  <w:style w:type="paragraph" w:styleId="587">
    <w:name w:val="Intense Quote"/>
    <w:basedOn w:val="553"/>
    <w:next w:val="553"/>
    <w:link w:val="588"/>
    <w:qFormat/>
    <w:uiPriority w:val="30"/>
    <w:rPr>
      <w:b/>
      <w:i/>
      <w:szCs w:val="22"/>
    </w:rPr>
    <w:pPr>
      <w:ind w:left="720" w:right="720"/>
    </w:pPr>
  </w:style>
  <w:style w:type="character" w:styleId="588" w:customStyle="1">
    <w:name w:val="Выделенная цитата Знак"/>
    <w:basedOn w:val="563"/>
    <w:link w:val="587"/>
    <w:uiPriority w:val="30"/>
    <w:rPr>
      <w:b/>
      <w:i/>
      <w:sz w:val="24"/>
    </w:rPr>
  </w:style>
  <w:style w:type="character" w:styleId="589">
    <w:name w:val="Subtle Emphasis"/>
    <w:qFormat/>
    <w:uiPriority w:val="19"/>
    <w:rPr>
      <w:i/>
      <w:color w:val="5A5A5A" w:themeColor="text1" w:themeTint="A5"/>
    </w:rPr>
  </w:style>
  <w:style w:type="character" w:styleId="590">
    <w:name w:val="Intense Emphasis"/>
    <w:basedOn w:val="563"/>
    <w:qFormat/>
    <w:uiPriority w:val="21"/>
    <w:rPr>
      <w:b/>
      <w:i/>
      <w:sz w:val="24"/>
      <w:szCs w:val="24"/>
      <w:u w:val="single"/>
    </w:rPr>
  </w:style>
  <w:style w:type="character" w:styleId="591">
    <w:name w:val="Subtle Reference"/>
    <w:basedOn w:val="563"/>
    <w:qFormat/>
    <w:uiPriority w:val="31"/>
    <w:rPr>
      <w:sz w:val="24"/>
      <w:szCs w:val="24"/>
      <w:u w:val="single"/>
    </w:rPr>
  </w:style>
  <w:style w:type="character" w:styleId="592">
    <w:name w:val="Intense Reference"/>
    <w:basedOn w:val="563"/>
    <w:qFormat/>
    <w:uiPriority w:val="32"/>
    <w:rPr>
      <w:b/>
      <w:sz w:val="24"/>
      <w:u w:val="single"/>
    </w:rPr>
  </w:style>
  <w:style w:type="character" w:styleId="593">
    <w:name w:val="Book Title"/>
    <w:basedOn w:val="563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4">
    <w:name w:val="TOC Heading"/>
    <w:basedOn w:val="554"/>
    <w:next w:val="553"/>
    <w:qFormat/>
    <w:uiPriority w:val="39"/>
    <w:semiHidden/>
    <w:unhideWhenUsed/>
    <w:pPr>
      <w:outlineLvl w:val="9"/>
    </w:pPr>
  </w:style>
  <w:style w:type="table" w:styleId="595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6">
    <w:name w:val="Body Text 2"/>
    <w:basedOn w:val="553"/>
    <w:link w:val="597"/>
    <w:uiPriority w:val="99"/>
    <w:semiHidden/>
    <w:unhideWhenUsed/>
    <w:rPr>
      <w:rFonts w:ascii="Calibri" w:hAnsi="Calibri"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597" w:customStyle="1">
    <w:name w:val="Основной текст 2 Знак"/>
    <w:basedOn w:val="563"/>
    <w:link w:val="596"/>
    <w:uiPriority w:val="99"/>
    <w:semiHidden/>
    <w:rPr>
      <w:rFonts w:ascii="Calibri" w:hAnsi="Calibri" w:eastAsia="Times New Roman"/>
      <w:lang w:val="uk-UA" w:bidi="ar-SA" w:eastAsia="uk-UA"/>
    </w:rPr>
  </w:style>
  <w:style w:type="paragraph" w:styleId="598">
    <w:name w:val="Header"/>
    <w:basedOn w:val="553"/>
    <w:link w:val="599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599" w:customStyle="1">
    <w:name w:val="Верхний колонтитул Знак"/>
    <w:basedOn w:val="563"/>
    <w:link w:val="598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600">
    <w:name w:val="page number"/>
    <w:basedOn w:val="563"/>
  </w:style>
  <w:style w:type="paragraph" w:styleId="601">
    <w:name w:val="Footer"/>
    <w:basedOn w:val="553"/>
    <w:link w:val="60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02" w:customStyle="1">
    <w:name w:val="Нижний колонтитул Знак"/>
    <w:basedOn w:val="563"/>
    <w:link w:val="601"/>
    <w:uiPriority w:val="99"/>
    <w:semiHidden/>
    <w:rPr>
      <w:sz w:val="24"/>
      <w:szCs w:val="24"/>
    </w:rPr>
  </w:style>
  <w:style w:type="paragraph" w:styleId="603" w:customStyle="1">
    <w:name w:val="Default"/>
    <w:rPr>
      <w:rFonts w:ascii="Times New Roman" w:hAnsi="Times New Roman" w:eastAsia="Calibri"/>
      <w:color w:val="000000"/>
      <w:sz w:val="24"/>
      <w:szCs w:val="24"/>
      <w:lang w:val="ru-RU" w:bidi="ar-S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20</cp:revision>
  <dcterms:created xsi:type="dcterms:W3CDTF">2020-11-24T17:33:00Z</dcterms:created>
  <dcterms:modified xsi:type="dcterms:W3CDTF">2020-12-27T15:11:30Z</dcterms:modified>
</cp:coreProperties>
</file>