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885"/>
        <w:ind w:left="4678" w:right="283"/>
        <w:jc w:val="both"/>
        <w:spacing w:after="0" w:afterAutospacing="0" w:before="0" w:beforeAutospacing="0"/>
      </w:pPr>
      <w:r>
        <w:rPr>
          <w:sz w:val="21"/>
          <w:szCs w:val="21"/>
        </w:rPr>
        <w:t xml:space="preserve">Додаток 2 до рішення 2 сесії Менської міської ради</w:t>
      </w:r>
      <w:r>
        <w:rPr>
          <w:sz w:val="21"/>
          <w:szCs w:val="21"/>
        </w:rPr>
        <w:t xml:space="preserve"> 8 скликання від 23.12.2020 </w:t>
      </w:r>
      <w:r>
        <w:rPr>
          <w:sz w:val="21"/>
          <w:szCs w:val="21"/>
        </w:rPr>
        <w:t xml:space="preserve">№119 </w:t>
      </w:r>
      <w:r>
        <w:rPr>
          <w:sz w:val="21"/>
          <w:szCs w:val="21"/>
        </w:rPr>
        <w:t xml:space="preserve">«Про погодження проекту рішення «Про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</w:t>
      </w:r>
      <w:r>
        <w:rPr>
          <w:sz w:val="21"/>
          <w:szCs w:val="21"/>
        </w:rPr>
        <w:t xml:space="preserve">територіальної громади</w:t>
      </w:r>
      <w:r>
        <w:rPr>
          <w:sz w:val="21"/>
          <w:szCs w:val="21"/>
        </w:rPr>
        <w:t xml:space="preserve">»</w:t>
      </w:r>
      <w:r>
        <w:rPr>
          <w:sz w:val="21"/>
          <w:szCs w:val="21"/>
        </w:rPr>
      </w:r>
      <w:r/>
    </w:p>
    <w:p>
      <w:pPr>
        <w:ind w:left="5387" w:right="283"/>
        <w:jc w:val="both"/>
        <w:spacing w:after="0" w:afterAutospacing="0" w:before="0" w:beforeAutospacing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</w:r>
      <w:r/>
    </w:p>
    <w:p>
      <w:pPr>
        <w:jc w:val="center"/>
        <w:spacing w:after="0" w:afterAutospacing="0"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Аналіз регуляторного впливу</w:t>
      </w:r>
      <w:r/>
    </w:p>
    <w:p>
      <w:pPr>
        <w:jc w:val="both"/>
        <w:spacing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/>
          <w:sz w:val="28"/>
          <w:szCs w:val="28"/>
        </w:rPr>
        <w:t xml:space="preserve"> рішення сесії Менської міської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«Про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Положення про порядок надання земельних ділянок громадянам для ведення особистого селянського господарства за рахунок земель комунальної власності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території Менської міської територіальної громади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регуляторного </w:t>
      </w:r>
      <w:r>
        <w:rPr>
          <w:rFonts w:ascii="Times New Roman" w:hAnsi="Times New Roman" w:cs="Times New Roman"/>
          <w:sz w:val="28"/>
          <w:szCs w:val="28"/>
        </w:rPr>
        <w:t xml:space="preserve">акта</w:t>
      </w:r>
      <w:r>
        <w:rPr>
          <w:rFonts w:ascii="Times New Roman" w:hAnsi="Times New Roman" w:cs="Times New Roman"/>
          <w:sz w:val="28"/>
          <w:szCs w:val="28"/>
        </w:rPr>
        <w:t xml:space="preserve"> розроблений на виконання та дотриманням вимог Закону України «Про засади державної регуляторної політики у сфері господарської діяльності» та постанови Кабінету Міністрів України від 11.03.2004 р. №308 «Про 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методик</w:t>
      </w:r>
      <w:r>
        <w:rPr>
          <w:rFonts w:ascii="Times New Roman" w:hAnsi="Times New Roman" w:cs="Times New Roman"/>
          <w:sz w:val="28"/>
          <w:szCs w:val="28"/>
        </w:rPr>
        <w:t xml:space="preserve"> проведення аналізу впливу та відстеження результативності регуляторного </w:t>
      </w:r>
      <w:r>
        <w:rPr>
          <w:rFonts w:ascii="Times New Roman" w:hAnsi="Times New Roman" w:cs="Times New Roman"/>
          <w:sz w:val="28"/>
          <w:szCs w:val="28"/>
        </w:rPr>
        <w:t xml:space="preserve">акта</w:t>
      </w:r>
      <w:r>
        <w:rPr>
          <w:rFonts w:ascii="Times New Roman" w:hAnsi="Times New Roman" w:cs="Times New Roman"/>
          <w:sz w:val="28"/>
          <w:szCs w:val="28"/>
        </w:rPr>
        <w:t xml:space="preserve">» (надалі – Аналіз).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  <w:lang w:eastAsia="uk-UA"/>
        </w:rPr>
        <w:t xml:space="preserve">1.Визначення проблеми.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Згідно до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 xml:space="preserve">Земельним кодексом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повноваження щодо виділення земельних ділянок 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громадянам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порядку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безоплатної приватизації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відносяться до виключної компетенції сесії ради. За вимогами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Земельного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кодексу України розмір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земельної ділянки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 може перевищувати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2,0 гектарів. </w:t>
      </w:r>
      <w:r/>
    </w:p>
    <w:p>
      <w:pPr>
        <w:ind w:firstLine="708"/>
        <w:jc w:val="both"/>
        <w:spacing w:lineRule="auto" w:line="240" w:after="0" w:afterAutospacing="0" w:before="0" w:beforeAutospacing="0"/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 метою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фінансування соціально-економічного розвитку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громади є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постійна потреба 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залученні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додаткових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коштів до місцевого бюджету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саме тому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 сесіях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ради було прийнято ряд рішень щодо включення земельних ділянок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сільськогосподарського призначення комунальної власності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до переліку земель право оренди яких буде продано на торгах (аукціонах)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таким чином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значно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обмеживши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загальний банк вільних земельних ділянок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на території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t xml:space="preserve"> 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Враховуючі значний обсяг звернень громадян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більшу частину яких складають жителі громади,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щодо виділення земельних ділянок у порядку безплатної приватизації та обмежені земельні ресурси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дана ситуація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потребує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зваженого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підходу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Проблема, яку передбачається розв’язати шля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хом 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, яке розроблено відповідно до Конституції України, Земельного кодексу України,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землеустрій»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особисте селянське </w:t>
      </w:r>
      <w:r>
        <w:rPr>
          <w:rFonts w:ascii="Times New Roman" w:hAnsi="Times New Roman" w:cs="Times New Roman"/>
          <w:sz w:val="28"/>
          <w:szCs w:val="28"/>
        </w:rPr>
        <w:t xml:space="preserve">господарство», Ц</w:t>
      </w:r>
      <w:r>
        <w:rPr>
          <w:rFonts w:ascii="Times New Roman" w:hAnsi="Times New Roman" w:cs="Times New Roman"/>
          <w:sz w:val="28"/>
          <w:szCs w:val="28"/>
        </w:rPr>
        <w:t xml:space="preserve">ивільного кодексу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країни</w:t>
      </w:r>
      <w:r>
        <w:rPr>
          <w:rFonts w:ascii="Times New Roman" w:hAnsi="Times New Roman" w:cs="Times New Roman"/>
          <w:sz w:val="28"/>
          <w:szCs w:val="28"/>
        </w:rPr>
        <w:t xml:space="preserve">, Законів України «Про місцеве самоврядування», «Про основи містобудування», «Про регулювання містобудівної діяльності», Закону України «Про статус ветеранів війни, гарантії їх соціального захисту»</w:t>
      </w:r>
      <w:r>
        <w:rPr>
          <w:rFonts w:ascii="Times New Roman" w:hAnsi="Times New Roman" w:cs="Times New Roman"/>
          <w:sz w:val="28"/>
          <w:szCs w:val="28"/>
        </w:rPr>
        <w:t xml:space="preserve"> -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рівноправні та прозорі</w:t>
      </w:r>
      <w:r>
        <w:rPr>
          <w:rFonts w:ascii="Times New Roman" w:hAnsi="Times New Roman" w:cs="Times New Roman"/>
          <w:sz w:val="28"/>
          <w:szCs w:val="28"/>
        </w:rPr>
        <w:t xml:space="preserve"> умов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виділення земельних ділянок, використання їх за цільовим призначенням, забезпечення доцільного, економічного та ефективного використання і розпорядження землями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Метою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розробленого регуляторного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є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забезпечення своєчасного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Менс</w:t>
      </w:r>
      <w:r>
        <w:rPr>
          <w:rFonts w:ascii="Times New Roman" w:hAnsi="Times New Roman" w:cs="Times New Roman"/>
          <w:sz w:val="28"/>
          <w:szCs w:val="28"/>
        </w:rPr>
        <w:t xml:space="preserve">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та недопущення неконтрольованого виділення земельних ділянок.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Дія даного регуляторного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поширюється на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громадян України, які звертаються щодо виділення земельних ділянок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у порядку безоплатної приватизації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 </w:t>
      </w:r>
      <w:r/>
    </w:p>
    <w:p>
      <w:pPr>
        <w:jc w:val="both"/>
        <w:spacing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2.Визначення цілей регулювання.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Цілями запропонованого регуляторного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є: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– створення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порядку черговості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виділення громадянам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земельних ділянок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із земель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комунальної власності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у порядку безоплатної приватизації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встановлення її орієнтовної кількості (га) в межах норм чинного законодавства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;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;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– забезпечення більш повного обліку користувачів, раціонального та ефективного використання земельних ділянок;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– збільшення надходжень до міського бюджету за рахунок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сплати податку за землю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та направлення додаткових коштів 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 соціальний розвиток громади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3.Визначення та оцінка усіх прийнятних альтернативних способів досягнення встановлених цілей.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3.1. Визначення альтернативних способів: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682"/>
        <w:gridCol w:w="5663"/>
      </w:tblGrid>
      <w:tr>
        <w:trPr>
          <w:tblHeader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97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Вид альтернативи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3030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Опис альтернативи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97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1: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Збереження існуючого стану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303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Зниження показника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позитивних рішень при розгляді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більшості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звернень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громадян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 обмеження реалізації їх права та збільшення виникнення земельних спорів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97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2: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Врегулювання даного питання за допомогою ринкових механізмів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303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Дана проблема не може бути вирішена за допомогою ринкових механізмів, оскільки законодавством визначено, що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виділення земельних ділянок у порядку безоплатної приватизації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належить до повноважень органів місцевого самоврядування.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97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3: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Прийняття запропонованого проекту рішення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3030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Забезпечить вирішення проблеми. Дана альтернатива є найбільш оптимальною і прийнятною. Перевага обраного способу досягнення цілей полягає в тому, що цим регуляторним актом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передбачено задоволення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справедливої реалізації прав громадян на отримання земельної ділянки для ведення особистого селянського господарства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</w:tc>
      </w:tr>
    </w:tbl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3.2.Оцінка вибраних альтернативних способів досягнення цілей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t xml:space="preserve">Оцінка впливу на сферу інтересів органу місцевого самоврядування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338"/>
        <w:gridCol w:w="4387"/>
        <w:gridCol w:w="1620"/>
      </w:tblGrid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786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Arial" w:hAnsi="Arial" w:cs="Arial" w:eastAsia="Times New Roman"/>
                <w:sz w:val="26"/>
                <w:szCs w:val="26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 альтернативи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34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Вигоди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86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Витрати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786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1: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Збереження існуючого стану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34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Дана альтернатива є неприйнятною, так як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призведе до збільшення земельних спорів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86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Відсутні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786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2: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Врегулювання даного питання за допомогою ринкових механізмів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34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Дана проблема не може бути вирішена за допомогою ринкових механізмів, оскільки законодавством визначено, що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виділення земельних ділянок у порядку безоплатної приватизації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належить до повноважень органів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місцевого самоврядування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86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Відсутні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786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 3: Прийняття запропонованого проекту рішення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34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;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забезпечення більш повного обліку користувачів, раціонального та ефективного використання земельних ділянок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pStyle w:val="396"/>
              <w:ind w:left="58"/>
              <w:jc w:val="both"/>
              <w:spacing w:after="0" w:afterAutospacing="0"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поповнення місцевого бюджету за рахунок сплати податку за земельні ділянки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pStyle w:val="396"/>
              <w:ind w:left="58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виконання вимог чинного законодавства.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86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Відсутні</w:t>
            </w:r>
            <w:r/>
          </w:p>
        </w:tc>
      </w:tr>
    </w:tbl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t xml:space="preserve"> 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Оцінка впливу на сферу інтересів громадян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65"/>
        <w:gridCol w:w="4314"/>
        <w:gridCol w:w="1766"/>
      </w:tblGrid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74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Вид альтернативи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30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Вигоди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94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Витрати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74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1: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Збереження існуючого стану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308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Дана альтернатива є неприйнятною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враховуючи, що банк земельних ресурсів громади обмежений,   унеможливлює задоволення всіх звернень громадян щодо виділення земельних ділянок у порядку безоплатної приватизації.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94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 рівні існуючих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74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2: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Врегулювання даного питання за допомогою ринкових механізмів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308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Дана проблема не може бути вирішена за допомогою ринкових механізмів, оскільки законодавством визначено, що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виділення земельних ділянок у порядку безоплатної приватизації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належить до повноважень органів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місцевого самоврядування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94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Відсутні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74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 3: Прийняття запропонованого проекту рішення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308" w:type="pct"/>
            <w:vAlign w:val="center"/>
            <w:textDirection w:val="lrTb"/>
            <w:noWrap w:val="false"/>
          </w:tcPr>
          <w:p>
            <w:pPr>
              <w:pStyle w:val="396"/>
              <w:ind w:left="-18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реалізації прав громадян на отримання земельної ділянки для ведення особистого селянського господарства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;</w:t>
            </w:r>
            <w:r/>
          </w:p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отримання прибутку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отриманих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власність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ділянок;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передбачуваність дій влади;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945" w:type="pct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Витрати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виготовлення документації із землеустрою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пов’язані зі сплатою до міського бюджету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земельного податку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за використання земель </w:t>
            </w:r>
            <w:r/>
          </w:p>
        </w:tc>
      </w:tr>
    </w:tbl>
    <w:p>
      <w:pPr>
        <w:jc w:val="both"/>
        <w:spacing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Оцінка впливу на сферу інтересів </w:t>
      </w:r>
      <w:r>
        <w:rPr>
          <w:rFonts w:ascii="Times New Roman" w:hAnsi="Times New Roman" w:cs="Times New Roman"/>
          <w:sz w:val="28"/>
          <w:szCs w:val="28"/>
        </w:rPr>
        <w:t xml:space="preserve">суб’</w:t>
      </w:r>
      <w:r>
        <w:rPr>
          <w:rFonts w:ascii="Times New Roman" w:hAnsi="Times New Roman" w:cs="Times New Roman"/>
          <w:sz w:val="28"/>
          <w:szCs w:val="28"/>
        </w:rPr>
        <w:t xml:space="preserve">єктів господарювання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65"/>
        <w:gridCol w:w="4314"/>
        <w:gridCol w:w="1766"/>
      </w:tblGrid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74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Вид альтернативи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308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Вигоди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94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Витрати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74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1: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Збереження існуючого стану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308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земельних ділянок в користування отримання прибутку з їх використання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94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Витрати пов’язані зі сплатою орендної плати 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74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2: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Врегулювання даного питання за допомогою ринкових механізмів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308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Дана проблема не може бути вирішена за допомогою ринкових механізмів, оскільки законодавством визначено, що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виділення земельних ділянок у порядку безоплатної приватизації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належить до повноважень органів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місцевого самоврядування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94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Відсутні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747" w:type="pct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 3: Прийняття запропонованого проекту рішення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308" w:type="pct"/>
            <w:vAlign w:val="center"/>
            <w:textDirection w:val="lrTb"/>
            <w:noWrap w:val="false"/>
          </w:tcPr>
          <w:p>
            <w:pPr>
              <w:jc w:val="both"/>
              <w:spacing w:after="0" w:afterAutospacing="0"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тримання земельних ділянок в користування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участі у торгах (аукціонах)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отримання прибутку з їх використання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передбачуваність дій влади;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945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Витрати пов’язані зі сплатою громадянам орендної плати за використання земель приватної власності</w:t>
            </w:r>
            <w:r/>
          </w:p>
        </w:tc>
      </w:tr>
    </w:tbl>
    <w:p>
      <w:pPr>
        <w:jc w:val="both"/>
        <w:spacing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Оцінюючи визначені альтернативи слід зазначити, що перша альтернатива є прийнятною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лише для </w:t>
      </w:r>
      <w:r>
        <w:rPr>
          <w:rFonts w:ascii="Times New Roman" w:hAnsi="Times New Roman" w:cs="Times New Roman"/>
          <w:sz w:val="28"/>
          <w:szCs w:val="28"/>
        </w:rPr>
        <w:t xml:space="preserve">суб’</w:t>
      </w:r>
      <w:r>
        <w:rPr>
          <w:rFonts w:ascii="Times New Roman" w:hAnsi="Times New Roman" w:cs="Times New Roman"/>
          <w:sz w:val="28"/>
          <w:szCs w:val="28"/>
        </w:rPr>
        <w:t xml:space="preserve">єктів господарювання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Інтереси більшості громадян будуть не задоволені, оскільки враховуючи обмежені земель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 ресурси Менської міської громади, лише малий відсоток громадян зможе скористатися безоплатною приватизацією землі. Це в свою чергу тягне за собою масове виникнення земельних спорів та частково порушення прав громадян України.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У разі не прийняття органом місцевого самоврядування цього рішення,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земельні ділянки для ведення особистого селянського господарства у порядку безоплатної приватизації будуть виділятися відповідно до норм діючого законодавства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Прийняття міською радою за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пропонованого регуляторного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дасть можливість вирішити визначені проблеми при дотриманні норм чинного законодавства України, в найбільш короткий термін, з найменшими витратами.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4.Вибір найбільш оптимального альтернативного способу досягнення цілей.</w:t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uk-UA"/>
        </w:rPr>
        <w:t xml:space="preserve">Вибір оптимального альтернативного способу досягнення цілей здійснено з урахуванням системи бальної оцінки ступеня досягнення визначених цілей.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Рейтинг результативності (досягнення цілей під час вирішення проблеми)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Бал результативності</w:t>
            </w:r>
            <w:r/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(за 4-бальною системою оцінки)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Коментарі щодо присвоєння відповідного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бала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1: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Збереження існуючого стану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2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Важливі аспекти проблеми існуватимуть далі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2: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Врегулювання даного питання за допомогою ринкових механізмів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Цілі прийняття регуляторного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 які не можуть бути досягнуті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 3: Прийняття запропонованого проекту рішення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4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66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Цілі регуляторного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 які можуть бути досягнуті повною мірою</w:t>
            </w:r>
            <w:r/>
          </w:p>
        </w:tc>
      </w:tr>
    </w:tbl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Регуляторний акт, що пропонується прийняти, зачіпає інтереси усіх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громадян, які бажають скористатися правом безоплатної приватизації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земельних ділянок комунальної власності,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орендарів, а також Менської міської територіальної громади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.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 наведених нижче таблицях пропонуються вигоди, а також витрати, які очікуються внаслідок застосування запропонованого регуляторного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>
        <w:trPr>
          <w:tblHeader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Рейтинг результативності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Вигоди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(підсумки)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Витрати (підсумки)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Обґрунтування відповідного місця альтернативи в рейтингу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1: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Збереження існуючого стану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відсутні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 рівні існуючих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Проблема продовжує існувати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2: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Врегулювання даного питання за допомогою ринкових механізмів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відсутні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відсутні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Цілі прийняття регуляторного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 які не можуть бути досягнуті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 3: Прийняття запропонованого проекту рішення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господарства;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забезпечення більш повного обліку користувачів, раціонального та ефективного використання земельних ділянок;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збільшення надходжень до міського бюджету за рахунок сплати податку за землю та направлення додаткових кош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тів на соціальний розвиток громади.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 рівні існуючих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Цілі регуляторного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, які можуть бути досягнуті повною мірою</w:t>
            </w:r>
            <w:r/>
          </w:p>
        </w:tc>
      </w:tr>
    </w:tbl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uk-UA"/>
        </w:rPr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24"/>
        <w:gridCol w:w="4259"/>
        <w:gridCol w:w="2162"/>
      </w:tblGrid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56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Рейтинг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27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Аргументи щодо переваги обраної альтернативи/причини відмови від альтернативи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15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Оцінка ризику зовнішніх чинників на дію запропонованого регуляторного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акта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564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1: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Збереження існуючого стану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279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Не прийнятна / не вирішує порушеного питання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15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Зовнішні чинники відсутні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564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 2: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Врегулювання даного питання за допомогою ринкових механізмів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279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Не прийнята / відсутні ринкові механізми для вирішення даної проблеми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15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Зовнішні чинники відсутні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564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Альтернатива 3: Прийняття запропонованого проекту рішення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279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Єдина можли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ва альтернатива, яка забезпечує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господарства;</w:t>
            </w:r>
            <w:r/>
          </w:p>
          <w:p>
            <w:pPr>
              <w:pStyle w:val="396"/>
              <w:numPr>
                <w:ilvl w:val="0"/>
                <w:numId w:val="12"/>
              </w:numPr>
              <w:ind w:left="42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направлення додаткових коштів на соціальний розвиток громади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;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157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Зовнішні чинники відсутні</w:t>
            </w:r>
            <w:r/>
          </w:p>
        </w:tc>
      </w:tr>
    </w:tbl>
    <w:p>
      <w:pPr>
        <w:ind w:firstLine="28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Для реалізації обрано Альтернативу 3 – прийняття запропонованого проекту рішення, тобто встановлення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обґрунтованого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порядку черговості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виділення громадянам земельних ділянок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із земель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комунальної власності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у порядку безоплатної приватизації та встановлення її орієнтовної кількості (га) в межах норм чинного законодавства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які будуть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задовільними для громадян, суб’єктів господарювання та органу місцевого самоврядування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Задекларовані цілі прийняття регуляторного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будуть досягнуті повною мірою.</w:t>
      </w:r>
      <w:r/>
    </w:p>
    <w:p>
      <w:pPr>
        <w:ind w:firstLine="28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Прийняття такого рішення відповідає вимогам чинного законодавства,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та надає змогу вирішити ряд проблемних питань у сфері раціонального розподілу наявних у Менській міській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територіальній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громаді земельних ресурсів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5. Механізми та заходи, які забезпечать розв’язання визначеної проблеми шляхом прийняття запропонованого регуляторного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Реалізація запропонованого регулювання здійснюється шляхом впровадження наступних заходів:</w:t>
      </w:r>
      <w:r/>
    </w:p>
    <w:p>
      <w:pPr>
        <w:numPr>
          <w:ilvl w:val="0"/>
          <w:numId w:val="8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прийняття місцевого нормативного документу, який в рамках чинного законодавства дає можливість удосконалити і зробити прозорим порядок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отримання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земельних ділянок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громадянами для ведення особистого селянського господарства у рамках безоплатної приватизації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;</w:t>
      </w:r>
      <w:r/>
    </w:p>
    <w:p>
      <w:pPr>
        <w:numPr>
          <w:ilvl w:val="0"/>
          <w:numId w:val="8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забезпечення прозорості і вільного доступу до інформації щодо визначення розміру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орієнтовної площі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із вільних земель комунальної власності, які можуть бути передані громадянам у власність на безоплатній основі.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6. Визначення очікуваних результатів прийняття запропонованого регуляторного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 результатами прийняття регуляторного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має бути досягнуто цілей, передбачених у розділі 2 цього Аналізу.</w:t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36"/>
        <w:gridCol w:w="3871"/>
        <w:gridCol w:w="2738"/>
      </w:tblGrid>
      <w:tr>
        <w:trPr>
          <w:tblHeader/>
        </w:trPr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46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Групи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071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Вигоди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46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uk-UA"/>
              </w:rPr>
              <w:t xml:space="preserve">Витрати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464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Органи місцевого самоврядування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071" w:type="pct"/>
            <w:vAlign w:val="center"/>
            <w:textDirection w:val="lrTb"/>
            <w:noWrap w:val="false"/>
          </w:tcPr>
          <w:p>
            <w:pPr>
              <w:ind w:left="-57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задоволення потреб територіальної громади та справедливої реалізації прав громадян на отримання земельної ділянки для ведення особистого селянського господарства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;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забезпечення більш повного обліку користувачів, раціонального та ефективного використання земельних ділянок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;</w:t>
            </w:r>
            <w:r/>
          </w:p>
          <w:p>
            <w:pPr>
              <w:pStyle w:val="396"/>
              <w:ind w:left="58"/>
              <w:jc w:val="both"/>
              <w:spacing w:after="0" w:afterAutospacing="0"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поповнення місцевого бюджету за рахунок сплати податку за земельні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виконання вимог чинного законодавства.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465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Відсутні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464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Суб’єкти господарювання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071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отримання земельних ділянок в користування без участі 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земельних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торгах (аукціонах) отрим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ання прибутку з їх використання;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передбачуваність дій влади;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 прогнозування умов господарювання і витрат, зумовлених використанням земель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приватної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власності.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465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Витрати пов’язані зі сплатою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громадянам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орендної плати за використання земель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приватно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ї власності</w:t>
            </w:r>
            <w:r/>
          </w:p>
        </w:tc>
      </w:tr>
      <w:tr>
        <w:trPr/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464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Громадяни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2071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реалізації прав громадян на отримання земельної ділянки для ведення особистого селянського господарства;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отримання прибутку з  використання отриманих у власність земельних ділянок;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 передбачуваність дій влади;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– прогнозування умов господарювання і витрат, зумовлених використанням земель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приватної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власності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;</w:t>
            </w:r>
            <w:r/>
          </w:p>
        </w:tc>
        <w:tc>
          <w:tcPr>
            <w:tcMar>
              <w:left w:w="150" w:type="dxa"/>
              <w:top w:w="150" w:type="dxa"/>
              <w:right w:w="150" w:type="dxa"/>
              <w:bottom w:w="150" w:type="dxa"/>
            </w:tcMar>
            <w:tcW w:w="1465" w:type="pct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Витрати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виготовлення документації із землеустрою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пов’язані зі сплатою до міського бюджету земельного податку за використання земель</w:t>
            </w:r>
            <w:r/>
          </w:p>
        </w:tc>
      </w:tr>
    </w:tbl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Arial" w:hAnsi="Arial" w:cs="Arial" w:eastAsia="Times New Roman"/>
          <w:sz w:val="26"/>
          <w:szCs w:val="26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lang w:eastAsia="uk-UA"/>
        </w:rPr>
        <w:t xml:space="preserve">7.Обгрунтування запропонованого строку дії регуляторного 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lang w:eastAsia="uk-UA"/>
        </w:rPr>
        <w:t xml:space="preserve">.</w:t>
      </w:r>
      <w:r/>
    </w:p>
    <w:p>
      <w:pPr>
        <w:ind w:firstLine="28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Строк дії цього регуляторного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встановлюється на необмежений строк з моменту набрання чинності, оскільки необхідність виконання норм регуляторного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є постійною. Може бути переглян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утим у разі зміни законодавства.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  <w:lang w:eastAsia="uk-UA"/>
        </w:rPr>
        <w:t xml:space="preserve">8.Визначення показників результативності регуляторного 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lang w:eastAsia="uk-UA"/>
        </w:rPr>
        <w:t xml:space="preserve">.</w:t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uk-UA"/>
        </w:rPr>
        <w:t xml:space="preserve">Показниками результативності регуляторного </w:t>
      </w:r>
      <w:r>
        <w:rPr>
          <w:rFonts w:ascii="Times New Roman" w:hAnsi="Times New Roman" w:cs="Times New Roman" w:eastAsia="Times New Roman"/>
          <w:b/>
          <w:sz w:val="26"/>
          <w:szCs w:val="26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b/>
          <w:sz w:val="26"/>
          <w:szCs w:val="26"/>
          <w:lang w:eastAsia="uk-UA"/>
        </w:rPr>
        <w:t xml:space="preserve"> є:</w:t>
      </w:r>
      <w:r/>
    </w:p>
    <w:p>
      <w:pPr>
        <w:numPr>
          <w:ilvl w:val="0"/>
          <w:numId w:val="9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Підвищення показника позитивних рішень при розгляді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звернень громадян;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numPr>
          <w:ilvl w:val="0"/>
          <w:numId w:val="9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справедлива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реалізації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права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більшості громадян на безоплатну приватизацію земельної ділянки для ведення особистого селянського господарства;</w:t>
      </w:r>
      <w:r/>
    </w:p>
    <w:p>
      <w:pPr>
        <w:numPr>
          <w:ilvl w:val="0"/>
          <w:numId w:val="9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відсутність  або значне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зменшення виникнення земельних спорів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;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4472C4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Рівень поінформованості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громадян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– високий, оскільки проект регуляторного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та аналіз регуляторного впливу офіційно оприлюднені на веб-сайті Менської міської ради: </w:t>
      </w:r>
      <w:r>
        <w:rPr>
          <w:rFonts w:ascii="Times New Roman" w:hAnsi="Times New Roman" w:cs="Times New Roman"/>
          <w:color w:val="4472C4" w:themeColor="accent5"/>
          <w:sz w:val="28"/>
          <w:szCs w:val="28"/>
          <w:u w:val="single"/>
        </w:rPr>
        <w:t xml:space="preserve">http://mena.cg.gov.ua</w:t>
      </w:r>
      <w:r/>
    </w:p>
    <w:p>
      <w:pPr>
        <w:spacing w:lineRule="auto" w:line="240" w:after="0" w:afterAutospacing="0" w:before="0" w:beforeAutospacing="0"/>
        <w:rPr>
          <w:rFonts w:ascii="Arial" w:hAnsi="Arial" w:cs="Arial" w:eastAsia="Times New Roman"/>
          <w:sz w:val="26"/>
          <w:szCs w:val="26"/>
          <w:lang w:eastAsia="uk-UA"/>
        </w:rPr>
      </w:pPr>
      <w:r>
        <w:rPr>
          <w:rFonts w:ascii="Arial" w:hAnsi="Arial" w:cs="Arial" w:eastAsia="Times New Roman"/>
          <w:sz w:val="26"/>
          <w:szCs w:val="26"/>
          <w:lang w:eastAsia="uk-UA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6"/>
          <w:szCs w:val="26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  <w:lang w:eastAsia="uk-UA"/>
        </w:rPr>
        <w:t xml:space="preserve">9. Заходи за допомогою яких буде здійснюватися відстеження результативності регуляторного 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lang w:eastAsia="uk-UA"/>
        </w:rPr>
        <w:t xml:space="preserve">.</w:t>
      </w:r>
      <w:r/>
    </w:p>
    <w:p>
      <w:pPr>
        <w:jc w:val="both"/>
        <w:spacing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Базове відстеження результативності регуляторного </w:t>
      </w:r>
      <w:r>
        <w:rPr>
          <w:rFonts w:ascii="Times New Roman" w:hAnsi="Times New Roman" w:cs="Times New Roman"/>
          <w:sz w:val="28"/>
          <w:szCs w:val="28"/>
        </w:rPr>
        <w:t xml:space="preserve">акта</w:t>
      </w:r>
      <w:r>
        <w:rPr>
          <w:rFonts w:ascii="Times New Roman" w:hAnsi="Times New Roman" w:cs="Times New Roman"/>
          <w:sz w:val="28"/>
          <w:szCs w:val="28"/>
        </w:rPr>
        <w:t xml:space="preserve"> буде здійснюватися до дня набрання чинності цим актом шляхом збору зауважень і пропозицій фізичних та юридичних осіб у встановлений Законом України “Про засади державної регуляторної політики у сфері господарської діяльності”</w:t>
      </w:r>
      <w:r>
        <w:rPr>
          <w:rFonts w:ascii="Times New Roman" w:hAnsi="Times New Roman" w:cs="Times New Roman"/>
          <w:sz w:val="28"/>
          <w:szCs w:val="28"/>
        </w:rPr>
        <w:t xml:space="preserve"> у місячний</w:t>
      </w:r>
      <w:r>
        <w:rPr>
          <w:rFonts w:ascii="Times New Roman" w:hAnsi="Times New Roman" w:cs="Times New Roman"/>
          <w:sz w:val="28"/>
          <w:szCs w:val="28"/>
        </w:rPr>
        <w:t xml:space="preserve"> термін та їх аналізу. У разі виявлення неврегульованих та проблемних питань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ці питання будуть врег</w:t>
      </w:r>
      <w:r>
        <w:rPr>
          <w:rFonts w:ascii="Times New Roman" w:hAnsi="Times New Roman" w:cs="Times New Roman"/>
          <w:sz w:val="28"/>
          <w:szCs w:val="28"/>
        </w:rPr>
        <w:t xml:space="preserve">ульовані шляхом внесення до </w:t>
      </w:r>
      <w:r>
        <w:rPr>
          <w:rFonts w:ascii="Times New Roman" w:hAnsi="Times New Roman" w:cs="Times New Roman"/>
          <w:sz w:val="28"/>
          <w:szCs w:val="28"/>
        </w:rPr>
        <w:t xml:space="preserve">проє</w:t>
      </w:r>
      <w:r>
        <w:rPr>
          <w:rFonts w:ascii="Times New Roman" w:hAnsi="Times New Roman" w:cs="Times New Roman"/>
          <w:sz w:val="28"/>
          <w:szCs w:val="28"/>
        </w:rPr>
        <w:t xml:space="preserve">кту</w:t>
      </w:r>
      <w:r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r>
        <w:rPr>
          <w:rFonts w:ascii="Times New Roman" w:hAnsi="Times New Roman" w:cs="Times New Roman"/>
          <w:sz w:val="28"/>
          <w:szCs w:val="28"/>
        </w:rPr>
        <w:t xml:space="preserve">акта</w:t>
      </w:r>
      <w:r>
        <w:rPr>
          <w:rFonts w:ascii="Times New Roman" w:hAnsi="Times New Roman" w:cs="Times New Roman"/>
          <w:sz w:val="28"/>
          <w:szCs w:val="28"/>
        </w:rPr>
        <w:t xml:space="preserve"> відповідних змін.</w:t>
      </w:r>
      <w:r/>
    </w:p>
    <w:p>
      <w:pPr>
        <w:jc w:val="both"/>
        <w:spacing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Повторне відстеження планується здійснити через рік після набуття чинності рег</w:t>
      </w:r>
      <w:r>
        <w:rPr>
          <w:rFonts w:ascii="Times New Roman" w:hAnsi="Times New Roman" w:cs="Times New Roman"/>
          <w:sz w:val="28"/>
          <w:szCs w:val="28"/>
        </w:rPr>
        <w:t xml:space="preserve">уляторним актом, в результаті якого відбудеться порівняння показників базового та повторного відстеження. У разі надходження пропозицій та зауважень або у разі виявлення неврегульованих та проблемних питань шляхом аналізу показників результативності цього </w:t>
      </w:r>
      <w:r>
        <w:rPr>
          <w:rFonts w:ascii="Times New Roman" w:hAnsi="Times New Roman" w:cs="Times New Roman"/>
          <w:sz w:val="28"/>
          <w:szCs w:val="28"/>
        </w:rPr>
        <w:t xml:space="preserve">акта</w:t>
      </w:r>
      <w:r>
        <w:rPr>
          <w:rFonts w:ascii="Times New Roman" w:hAnsi="Times New Roman" w:cs="Times New Roman"/>
          <w:sz w:val="28"/>
          <w:szCs w:val="28"/>
        </w:rPr>
        <w:t xml:space="preserve">, вони будуть обговорені та скориговані.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цінка ефективності запропонованого регуляторного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буде здійснена за підсумками проведення базового, повторного та періодичного відстеження результативності регуляторного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spacing w:lineRule="auto" w:line="240" w:after="0" w:afterAutospacing="0" w:before="0" w:beforeAutospacing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Начальник відділу земельних відносин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ab/>
        <w:t xml:space="preserve">П.О.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Терентієв</w:t>
      </w:r>
      <w:r/>
    </w:p>
    <w:p>
      <w:pPr>
        <w:jc w:val="both"/>
        <w:spacing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 w:before="0" w:before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ПОВІДОМЛЕННЯ ПРО ОПРИЛЮДНЕННЯ</w:t>
      </w:r>
      <w:r/>
    </w:p>
    <w:p>
      <w:pPr>
        <w:jc w:val="both"/>
        <w:spacing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забезпечення якісного та своєчасного надання земельних ділянок громадянам для ведення  особистого селянського господарства  за рахунок земель комунальної власності на території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міської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територіальної громади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виносить на публічне обг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оворення регуляторний акт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 «Про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Положення про порядок надання земельних ділянок громадянам для ведення особистого селянського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господарства за рахунок земель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комунальної власності на території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аналіз регуляторного впливу.</w:t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20" w:hanging="360"/>
      </w:pPr>
      <w:rPr>
        <w:rFonts w:ascii="Times New Roman" w:hAnsi="Times New Roman" w:cs="Times New Roman" w:eastAsia="Calibri" w:hint="default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32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9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5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74" w:hanging="360"/>
      </w:pPr>
      <w:rPr>
        <w:rFonts w:ascii="Times New Roman" w:hAnsi="Times New Roman" w:cs="Times New Roman" w:eastAsia="Calibri" w:hint="default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3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9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92"/>
    <w:next w:val="39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9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2"/>
    <w:next w:val="39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2"/>
    <w:next w:val="39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2"/>
    <w:next w:val="39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2"/>
    <w:next w:val="39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2"/>
    <w:next w:val="39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2"/>
    <w:next w:val="39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2"/>
    <w:next w:val="39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2"/>
    <w:next w:val="39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2"/>
    <w:next w:val="39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3"/>
    <w:link w:val="32"/>
    <w:uiPriority w:val="10"/>
    <w:rPr>
      <w:sz w:val="48"/>
      <w:szCs w:val="48"/>
    </w:rPr>
  </w:style>
  <w:style w:type="paragraph" w:styleId="34">
    <w:name w:val="Subtitle"/>
    <w:basedOn w:val="392"/>
    <w:next w:val="39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3"/>
    <w:link w:val="34"/>
    <w:uiPriority w:val="11"/>
    <w:rPr>
      <w:sz w:val="24"/>
      <w:szCs w:val="24"/>
    </w:rPr>
  </w:style>
  <w:style w:type="paragraph" w:styleId="36">
    <w:name w:val="Quote"/>
    <w:basedOn w:val="392"/>
    <w:next w:val="39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2"/>
    <w:next w:val="39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3"/>
    <w:link w:val="40"/>
    <w:uiPriority w:val="99"/>
  </w:style>
  <w:style w:type="paragraph" w:styleId="42">
    <w:name w:val="Footer"/>
    <w:basedOn w:val="39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3"/>
    <w:link w:val="42"/>
    <w:uiPriority w:val="99"/>
  </w:style>
  <w:style w:type="table" w:styleId="44">
    <w:name w:val="Table Grid"/>
    <w:basedOn w:val="39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3"/>
    <w:uiPriority w:val="99"/>
    <w:unhideWhenUsed/>
    <w:rPr>
      <w:vertAlign w:val="superscript"/>
    </w:rPr>
  </w:style>
  <w:style w:type="paragraph" w:styleId="174">
    <w:name w:val="toc 1"/>
    <w:basedOn w:val="392"/>
    <w:next w:val="39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2"/>
    <w:next w:val="39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2"/>
    <w:next w:val="39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2"/>
    <w:next w:val="39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2"/>
    <w:next w:val="39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2"/>
    <w:next w:val="39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2"/>
    <w:next w:val="39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2"/>
    <w:next w:val="39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2"/>
    <w:next w:val="39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2" w:default="1">
    <w:name w:val="Normal"/>
    <w:qFormat/>
  </w:style>
  <w:style w:type="character" w:styleId="393" w:default="1">
    <w:name w:val="Default Paragraph Font"/>
    <w:uiPriority w:val="1"/>
    <w:semiHidden/>
    <w:unhideWhenUsed/>
  </w:style>
  <w:style w:type="table" w:styleId="3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5" w:default="1">
    <w:name w:val="No List"/>
    <w:uiPriority w:val="99"/>
    <w:semiHidden/>
    <w:unhideWhenUsed/>
  </w:style>
  <w:style w:type="paragraph" w:styleId="396">
    <w:name w:val="List Paragraph"/>
    <w:basedOn w:val="392"/>
    <w:qFormat/>
    <w:uiPriority w:val="34"/>
    <w:pPr>
      <w:contextualSpacing w:val="true"/>
      <w:ind w:left="720"/>
    </w:pPr>
  </w:style>
  <w:style w:type="paragraph" w:styleId="1_885">
    <w:name w:val="Обычный"/>
    <w:next w:val="597"/>
    <w:link w:val="597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СТАЛЬНИЧЕНКО Юрій Валерійович</cp:lastModifiedBy>
  <cp:revision>58</cp:revision>
  <dcterms:created xsi:type="dcterms:W3CDTF">2020-11-04T10:47:00Z</dcterms:created>
  <dcterms:modified xsi:type="dcterms:W3CDTF">2020-12-26T16:24:34Z</dcterms:modified>
</cp:coreProperties>
</file>