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286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4" cy="628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49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rPr>
          <w:b/>
          <w:sz w:val="28"/>
          <w:szCs w:val="32"/>
        </w:rPr>
      </w:pPr>
      <w:r>
        <w:rPr>
          <w:sz w:val="28"/>
          <w:szCs w:val="28"/>
          <w:lang w:eastAsia="ar-SA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  <w:lang w:eastAsia="ar-SA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(перша сесія восьмого скликання)</w:t>
      </w:r>
      <w:r>
        <w:rPr>
          <w:sz w:val="28"/>
        </w:rPr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РІШЕННЯ</w:t>
      </w:r>
      <w:r>
        <w:rPr>
          <w:sz w:val="28"/>
        </w:rPr>
      </w:r>
      <w:r>
        <w:rPr>
          <w:b/>
          <w:bCs/>
          <w:sz w:val="28"/>
          <w:szCs w:val="28"/>
          <w:lang w:eastAsia="ar-SA"/>
        </w:rPr>
      </w:r>
      <w:r>
        <w:rPr>
          <w:sz w:val="28"/>
        </w:rPr>
      </w:r>
    </w:p>
    <w:p>
      <w:pPr>
        <w:tabs>
          <w:tab w:val="left" w:pos="4535" w:leader="none"/>
        </w:tabs>
        <w:rPr>
          <w:b w:val="false"/>
          <w:sz w:val="28"/>
        </w:rPr>
      </w:pPr>
      <w:r>
        <w:rPr>
          <w:b w:val="false"/>
          <w:bCs/>
          <w:sz w:val="28"/>
          <w:szCs w:val="28"/>
          <w:lang w:eastAsia="ar-SA"/>
        </w:rPr>
        <w:t xml:space="preserve">16 грудня 2020 року </w:t>
      </w:r>
      <w:r>
        <w:rPr>
          <w:b w:val="false"/>
          <w:bCs/>
          <w:sz w:val="28"/>
          <w:szCs w:val="28"/>
          <w:lang w:eastAsia="ar-SA"/>
        </w:rPr>
        <w:tab/>
        <w:t xml:space="preserve">№ 21</w:t>
      </w:r>
      <w:r>
        <w:rPr>
          <w:b w:val="false"/>
          <w:sz w:val="28"/>
        </w:rPr>
      </w:r>
    </w:p>
    <w:p>
      <w:pPr>
        <w:ind w:right="4923"/>
        <w:rPr>
          <w:sz w:val="28"/>
        </w:rPr>
      </w:pPr>
      <w:r>
        <w:rPr>
          <w:sz w:val="28"/>
          <w:lang w:eastAsia="ar-SA"/>
        </w:rPr>
      </w:r>
      <w:r>
        <w:rPr>
          <w:sz w:val="28"/>
        </w:rPr>
      </w:r>
    </w:p>
    <w:p>
      <w:pPr>
        <w:numPr>
          <w:ilvl w:val="3"/>
          <w:numId w:val="0"/>
        </w:numPr>
        <w:ind w:right="4719"/>
        <w:jc w:val="both"/>
        <w:keepNext/>
        <w:tabs>
          <w:tab w:val="left" w:pos="0" w:leader="none"/>
          <w:tab w:val="left" w:pos="27" w:leader="none"/>
        </w:tabs>
        <w:rPr>
          <w:b/>
          <w:color w:val="000000"/>
          <w:sz w:val="28"/>
          <w:szCs w:val="28"/>
        </w:rPr>
        <w:outlineLvl w:val="1"/>
      </w:pPr>
      <w:r>
        <w:rPr>
          <w:b/>
          <w:sz w:val="28"/>
          <w:szCs w:val="28"/>
          <w:lang w:eastAsia="ar-SA"/>
        </w:rPr>
        <w:t xml:space="preserve">Про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внесення змін до «</w:t>
      </w:r>
      <w:r>
        <w:rPr>
          <w:b/>
          <w:color w:val="000000"/>
          <w:sz w:val="28"/>
          <w:szCs w:val="28"/>
          <w:lang w:eastAsia="ar-SA"/>
        </w:rPr>
        <w:t xml:space="preserve">Програми відшкодування різниці в тарифах на послуги з централізованого водовідведення для населення по Менській міській ОТГ на 2020 рік</w:t>
      </w:r>
      <w:r>
        <w:rPr>
          <w:b/>
          <w:sz w:val="28"/>
          <w:szCs w:val="28"/>
          <w:lang w:eastAsia="ar-SA"/>
        </w:rPr>
        <w:t xml:space="preserve">» </w:t>
      </w:r>
      <w:r>
        <w:rPr>
          <w:sz w:val="28"/>
        </w:rPr>
      </w:r>
    </w:p>
    <w:p>
      <w:pPr>
        <w:ind w:right="492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pStyle w:val="585"/>
        <w:ind w:left="0" w:firstLine="708"/>
        <w:jc w:val="both"/>
        <w:rPr>
          <w:sz w:val="28"/>
          <w:szCs w:val="24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  <w:t xml:space="preserve">Розглянувши</w:t>
      </w:r>
      <w:r>
        <w:rPr>
          <w:sz w:val="28"/>
          <w:szCs w:val="28"/>
          <w:lang w:eastAsia="ar-SA"/>
        </w:rPr>
        <w:t xml:space="preserve"> звернення </w:t>
      </w:r>
      <w:r>
        <w:rPr>
          <w:sz w:val="28"/>
          <w:szCs w:val="28"/>
          <w:lang w:eastAsia="ar-SA"/>
        </w:rPr>
        <w:t xml:space="preserve">директора ТОВ «Менський комунальник»</w:t>
      </w:r>
      <w:r>
        <w:rPr>
          <w:sz w:val="28"/>
          <w:szCs w:val="28"/>
          <w:lang w:eastAsia="ar-SA"/>
        </w:rPr>
        <w:t xml:space="preserve"> щодо необхідності </w:t>
      </w:r>
      <w:r>
        <w:rPr>
          <w:sz w:val="28"/>
          <w:szCs w:val="28"/>
          <w:lang w:eastAsia="ar-SA"/>
        </w:rPr>
        <w:t xml:space="preserve">відшкодування різниці в тарифах на послуги з централізованого водовідведення на період</w:t>
      </w:r>
      <w:r>
        <w:rPr>
          <w:sz w:val="28"/>
          <w:szCs w:val="28"/>
          <w:lang w:eastAsia="ar-SA"/>
        </w:rPr>
        <w:t xml:space="preserve"> з вересня по грудень 2020 року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керуючись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ст. 26</w:t>
      </w:r>
      <w:r>
        <w:rPr>
          <w:sz w:val="28"/>
          <w:szCs w:val="28"/>
          <w:lang w:eastAsia="ar-SA"/>
        </w:rPr>
        <w:t xml:space="preserve"> Закону України “Про місцеве самоврядування в Україні”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4"/>
        </w:rPr>
        <w:t xml:space="preserve"> Менська міська рада</w:t>
      </w:r>
      <w:r>
        <w:rPr>
          <w:sz w:val="28"/>
        </w:rPr>
      </w:r>
    </w:p>
    <w:p>
      <w:pPr>
        <w:jc w:val="both"/>
        <w:spacing w:after="120"/>
        <w:rPr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4"/>
        </w:rPr>
        <w:t xml:space="preserve">В И Р І Ш И ЛА:</w:t>
      </w: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Внести слідуючі</w:t>
      </w:r>
      <w:r>
        <w:rPr>
          <w:sz w:val="28"/>
          <w:szCs w:val="28"/>
          <w:lang w:eastAsia="ar-SA"/>
        </w:rPr>
        <w:t xml:space="preserve"> змін</w:t>
      </w:r>
      <w:r>
        <w:rPr>
          <w:sz w:val="28"/>
          <w:szCs w:val="28"/>
          <w:lang w:eastAsia="ar-SA"/>
        </w:rPr>
        <w:t xml:space="preserve">и</w:t>
      </w:r>
      <w:r>
        <w:rPr>
          <w:sz w:val="28"/>
          <w:szCs w:val="28"/>
          <w:lang w:eastAsia="ar-SA"/>
        </w:rPr>
        <w:t xml:space="preserve"> до </w:t>
      </w:r>
      <w:r>
        <w:rPr>
          <w:sz w:val="28"/>
          <w:szCs w:val="28"/>
          <w:lang w:eastAsia="ar-SA"/>
        </w:rPr>
        <w:t xml:space="preserve">«</w:t>
      </w:r>
      <w:r>
        <w:rPr>
          <w:color w:val="000000"/>
          <w:sz w:val="28"/>
          <w:szCs w:val="28"/>
          <w:lang w:eastAsia="ar-SA"/>
        </w:rPr>
        <w:t xml:space="preserve">Програми відшкодування різниці в тарифах на послуги з централізованого водовідведення для населення по Менській міській ОТГ на 2020 рік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: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Підрозділ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4) Виділення з бюджету ОТГ коштів для компенсації різниці в тарифах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uk-UA"/>
        </w:rPr>
        <w:t xml:space="preserve">Розділу </w:t>
      </w:r>
      <w:r>
        <w:rPr>
          <w:b/>
          <w:sz w:val="28"/>
          <w:szCs w:val="28"/>
          <w:lang w:eastAsia="uk-UA"/>
        </w:rPr>
        <w:t xml:space="preserve">1.4. Шляхи і засоби розв’язання проблеми, обсяги та джерела  фінансування</w:t>
      </w:r>
      <w:r>
        <w:rPr>
          <w:sz w:val="28"/>
          <w:szCs w:val="28"/>
          <w:lang w:eastAsia="uk-UA"/>
        </w:rPr>
        <w:t xml:space="preserve"> викласти в наступній редакції:</w:t>
      </w:r>
      <w:r>
        <w:rPr>
          <w:sz w:val="28"/>
        </w:rPr>
      </w:r>
    </w:p>
    <w:p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851"/>
        <w:jc w:val="both"/>
        <w:spacing w:lineRule="atLeast" w:line="293" w:after="105"/>
        <w:shd w:val="clear" w:color="auto" w:fill="FFFFFF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Ця альтернатива є прийнятною, тому що запропоноване рішення є найбільш збалансо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ваним.</w:t>
      </w:r>
      <w:r>
        <w:rPr>
          <w:sz w:val="28"/>
        </w:rPr>
      </w:r>
    </w:p>
    <w:p>
      <w:pPr>
        <w:ind w:firstLine="851"/>
        <w:jc w:val="both"/>
        <w:spacing w:after="105"/>
        <w:shd w:val="clear" w:color="auto" w:fill="FFFFFF"/>
        <w:rPr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З метою врахування і</w:t>
      </w:r>
      <w:r>
        <w:rPr>
          <w:color w:val="000000"/>
          <w:spacing w:val="-1"/>
          <w:sz w:val="28"/>
          <w:szCs w:val="28"/>
        </w:rPr>
        <w:t xml:space="preserve">нтересів як споживачів послуг, так і підприємств – надавачів послуг з централізованого водовідведення по Менській міській ОТГ, вирішення проблеми, зазначеної в пункті 1 цього Аналізу, пропонується здійснити шляхом прийняття рішення  Менської міської ради </w:t>
      </w:r>
      <w:r>
        <w:rPr>
          <w:sz w:val="28"/>
          <w:szCs w:val="28"/>
        </w:rPr>
        <w:t xml:space="preserve">«Про затвердження </w:t>
      </w:r>
      <w:r>
        <w:rPr>
          <w:rFonts w:eastAsia="Calibri"/>
          <w:sz w:val="28"/>
          <w:szCs w:val="28"/>
          <w:lang w:eastAsia="en-US"/>
        </w:rPr>
        <w:t xml:space="preserve">Програми відшкодування різниці в тарифах на послуги з централізованого водовідведення для населення по Менській міській ОТГ на 2020 рік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встановлених   міською   радою </w:t>
      </w:r>
      <w:r>
        <w:rPr>
          <w:sz w:val="28"/>
          <w:szCs w:val="28"/>
        </w:rPr>
        <w:t xml:space="preserve">та</w:t>
      </w:r>
      <w:r>
        <w:rPr>
          <w:spacing w:val="-1"/>
          <w:sz w:val="28"/>
          <w:szCs w:val="28"/>
        </w:rPr>
        <w:t xml:space="preserve"> </w:t>
      </w:r>
      <w:r>
        <w:rPr>
          <w:color w:val="000000"/>
          <w:spacing w:val="-1"/>
          <w:sz w:val="28"/>
          <w:szCs w:val="28"/>
        </w:rPr>
        <w:t xml:space="preserve">розробленим на підставі:</w:t>
      </w:r>
      <w:r>
        <w:rPr>
          <w:sz w:val="28"/>
        </w:rPr>
      </w:r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законів України;</w:t>
      </w:r>
      <w:r>
        <w:rPr>
          <w:sz w:val="28"/>
        </w:rPr>
      </w:r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гласності (відкритості та загальнодоступності);</w:t>
      </w:r>
      <w:r>
        <w:rPr>
          <w:sz w:val="28"/>
        </w:rPr>
      </w:r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колегіальності;</w:t>
      </w:r>
      <w:r>
        <w:rPr>
          <w:sz w:val="28"/>
        </w:rPr>
      </w:r>
    </w:p>
    <w:p>
      <w:pPr>
        <w:ind w:firstLine="540"/>
        <w:jc w:val="both"/>
        <w:shd w:val="clear" w:color="auto" w:fill="FFFFFF"/>
        <w:rPr>
          <w:color w:val="444444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урахування проблем життєдіяльності комунальних підприємств;</w:t>
      </w:r>
      <w:r>
        <w:rPr>
          <w:sz w:val="28"/>
        </w:rPr>
      </w:r>
    </w:p>
    <w:p>
      <w:pPr>
        <w:ind w:firstLine="540"/>
        <w:jc w:val="both"/>
        <w:shd w:val="clear" w:color="auto" w:fill="FFFFFF"/>
        <w:rPr>
          <w:color w:val="000000"/>
          <w:spacing w:val="-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  <w:t xml:space="preserve">- економічної та юридичної обґрунтованості тощо.</w:t>
      </w:r>
      <w:r>
        <w:rPr>
          <w:sz w:val="28"/>
        </w:rPr>
      </w:r>
    </w:p>
    <w:p>
      <w:pPr>
        <w:jc w:val="both"/>
        <w:shd w:val="clear" w:color="auto" w:fill="FFFFFF"/>
        <w:rPr>
          <w:color w:val="000000"/>
          <w:spacing w:val="-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pacing w:val="-1"/>
          <w:sz w:val="28"/>
          <w:szCs w:val="28"/>
        </w:rPr>
      </w:r>
      <w:r>
        <w:rPr>
          <w:sz w:val="28"/>
        </w:rPr>
      </w:r>
    </w:p>
    <w:tbl>
      <w:tblPr>
        <w:tblStyle w:val="584"/>
        <w:tblW w:w="9391" w:type="dxa"/>
        <w:tblLayout w:type="fixed"/>
        <w:tblLook w:val="04A0" w:firstRow="1" w:lastRow="0" w:firstColumn="1" w:lastColumn="0" w:noHBand="0" w:noVBand="1"/>
      </w:tblPr>
      <w:tblGrid>
        <w:gridCol w:w="490"/>
        <w:gridCol w:w="2556"/>
        <w:gridCol w:w="1384"/>
        <w:gridCol w:w="992"/>
        <w:gridCol w:w="1021"/>
        <w:gridCol w:w="2948"/>
      </w:tblGrid>
      <w:tr>
        <w:trPr/>
        <w:tc>
          <w:tcPr>
            <w:tcW w:w="490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0"/>
                <w:szCs w:val="24"/>
              </w:rPr>
            </w:pPr>
            <w:r>
              <w:rPr>
                <w:color w:val="000000"/>
                <w:spacing w:val="-1"/>
                <w:sz w:val="20"/>
                <w:szCs w:val="24"/>
              </w:rPr>
              <w:t xml:space="preserve">№ з/п</w:t>
            </w:r>
            <w:r>
              <w:rPr>
                <w:sz w:val="20"/>
              </w:rPr>
            </w:r>
          </w:p>
        </w:tc>
        <w:tc>
          <w:tcPr>
            <w:tcW w:w="255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0"/>
                <w:szCs w:val="24"/>
              </w:rPr>
            </w:pPr>
            <w:r>
              <w:rPr>
                <w:color w:val="000000"/>
                <w:spacing w:val="-1"/>
                <w:sz w:val="20"/>
                <w:szCs w:val="24"/>
              </w:rPr>
              <w:t xml:space="preserve">Заходи  Програми</w:t>
            </w: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0"/>
                <w:szCs w:val="24"/>
              </w:rPr>
            </w:pPr>
            <w:r>
              <w:rPr>
                <w:color w:val="000000"/>
                <w:spacing w:val="-1"/>
                <w:sz w:val="20"/>
                <w:szCs w:val="24"/>
              </w:rPr>
              <w:t xml:space="preserve">Джерела фінансування</w:t>
            </w:r>
            <w:r>
              <w:rPr>
                <w:sz w:val="20"/>
              </w:rPr>
            </w:r>
          </w:p>
        </w:tc>
        <w:tc>
          <w:tcPr>
            <w:gridSpan w:val="3"/>
            <w:tcW w:w="496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pacing w:val="-1"/>
                <w:sz w:val="20"/>
                <w:szCs w:val="24"/>
              </w:rPr>
            </w:pPr>
            <w:r>
              <w:rPr>
                <w:color w:val="000000"/>
                <w:spacing w:val="-1"/>
                <w:sz w:val="20"/>
                <w:szCs w:val="24"/>
              </w:rPr>
              <w:t xml:space="preserve">Очікуваний  результат</w:t>
            </w:r>
            <w:r>
              <w:rPr>
                <w:sz w:val="20"/>
              </w:rPr>
            </w:r>
          </w:p>
        </w:tc>
      </w:tr>
      <w:tr>
        <w:trPr/>
        <w:tc>
          <w:tcPr>
            <w:tcW w:w="490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/>
          </w:p>
        </w:tc>
        <w:tc>
          <w:tcPr>
            <w:tcW w:w="2556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/>
          </w:p>
        </w:tc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0"/>
                <w:szCs w:val="24"/>
              </w:rPr>
            </w:pPr>
            <w:r>
              <w:rPr>
                <w:color w:val="000000"/>
                <w:spacing w:val="-1"/>
                <w:sz w:val="20"/>
                <w:szCs w:val="24"/>
              </w:rPr>
              <w:t xml:space="preserve">2020 р.</w:t>
            </w:r>
            <w:r>
              <w:rPr>
                <w:sz w:val="20"/>
              </w:rPr>
            </w:r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0"/>
                <w:szCs w:val="24"/>
              </w:rPr>
            </w:pPr>
            <w:r>
              <w:rPr>
                <w:color w:val="000000"/>
                <w:spacing w:val="-1"/>
                <w:sz w:val="20"/>
                <w:szCs w:val="24"/>
              </w:rPr>
              <w:t xml:space="preserve">всього</w:t>
            </w:r>
            <w:r>
              <w:rPr>
                <w:sz w:val="20"/>
              </w:rPr>
            </w:r>
          </w:p>
        </w:tc>
        <w:tc>
          <w:tcPr>
            <w:tcW w:w="294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0"/>
                <w:szCs w:val="24"/>
              </w:rPr>
            </w:pPr>
            <w:r>
              <w:rPr>
                <w:color w:val="000000"/>
                <w:spacing w:val="-1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W w:w="49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255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Відшкодування різниці в тарифах виробнику житлово – комунальних послуг у випадку невідповідності фактичної вартості послуг тарифам для населення, встановленим виконавчим комітетом Менської міської ради</w:t>
            </w:r>
            <w:r>
              <w:rPr>
                <w:sz w:val="28"/>
              </w:rPr>
            </w:r>
          </w:p>
        </w:tc>
        <w:tc>
          <w:tcPr>
            <w:tcW w:w="1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Бюджет Менської міської ОТГ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FF0000"/>
                <w:spacing w:val="-1"/>
                <w:sz w:val="28"/>
                <w:szCs w:val="26"/>
              </w:rPr>
            </w:pPr>
            <w:r>
              <w:rPr>
                <w:spacing w:val="-1"/>
                <w:sz w:val="28"/>
                <w:szCs w:val="26"/>
              </w:rPr>
              <w:t xml:space="preserve">66</w:t>
            </w:r>
            <w:r>
              <w:rPr>
                <w:spacing w:val="-1"/>
                <w:sz w:val="28"/>
                <w:szCs w:val="26"/>
              </w:rPr>
              <w:t xml:space="preserve">0</w:t>
            </w:r>
            <w:r>
              <w:rPr>
                <w:spacing w:val="-1"/>
                <w:sz w:val="28"/>
                <w:szCs w:val="26"/>
              </w:rPr>
              <w:t xml:space="preserve">,0 тис. грн.</w:t>
            </w:r>
            <w:r>
              <w:rPr>
                <w:sz w:val="28"/>
              </w:rPr>
            </w:r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66</w:t>
            </w:r>
            <w:r>
              <w:rPr>
                <w:sz w:val="28"/>
                <w:szCs w:val="26"/>
              </w:rPr>
              <w:t xml:space="preserve">0</w:t>
            </w:r>
            <w:r>
              <w:rPr>
                <w:sz w:val="28"/>
                <w:szCs w:val="26"/>
              </w:rPr>
              <w:t xml:space="preserve">,0</w:t>
            </w:r>
            <w:r>
              <w:rPr>
                <w:sz w:val="28"/>
              </w:rPr>
            </w:r>
          </w:p>
          <w:p>
            <w:pPr>
              <w:jc w:val="both"/>
              <w:spacing w:lineRule="auto" w:line="240" w:after="0" w:afterAutospacing="0"/>
              <w:rPr>
                <w:color w:val="FF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тис. грн.</w:t>
            </w:r>
            <w:r>
              <w:rPr>
                <w:sz w:val="28"/>
              </w:rPr>
            </w:r>
          </w:p>
        </w:tc>
        <w:tc>
          <w:tcPr>
            <w:tcW w:w="2948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425" w:leader="none"/>
              </w:tabs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</w:t>
            </w:r>
            <w:r>
              <w:rPr>
                <w:color w:val="000000"/>
                <w:sz w:val="28"/>
                <w:szCs w:val="26"/>
              </w:rPr>
              <w:t xml:space="preserve"> забезпечення беззбиткової діяльності підприємств  в частині надання послуг з централізованого водовідведення</w:t>
            </w:r>
            <w:r>
              <w:rPr>
                <w:sz w:val="28"/>
              </w:rPr>
            </w:r>
          </w:p>
          <w:p>
            <w:pPr>
              <w:jc w:val="left"/>
              <w:spacing w:lineRule="auto" w:line="240" w:after="0" w:afterAutospacing="0"/>
              <w:tabs>
                <w:tab w:val="left" w:pos="425" w:leader="none"/>
              </w:tabs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- дотримання вимог діючого законодавства</w:t>
            </w:r>
            <w:r>
              <w:rPr>
                <w:sz w:val="28"/>
              </w:rPr>
            </w:r>
          </w:p>
          <w:p>
            <w:pPr>
              <w:jc w:val="left"/>
              <w:spacing w:lineRule="auto" w:line="240" w:after="0" w:afterAutospacing="0"/>
              <w:tabs>
                <w:tab w:val="left" w:pos="425" w:leader="none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отримання стабільних та  якісних житлово – комунальних послуг</w:t>
            </w:r>
            <w:r>
              <w:rPr>
                <w:sz w:val="28"/>
              </w:rPr>
            </w:r>
          </w:p>
        </w:tc>
      </w:tr>
    </w:tbl>
    <w:p>
      <w:pPr>
        <w:pStyle w:val="583"/>
        <w:ind w:left="284"/>
        <w:jc w:val="both"/>
        <w:spacing w:lineRule="auto" w:line="259" w:after="16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bidi="hi-IN" w:eastAsia="ar-SA"/>
        </w:rPr>
        <w:t xml:space="preserve">Контроль за виконанням цього рішення покласти на заступника міського голови з питань діяльності</w:t>
      </w:r>
      <w:r>
        <w:rPr>
          <w:rFonts w:eastAsia="Droid Sans"/>
          <w:sz w:val="28"/>
          <w:szCs w:val="28"/>
          <w:lang w:bidi="hi-IN" w:eastAsia="hi-IN"/>
        </w:rPr>
        <w:t xml:space="preserve"> виконкому Менської міської ради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</w:r>
      <w:r>
        <w:rPr>
          <w:sz w:val="28"/>
        </w:rPr>
      </w:r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22"/>
    <w:link w:val="513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522"/>
    <w:link w:val="514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522"/>
    <w:link w:val="515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522"/>
    <w:link w:val="516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522"/>
    <w:link w:val="517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522"/>
    <w:link w:val="518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522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522"/>
    <w:link w:val="520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522"/>
    <w:link w:val="521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522"/>
    <w:link w:val="535"/>
    <w:uiPriority w:val="10"/>
    <w:rPr>
      <w:sz w:val="48"/>
      <w:szCs w:val="48"/>
    </w:rPr>
  </w:style>
  <w:style w:type="character" w:styleId="400">
    <w:name w:val="Subtitle Char"/>
    <w:basedOn w:val="522"/>
    <w:link w:val="537"/>
    <w:uiPriority w:val="11"/>
    <w:rPr>
      <w:sz w:val="24"/>
      <w:szCs w:val="24"/>
    </w:rPr>
  </w:style>
  <w:style w:type="character" w:styleId="401">
    <w:name w:val="Quote Char"/>
    <w:link w:val="539"/>
    <w:uiPriority w:val="29"/>
    <w:rPr>
      <w:i/>
    </w:rPr>
  </w:style>
  <w:style w:type="character" w:styleId="402">
    <w:name w:val="Intense Quote Char"/>
    <w:link w:val="541"/>
    <w:uiPriority w:val="30"/>
    <w:rPr>
      <w:i/>
    </w:rPr>
  </w:style>
  <w:style w:type="character" w:styleId="403">
    <w:name w:val="Header Char"/>
    <w:basedOn w:val="522"/>
    <w:link w:val="543"/>
    <w:uiPriority w:val="99"/>
  </w:style>
  <w:style w:type="character" w:styleId="404">
    <w:name w:val="Footer Char"/>
    <w:basedOn w:val="522"/>
    <w:link w:val="545"/>
    <w:uiPriority w:val="99"/>
  </w:style>
  <w:style w:type="table" w:styleId="405">
    <w:name w:val="Table Grid Light"/>
    <w:basedOn w:val="5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6">
    <w:name w:val="Plain Table 1"/>
    <w:basedOn w:val="5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2"/>
    <w:basedOn w:val="5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9">
    <w:name w:val="Plain Table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Plain Table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1">
    <w:name w:val="Grid Table 1 Light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4"/>
    <w:basedOn w:val="5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3">
    <w:name w:val="Grid Table 4 - Accent 1"/>
    <w:basedOn w:val="5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4">
    <w:name w:val="Grid Table 4 - Accent 2"/>
    <w:basedOn w:val="5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5">
    <w:name w:val="Grid Table 4 - Accent 3"/>
    <w:basedOn w:val="5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6">
    <w:name w:val="Grid Table 4 - Accent 4"/>
    <w:basedOn w:val="5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7">
    <w:name w:val="Grid Table 4 - Accent 5"/>
    <w:basedOn w:val="5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8">
    <w:name w:val="Grid Table 4 - Accent 6"/>
    <w:basedOn w:val="5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9">
    <w:name w:val="Grid Table 5 Dark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3">
    <w:name w:val="Grid Table 5 Dark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6">
    <w:name w:val="Grid Table 6 Colorful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7">
    <w:name w:val="Grid Table 6 Colorful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8">
    <w:name w:val="Grid Table 6 Colorful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9">
    <w:name w:val="Grid Table 6 Colorful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0">
    <w:name w:val="Grid Table 6 Colorful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1">
    <w:name w:val="Grid Table 6 Colorful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6 Colorful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7 Colorful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8">
    <w:name w:val="List Table 2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9">
    <w:name w:val="List Table 2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0">
    <w:name w:val="List Table 2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1">
    <w:name w:val="List Table 2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2">
    <w:name w:val="List Table 2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3">
    <w:name w:val="List Table 2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4">
    <w:name w:val="List Table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5 Dark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6 Colorful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6">
    <w:name w:val="List Table 6 Colorful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7">
    <w:name w:val="List Table 6 Colorful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8">
    <w:name w:val="List Table 6 Colorful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9">
    <w:name w:val="List Table 6 Colorful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0">
    <w:name w:val="List Table 6 Colorful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1">
    <w:name w:val="List Table 6 Colorful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2">
    <w:name w:val="List Table 7 Colorful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3">
    <w:name w:val="List Table 7 Colorful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04">
    <w:name w:val="List Table 7 Colorful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5">
    <w:name w:val="List Table 7 Colorful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6">
    <w:name w:val="List Table 7 Colorful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7">
    <w:name w:val="List Table 7 Colorful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08">
    <w:name w:val="List Table 7 Colorful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9">
    <w:name w:val="Lined - Accent"/>
    <w:basedOn w:val="5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0">
    <w:name w:val="Bordered &amp; Lined - Accent"/>
    <w:basedOn w:val="5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1">
    <w:name w:val="Footnote Text Char"/>
    <w:link w:val="570"/>
    <w:uiPriority w:val="99"/>
    <w:rPr>
      <w:sz w:val="18"/>
    </w:rPr>
  </w:style>
  <w:style w:type="paragraph" w:styleId="51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513">
    <w:name w:val="Heading 1"/>
    <w:basedOn w:val="512"/>
    <w:next w:val="512"/>
    <w:link w:val="5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14">
    <w:name w:val="Heading 2"/>
    <w:basedOn w:val="512"/>
    <w:next w:val="512"/>
    <w:link w:val="5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5">
    <w:name w:val="Heading 3"/>
    <w:basedOn w:val="512"/>
    <w:next w:val="512"/>
    <w:link w:val="5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6">
    <w:name w:val="Heading 4"/>
    <w:basedOn w:val="512"/>
    <w:next w:val="512"/>
    <w:link w:val="5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7">
    <w:name w:val="Heading 5"/>
    <w:basedOn w:val="512"/>
    <w:next w:val="512"/>
    <w:link w:val="5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8">
    <w:name w:val="Heading 6"/>
    <w:basedOn w:val="512"/>
    <w:next w:val="512"/>
    <w:link w:val="5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19">
    <w:name w:val="Heading 7"/>
    <w:basedOn w:val="512"/>
    <w:next w:val="512"/>
    <w:link w:val="5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0">
    <w:name w:val="Heading 8"/>
    <w:basedOn w:val="512"/>
    <w:next w:val="512"/>
    <w:link w:val="5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1">
    <w:name w:val="Heading 9"/>
    <w:basedOn w:val="512"/>
    <w:next w:val="512"/>
    <w:link w:val="5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2" w:default="1">
    <w:name w:val="Default Paragraph Font"/>
    <w:uiPriority w:val="1"/>
    <w:semiHidden/>
    <w:unhideWhenUsed/>
  </w:style>
  <w:style w:type="table" w:styleId="5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4" w:default="1">
    <w:name w:val="No List"/>
    <w:uiPriority w:val="99"/>
    <w:semiHidden/>
    <w:unhideWhenUsed/>
  </w:style>
  <w:style w:type="character" w:styleId="525" w:customStyle="1">
    <w:name w:val="Заголовок 1 Знак"/>
    <w:basedOn w:val="522"/>
    <w:link w:val="513"/>
    <w:uiPriority w:val="9"/>
    <w:rPr>
      <w:rFonts w:ascii="Arial" w:hAnsi="Arial" w:cs="Arial" w:eastAsia="Arial"/>
      <w:sz w:val="40"/>
      <w:szCs w:val="40"/>
    </w:rPr>
  </w:style>
  <w:style w:type="character" w:styleId="526" w:customStyle="1">
    <w:name w:val="Заголовок 2 Знак"/>
    <w:basedOn w:val="522"/>
    <w:link w:val="514"/>
    <w:uiPriority w:val="9"/>
    <w:rPr>
      <w:rFonts w:ascii="Arial" w:hAnsi="Arial" w:cs="Arial" w:eastAsia="Arial"/>
      <w:sz w:val="34"/>
    </w:rPr>
  </w:style>
  <w:style w:type="character" w:styleId="527" w:customStyle="1">
    <w:name w:val="Заголовок 3 Знак"/>
    <w:basedOn w:val="522"/>
    <w:link w:val="515"/>
    <w:uiPriority w:val="9"/>
    <w:rPr>
      <w:rFonts w:ascii="Arial" w:hAnsi="Arial" w:cs="Arial" w:eastAsia="Arial"/>
      <w:sz w:val="30"/>
      <w:szCs w:val="30"/>
    </w:rPr>
  </w:style>
  <w:style w:type="character" w:styleId="528" w:customStyle="1">
    <w:name w:val="Заголовок 4 Знак"/>
    <w:basedOn w:val="522"/>
    <w:link w:val="516"/>
    <w:uiPriority w:val="9"/>
    <w:rPr>
      <w:rFonts w:ascii="Arial" w:hAnsi="Arial" w:cs="Arial" w:eastAsia="Arial"/>
      <w:b/>
      <w:bCs/>
      <w:sz w:val="26"/>
      <w:szCs w:val="26"/>
    </w:rPr>
  </w:style>
  <w:style w:type="character" w:styleId="529" w:customStyle="1">
    <w:name w:val="Заголовок 5 Знак"/>
    <w:basedOn w:val="522"/>
    <w:link w:val="517"/>
    <w:uiPriority w:val="9"/>
    <w:rPr>
      <w:rFonts w:ascii="Arial" w:hAnsi="Arial" w:cs="Arial" w:eastAsia="Arial"/>
      <w:b/>
      <w:bCs/>
      <w:sz w:val="24"/>
      <w:szCs w:val="24"/>
    </w:rPr>
  </w:style>
  <w:style w:type="character" w:styleId="530" w:customStyle="1">
    <w:name w:val="Заголовок 6 Знак"/>
    <w:basedOn w:val="522"/>
    <w:link w:val="518"/>
    <w:uiPriority w:val="9"/>
    <w:rPr>
      <w:rFonts w:ascii="Arial" w:hAnsi="Arial" w:cs="Arial" w:eastAsia="Arial"/>
      <w:b/>
      <w:bCs/>
      <w:sz w:val="22"/>
      <w:szCs w:val="22"/>
    </w:rPr>
  </w:style>
  <w:style w:type="character" w:styleId="531" w:customStyle="1">
    <w:name w:val="Заголовок 7 Знак"/>
    <w:basedOn w:val="522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2" w:customStyle="1">
    <w:name w:val="Заголовок 8 Знак"/>
    <w:basedOn w:val="522"/>
    <w:link w:val="520"/>
    <w:uiPriority w:val="9"/>
    <w:rPr>
      <w:rFonts w:ascii="Arial" w:hAnsi="Arial" w:cs="Arial" w:eastAsia="Arial"/>
      <w:i/>
      <w:iCs/>
      <w:sz w:val="22"/>
      <w:szCs w:val="22"/>
    </w:rPr>
  </w:style>
  <w:style w:type="character" w:styleId="533" w:customStyle="1">
    <w:name w:val="Заголовок 9 Знак"/>
    <w:basedOn w:val="522"/>
    <w:link w:val="521"/>
    <w:uiPriority w:val="9"/>
    <w:rPr>
      <w:rFonts w:ascii="Arial" w:hAnsi="Arial" w:cs="Arial" w:eastAsia="Arial"/>
      <w:i/>
      <w:iCs/>
      <w:sz w:val="21"/>
      <w:szCs w:val="21"/>
    </w:rPr>
  </w:style>
  <w:style w:type="paragraph" w:styleId="534">
    <w:name w:val="No Spacing"/>
    <w:qFormat/>
    <w:uiPriority w:val="1"/>
    <w:pPr>
      <w:spacing w:lineRule="auto" w:line="240" w:after="0"/>
    </w:pPr>
  </w:style>
  <w:style w:type="paragraph" w:styleId="535">
    <w:name w:val="Title"/>
    <w:basedOn w:val="512"/>
    <w:next w:val="512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basedOn w:val="522"/>
    <w:link w:val="535"/>
    <w:uiPriority w:val="10"/>
    <w:rPr>
      <w:sz w:val="48"/>
      <w:szCs w:val="48"/>
    </w:rPr>
  </w:style>
  <w:style w:type="paragraph" w:styleId="537">
    <w:name w:val="Subtitle"/>
    <w:basedOn w:val="512"/>
    <w:next w:val="512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basedOn w:val="522"/>
    <w:link w:val="537"/>
    <w:uiPriority w:val="11"/>
    <w:rPr>
      <w:sz w:val="24"/>
      <w:szCs w:val="24"/>
    </w:rPr>
  </w:style>
  <w:style w:type="paragraph" w:styleId="539">
    <w:name w:val="Quote"/>
    <w:basedOn w:val="512"/>
    <w:next w:val="512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basedOn w:val="512"/>
    <w:next w:val="512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basedOn w:val="512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basedOn w:val="522"/>
    <w:link w:val="543"/>
    <w:uiPriority w:val="99"/>
  </w:style>
  <w:style w:type="paragraph" w:styleId="545">
    <w:name w:val="Footer"/>
    <w:basedOn w:val="512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basedOn w:val="522"/>
    <w:link w:val="545"/>
    <w:uiPriority w:val="99"/>
  </w:style>
  <w:style w:type="table" w:styleId="547">
    <w:name w:val="Table Grid"/>
    <w:basedOn w:val="523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basedOn w:val="5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basedOn w:val="5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563C1" w:themeColor="hyperlink"/>
      <w:u w:val="single"/>
    </w:rPr>
  </w:style>
  <w:style w:type="paragraph" w:styleId="570">
    <w:name w:val="footnote text"/>
    <w:basedOn w:val="512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basedOn w:val="522"/>
    <w:uiPriority w:val="99"/>
    <w:unhideWhenUsed/>
    <w:rPr>
      <w:vertAlign w:val="superscript"/>
    </w:rPr>
  </w:style>
  <w:style w:type="paragraph" w:styleId="573">
    <w:name w:val="toc 1"/>
    <w:basedOn w:val="512"/>
    <w:next w:val="512"/>
    <w:uiPriority w:val="39"/>
    <w:unhideWhenUsed/>
    <w:pPr>
      <w:spacing w:after="57"/>
    </w:pPr>
  </w:style>
  <w:style w:type="paragraph" w:styleId="574">
    <w:name w:val="toc 2"/>
    <w:basedOn w:val="512"/>
    <w:next w:val="512"/>
    <w:uiPriority w:val="39"/>
    <w:unhideWhenUsed/>
    <w:pPr>
      <w:ind w:left="283"/>
      <w:spacing w:after="57"/>
    </w:pPr>
  </w:style>
  <w:style w:type="paragraph" w:styleId="575">
    <w:name w:val="toc 3"/>
    <w:basedOn w:val="512"/>
    <w:next w:val="512"/>
    <w:uiPriority w:val="39"/>
    <w:unhideWhenUsed/>
    <w:pPr>
      <w:ind w:left="567"/>
      <w:spacing w:after="57"/>
    </w:pPr>
  </w:style>
  <w:style w:type="paragraph" w:styleId="576">
    <w:name w:val="toc 4"/>
    <w:basedOn w:val="512"/>
    <w:next w:val="512"/>
    <w:uiPriority w:val="39"/>
    <w:unhideWhenUsed/>
    <w:pPr>
      <w:ind w:left="850"/>
      <w:spacing w:after="57"/>
    </w:pPr>
  </w:style>
  <w:style w:type="paragraph" w:styleId="577">
    <w:name w:val="toc 5"/>
    <w:basedOn w:val="512"/>
    <w:next w:val="512"/>
    <w:uiPriority w:val="39"/>
    <w:unhideWhenUsed/>
    <w:pPr>
      <w:ind w:left="1134"/>
      <w:spacing w:after="57"/>
    </w:pPr>
  </w:style>
  <w:style w:type="paragraph" w:styleId="578">
    <w:name w:val="toc 6"/>
    <w:basedOn w:val="512"/>
    <w:next w:val="512"/>
    <w:uiPriority w:val="39"/>
    <w:unhideWhenUsed/>
    <w:pPr>
      <w:ind w:left="1417"/>
      <w:spacing w:after="57"/>
    </w:pPr>
  </w:style>
  <w:style w:type="paragraph" w:styleId="579">
    <w:name w:val="toc 7"/>
    <w:basedOn w:val="512"/>
    <w:next w:val="512"/>
    <w:uiPriority w:val="39"/>
    <w:unhideWhenUsed/>
    <w:pPr>
      <w:ind w:left="1701"/>
      <w:spacing w:after="57"/>
    </w:pPr>
  </w:style>
  <w:style w:type="paragraph" w:styleId="580">
    <w:name w:val="toc 8"/>
    <w:basedOn w:val="512"/>
    <w:next w:val="512"/>
    <w:uiPriority w:val="39"/>
    <w:unhideWhenUsed/>
    <w:pPr>
      <w:ind w:left="1984"/>
      <w:spacing w:after="57"/>
    </w:pPr>
  </w:style>
  <w:style w:type="paragraph" w:styleId="581">
    <w:name w:val="toc 9"/>
    <w:basedOn w:val="512"/>
    <w:next w:val="512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List Paragraph"/>
    <w:basedOn w:val="512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table" w:styleId="584" w:customStyle="1">
    <w:name w:val="Сетка таблицы1"/>
    <w:basedOn w:val="523"/>
    <w:next w:val="547"/>
    <w:uiPriority w:val="59"/>
    <w:rPr>
      <w:rFonts w:cs="Times New Roman"/>
      <w:lang w:val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85">
    <w:name w:val="Body Text"/>
    <w:basedOn w:val="512"/>
    <w:link w:val="586"/>
    <w:uiPriority w:val="99"/>
    <w:semiHidden/>
    <w:unhideWhenUsed/>
    <w:pPr>
      <w:spacing w:after="120"/>
    </w:pPr>
  </w:style>
  <w:style w:type="character" w:styleId="586" w:customStyle="1">
    <w:name w:val="Основной текст Знак"/>
    <w:basedOn w:val="522"/>
    <w:link w:val="58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587">
    <w:name w:val="Balloon Text"/>
    <w:basedOn w:val="512"/>
    <w:link w:val="5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8" w:customStyle="1">
    <w:name w:val="Текст выноски Знак"/>
    <w:basedOn w:val="522"/>
    <w:link w:val="587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СТАЛЬНИЧЕНКО Юрій Валерійович</cp:lastModifiedBy>
  <cp:revision>4</cp:revision>
  <dcterms:created xsi:type="dcterms:W3CDTF">2020-12-03T14:14:00Z</dcterms:created>
  <dcterms:modified xsi:type="dcterms:W3CDTF">2020-12-17T16:12:49Z</dcterms:modified>
</cp:coreProperties>
</file>