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spacing w:after="0" w:before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16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№8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5529" w:firstLine="0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обрання секретаря Менської міської ради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доповідь голови лічильної комісії на виборах секретаря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Фесюн К.О. про результати таємного голосування по виборах секретаря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враховуючи пропозицію міського голови щодо кандидатури на посаду секретаря Менської міської ради депутата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Стальниченка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Юрія Валерійовича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ст.ст.26, 50 Закону України «Про місцеве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 в Україні», Менська міська рада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результати таємного голосування по виборах секретаря Менської міської ради, викладені в протоколі комісії по виборах секре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таря Менської міської ради № 5 від 16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2020 року (додаєтьс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я), згідно яког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депутат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Стальниченко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Юрій Валерійович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вважається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обраним на посаду секретаря Менської міської ради, так як за обрання його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цю посаду проголосувало більше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половини депутатів від загального складу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after="0" w:before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2020-12-16T15:23:56Z</dcterms:modified>
</cp:coreProperties>
</file>