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939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39396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6"/>
        <w:rPr>
          <w:lang w:val="uk-UA"/>
        </w:rPr>
      </w:pPr>
      <w: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1</w:t>
      </w:r>
      <w:r>
        <w:rPr>
          <w:lang w:val="uk-UA"/>
        </w:rPr>
        <w:t xml:space="preserve">5</w:t>
      </w:r>
      <w:r>
        <w:rPr>
          <w:lang w:val="uk-UA"/>
        </w:rPr>
        <w:t xml:space="preserve"> </w:t>
      </w:r>
      <w:r>
        <w:rPr>
          <w:lang w:val="uk-UA"/>
        </w:rPr>
        <w:t xml:space="preserve">грудня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20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3</w:t>
      </w:r>
      <w:r>
        <w:rPr>
          <w:lang w:val="uk-UA"/>
        </w:rPr>
        <w:t xml:space="preserve">28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left="0" w:right="5244" w:firstLine="0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проведення іспиту на заміщення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вакантної посади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сорок третьої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сесії сьомого скликання Менської міської ради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29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09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«Про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10 Закону України «Про службу в органах місцевого самоврядування»; вимог постанови Кабінету М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іністрів України від 15.02.2002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України від 08.07.2011 р. </w:t>
      </w:r>
      <w:r>
        <w:rPr>
          <w:rFonts w:ascii="Times New Roman" w:hAnsi="Times New Roman"/>
          <w:color w:val="000000"/>
          <w:sz w:val="28"/>
          <w:szCs w:val="28"/>
        </w:rPr>
        <w:t xml:space="preserve">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затвердженим </w:t>
      </w:r>
      <w:r>
        <w:rPr>
          <w:rFonts w:ascii="Times New Roman" w:hAnsi="Times New Roman"/>
          <w:sz w:val="28"/>
          <w:szCs w:val="28"/>
        </w:rPr>
        <w:t xml:space="preserve">розпорядженням міського голови від 16.11.2015 р. № 83 та Порядок проведення іспиту кандидатів на заміщення вакантних посад посадових осіб місцевого самоврядування в Менській міської раді, затвердженим розпорядженням міського голови від 16.11.2015 р. № 83/1: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1. Оголосити конкурс на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заміщення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вакантн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посад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в штаті апарату Менської міської ради - посадов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ос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б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місцевого самоврядування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заступника начальника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відділу «Центр надання адміністративних послуг»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міської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ради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магістра, спеціаліста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C392E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посадах державної служби або досвід роботи на посадах підприємств, установ та організацій незалежно від форм власності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</w:t>
      </w:r>
      <w:r>
        <w:rPr>
          <w:rFonts w:ascii="Times New Roman" w:hAnsi="Times New Roman"/>
          <w:sz w:val="28"/>
          <w:szCs w:val="28"/>
        </w:rPr>
        <w:t xml:space="preserve">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</w:t>
      </w:r>
      <w:r>
        <w:rPr>
          <w:rFonts w:ascii="Times New Roman" w:hAnsi="Times New Roman"/>
          <w:sz w:val="28"/>
          <w:szCs w:val="28"/>
        </w:rPr>
        <w:t xml:space="preserve">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вакантн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посад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заступника начальника</w:t>
      </w:r>
      <w:r>
        <w:rPr>
          <w:rFonts w:ascii="Times New Roman" w:hAnsi="Times New Roman"/>
          <w:sz w:val="28"/>
          <w:szCs w:val="28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</w:rPr>
        <w:t xml:space="preserve">Менсь</w:t>
      </w:r>
      <w:r>
        <w:rPr>
          <w:rFonts w:ascii="Times New Roman" w:hAnsi="Times New Roman"/>
          <w:sz w:val="28"/>
          <w:szCs w:val="28"/>
        </w:rPr>
        <w:t xml:space="preserve">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</w:t>
      </w:r>
      <w:r>
        <w:rPr>
          <w:rFonts w:ascii="Times New Roman" w:hAnsi="Times New Roman"/>
          <w:color w:val="000000"/>
          <w:sz w:val="28"/>
          <w:szCs w:val="28"/>
        </w:rPr>
        <w:t xml:space="preserve"> Р.М. забезпечити розміщення на офіційному сайті Менської міської ради повідомлення про оголошення конкурсу на заміщення вакантної посади,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подати повідомлення для опублікування в інтернет - виданні «</w:t>
      </w:r>
      <w:r>
        <w:rPr>
          <w:rFonts w:ascii="Times New Roman" w:hAnsi="Times New Roman"/>
          <w:color w:val="000000"/>
          <w:sz w:val="28"/>
          <w:szCs w:val="28"/>
        </w:rPr>
        <w:t xml:space="preserve">Менщина</w:t>
      </w:r>
      <w:r>
        <w:rPr>
          <w:rFonts w:ascii="Times New Roman" w:hAnsi="Times New Roman"/>
          <w:color w:val="000000"/>
          <w:sz w:val="28"/>
          <w:szCs w:val="28"/>
        </w:rPr>
        <w:t xml:space="preserve">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tabs>
          <w:tab w:val="left" w:pos="7087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Г.А Примаков</w:t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64"/>
        <w:jc w:val="both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r/>
      <w:r/>
    </w:p>
    <w:p>
      <w:r/>
      <w:r/>
    </w:p>
    <w:p>
      <w:r/>
      <w:r/>
    </w:p>
    <w:p>
      <w:pPr>
        <w:spacing w:lineRule="auto" w:line="259" w:after="160"/>
      </w:pPr>
      <w:r>
        <w:br w:type="page"/>
      </w:r>
      <w:r/>
    </w:p>
    <w:p>
      <w:pPr>
        <w:ind w:left="6372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 xml:space="preserve">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 15.12.2020 № </w:t>
      </w:r>
      <w:r>
        <w:rPr>
          <w:rFonts w:ascii="Times New Roman" w:hAnsi="Times New Roman"/>
          <w:sz w:val="28"/>
          <w:szCs w:val="28"/>
        </w:rPr>
        <w:t xml:space="preserve">328</w:t>
      </w:r>
      <w:r/>
    </w:p>
    <w:p>
      <w:pPr>
        <w:pStyle w:val="56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Перелік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перевірку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знання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Конституції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Законів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», </w:t>
      </w:r>
      <w:r>
        <w:rPr>
          <w:rStyle w:val="570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«Про </w:t>
      </w:r>
      <w:r>
        <w:rPr>
          <w:rStyle w:val="570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запобігання</w:t>
      </w:r>
      <w:r>
        <w:rPr>
          <w:rStyle w:val="570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570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корупції</w:t>
      </w:r>
      <w:r>
        <w:rPr>
          <w:rStyle w:val="570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місцеве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»,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«Про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адміністративні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послуги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»,«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дозвільну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 систему у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сфері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господарської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діяльності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», «Про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Державний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земельний</w:t>
      </w:r>
      <w:r>
        <w:rPr>
          <w:rStyle w:val="569"/>
          <w:rFonts w:ascii="Times New Roman" w:hAnsi="Times New Roman" w:cs="Times New Roman" w:eastAsia="Times New Roman"/>
          <w:b/>
          <w:bCs/>
          <w:sz w:val="28"/>
          <w:szCs w:val="28"/>
        </w:rPr>
        <w:t xml:space="preserve"> кадастр»</w:t>
      </w:r>
      <w:r/>
    </w:p>
    <w:p>
      <w:pPr>
        <w:pStyle w:val="567"/>
        <w:jc w:val="center"/>
        <w:spacing w:after="150" w:afterAutospacing="0" w:before="0" w:beforeAutospacing="0"/>
        <w:shd w:val="clear" w:color="auto" w:fill="FFFFFF"/>
      </w:pPr>
      <w:r/>
      <w:r/>
    </w:p>
    <w:p>
      <w:pPr>
        <w:ind w:firstLine="709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розділи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риси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держави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Конституцією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1,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</w:t>
      </w:r>
      <w:r>
        <w:rPr>
          <w:rFonts w:ascii="Times New Roman" w:hAnsi="Times New Roman"/>
          <w:color w:val="000000"/>
          <w:sz w:val="28"/>
          <w:szCs w:val="28"/>
        </w:rPr>
        <w:t xml:space="preserve">правління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5).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найвищої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соціальної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цінності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Конституційний</w:t>
      </w:r>
      <w:r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державної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мови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</w:rPr>
        <w:t xml:space="preserve">мов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національних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меншин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10).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Об'єкти</w:t>
      </w:r>
      <w:r>
        <w:rPr>
          <w:rFonts w:ascii="Times New Roman" w:hAnsi="Times New Roman"/>
          <w:color w:val="000000"/>
          <w:sz w:val="28"/>
          <w:szCs w:val="28"/>
        </w:rPr>
        <w:t xml:space="preserve"> права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Українського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народу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13, 14).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Найважливіші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функції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держави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17).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Державні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символи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20).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Конституційне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r>
        <w:rPr>
          <w:rFonts w:ascii="Times New Roman" w:hAnsi="Times New Roman"/>
          <w:color w:val="000000"/>
          <w:sz w:val="28"/>
          <w:szCs w:val="28"/>
        </w:rPr>
        <w:t xml:space="preserve">працю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43).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Конституційне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освіту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53).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Конституційне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r>
        <w:rPr>
          <w:rFonts w:ascii="Times New Roman" w:hAnsi="Times New Roman"/>
          <w:color w:val="000000"/>
          <w:sz w:val="28"/>
          <w:szCs w:val="28"/>
        </w:rPr>
        <w:t xml:space="preserve">соціальний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захист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46).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Конституційне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r>
        <w:rPr>
          <w:rFonts w:ascii="Times New Roman" w:hAnsi="Times New Roman"/>
          <w:color w:val="000000"/>
          <w:sz w:val="28"/>
          <w:szCs w:val="28"/>
        </w:rPr>
        <w:t xml:space="preserve">охорону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здоров'я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49).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color w:val="000000"/>
          <w:sz w:val="28"/>
          <w:szCs w:val="28"/>
        </w:rPr>
        <w:t xml:space="preserve">Обов'язки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громадянина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65 - 68).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</w:t>
      </w:r>
      <w:r>
        <w:rPr>
          <w:rFonts w:ascii="Times New Roman" w:hAnsi="Times New Roman"/>
          <w:color w:val="000000"/>
          <w:sz w:val="28"/>
          <w:szCs w:val="28"/>
        </w:rPr>
        <w:t xml:space="preserve">громадянина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вибори</w:t>
      </w:r>
      <w:r>
        <w:rPr>
          <w:rFonts w:ascii="Times New Roman" w:hAnsi="Times New Roman"/>
          <w:color w:val="000000"/>
          <w:sz w:val="28"/>
          <w:szCs w:val="28"/>
        </w:rPr>
        <w:t xml:space="preserve">.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70).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Призначення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всеукраїнського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референдуму. </w:t>
      </w:r>
      <w:r>
        <w:rPr>
          <w:rFonts w:ascii="Times New Roman" w:hAnsi="Times New Roman"/>
          <w:color w:val="000000"/>
          <w:sz w:val="28"/>
          <w:szCs w:val="28"/>
        </w:rPr>
        <w:t xml:space="preserve">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вирішуються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всеукраїнському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референдумі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72-74).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Бюджетна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Державний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95- 96).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</w:t>
      </w:r>
      <w:r>
        <w:rPr>
          <w:rFonts w:ascii="Times New Roman" w:hAnsi="Times New Roman"/>
          <w:color w:val="000000"/>
          <w:sz w:val="28"/>
          <w:szCs w:val="28"/>
        </w:rPr>
        <w:t xml:space="preserve">обрання</w:t>
      </w:r>
      <w:r>
        <w:rPr>
          <w:rFonts w:ascii="Times New Roman" w:hAnsi="Times New Roman"/>
          <w:color w:val="000000"/>
          <w:sz w:val="28"/>
          <w:szCs w:val="28"/>
        </w:rPr>
        <w:t xml:space="preserve"> Президента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103).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/>
          <w:color w:val="000000"/>
          <w:sz w:val="28"/>
          <w:szCs w:val="28"/>
        </w:rPr>
        <w:t xml:space="preserve">Дострокове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припинення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повноваження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Президента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</w:t>
      </w:r>
      <w:r>
        <w:rPr>
          <w:rFonts w:ascii="Times New Roman" w:hAnsi="Times New Roman"/>
          <w:color w:val="000000"/>
          <w:sz w:val="28"/>
          <w:szCs w:val="28"/>
        </w:rPr>
        <w:t xml:space="preserve">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Кабінету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Міністрів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114).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>
        <w:rPr>
          <w:rFonts w:ascii="Times New Roman" w:hAnsi="Times New Roman"/>
          <w:color w:val="000000"/>
          <w:sz w:val="28"/>
          <w:szCs w:val="28"/>
        </w:rPr>
        <w:t xml:space="preserve">Повноваження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Кабінету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Міністрів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116, 117).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r>
        <w:rPr>
          <w:rFonts w:ascii="Times New Roman" w:hAnsi="Times New Roman"/>
          <w:color w:val="000000"/>
          <w:sz w:val="28"/>
          <w:szCs w:val="28"/>
        </w:rPr>
        <w:t xml:space="preserve">Повноваження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державних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адміністрацій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119).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</w:t>
      </w:r>
      <w:r>
        <w:rPr>
          <w:rFonts w:ascii="Times New Roman" w:hAnsi="Times New Roman"/>
          <w:color w:val="000000"/>
          <w:sz w:val="28"/>
          <w:szCs w:val="28"/>
        </w:rPr>
        <w:t xml:space="preserve">прокуратури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Конституцією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121).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Правосуддя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/>
          <w:color w:val="000000"/>
          <w:sz w:val="28"/>
          <w:szCs w:val="28"/>
        </w:rPr>
        <w:t xml:space="preserve">. Система </w:t>
      </w:r>
      <w:r>
        <w:rPr>
          <w:rFonts w:ascii="Times New Roman" w:hAnsi="Times New Roman"/>
          <w:color w:val="000000"/>
          <w:sz w:val="28"/>
          <w:szCs w:val="28"/>
        </w:rPr>
        <w:t xml:space="preserve">судів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124, 125).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</w:t>
      </w:r>
      <w:r>
        <w:rPr>
          <w:rFonts w:ascii="Times New Roman" w:hAnsi="Times New Roman"/>
          <w:color w:val="000000"/>
          <w:sz w:val="28"/>
          <w:szCs w:val="28"/>
        </w:rPr>
        <w:t xml:space="preserve">адміністративно-територіального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устрою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133).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</w:t>
      </w:r>
      <w:r>
        <w:rPr>
          <w:rFonts w:ascii="Times New Roman" w:hAnsi="Times New Roman"/>
          <w:color w:val="000000"/>
          <w:sz w:val="28"/>
          <w:szCs w:val="28"/>
        </w:rPr>
        <w:t xml:space="preserve">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Україні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143-144).</w:t>
      </w:r>
      <w:r/>
    </w:p>
    <w:p>
      <w:pPr>
        <w:ind w:left="360" w:firstLine="348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Посади в органах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3).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Основні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принципи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органах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Право на службу в органах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5)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обов’язки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посадових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8).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посадових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9)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Прийняття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службу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10).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Присяга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посадових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11).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Обмеження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пов'язані</w:t>
      </w:r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</w:rPr>
        <w:t xml:space="preserve">прийняттям</w:t>
      </w:r>
      <w:r>
        <w:rPr>
          <w:rFonts w:ascii="Times New Roman" w:hAnsi="Times New Roman"/>
          <w:color w:val="000000"/>
          <w:sz w:val="28"/>
          <w:szCs w:val="28"/>
        </w:rPr>
        <w:t xml:space="preserve"> на службу в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12).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Граничний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перебування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службі</w:t>
      </w:r>
      <w:r>
        <w:rPr>
          <w:rFonts w:ascii="Times New Roman" w:hAnsi="Times New Roman"/>
          <w:color w:val="000000"/>
          <w:sz w:val="28"/>
          <w:szCs w:val="28"/>
        </w:rPr>
        <w:t xml:space="preserve"> в органах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18).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 xml:space="preserve">Підстави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припинення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в органах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20).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color w:val="000000"/>
          <w:sz w:val="28"/>
          <w:szCs w:val="28"/>
        </w:rPr>
        <w:t xml:space="preserve">Класифікація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 в органах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14).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</w:t>
      </w:r>
      <w:r>
        <w:rPr>
          <w:rFonts w:ascii="Times New Roman" w:hAnsi="Times New Roman"/>
          <w:color w:val="000000"/>
          <w:sz w:val="28"/>
          <w:szCs w:val="28"/>
        </w:rPr>
        <w:t xml:space="preserve">посадових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15).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регулювання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статусу </w:t>
      </w:r>
      <w:r>
        <w:rPr>
          <w:rFonts w:ascii="Times New Roman" w:hAnsi="Times New Roman"/>
          <w:color w:val="000000"/>
          <w:sz w:val="28"/>
          <w:szCs w:val="28"/>
        </w:rPr>
        <w:t xml:space="preserve">посадових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7).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color w:val="000000"/>
          <w:sz w:val="28"/>
          <w:szCs w:val="28"/>
        </w:rPr>
        <w:t xml:space="preserve">Кадровий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резерв </w:t>
      </w:r>
      <w:r>
        <w:rPr>
          <w:rFonts w:ascii="Times New Roman" w:hAnsi="Times New Roman"/>
          <w:color w:val="000000"/>
          <w:sz w:val="28"/>
          <w:szCs w:val="28"/>
        </w:rPr>
        <w:t xml:space="preserve">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в органах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Style w:val="571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</w:rPr>
        <w:t xml:space="preserve">).</w:t>
      </w:r>
      <w:r/>
    </w:p>
    <w:p>
      <w:pPr>
        <w:pStyle w:val="56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порушення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законодавства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про службу в органах </w:t>
      </w:r>
      <w:r>
        <w:rPr>
          <w:rFonts w:ascii="Times New Roman" w:hAnsi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color w:val="000000"/>
          <w:sz w:val="28"/>
          <w:szCs w:val="28"/>
        </w:rPr>
        <w:t xml:space="preserve"> 23).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Оплата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відпустки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пенсійне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посадових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21).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Атестація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посадових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17).</w:t>
      </w:r>
      <w:r/>
    </w:p>
    <w:p>
      <w:pPr>
        <w:pStyle w:val="566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Відповідальність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посадової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особи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стаття</w:t>
      </w:r>
      <w:r>
        <w:rPr>
          <w:rStyle w:val="571"/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).</w:t>
      </w:r>
      <w:r/>
    </w:p>
    <w:p>
      <w:pPr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568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rStyle w:val="570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571"/>
          <w:b/>
          <w:bCs/>
          <w:color w:val="000000"/>
          <w:sz w:val="28"/>
          <w:szCs w:val="28"/>
        </w:rPr>
        <w:t xml:space="preserve"> </w:t>
      </w:r>
      <w:hyperlink w:tooltip="Current Document" w:anchor="n2" w:history="1">
        <w:r>
          <w:rPr>
            <w:rStyle w:val="565"/>
            <w:b/>
            <w:bCs/>
            <w:color w:val="000000"/>
            <w:sz w:val="28"/>
            <w:szCs w:val="28"/>
          </w:rPr>
          <w:t xml:space="preserve">Закону України</w:t>
        </w:r>
      </w:hyperlink>
      <w:r>
        <w:rPr>
          <w:rStyle w:val="571"/>
          <w:b/>
          <w:bCs/>
          <w:color w:val="000000"/>
          <w:sz w:val="28"/>
          <w:szCs w:val="28"/>
        </w:rPr>
        <w:t xml:space="preserve"> </w:t>
      </w:r>
      <w:r>
        <w:rPr>
          <w:rStyle w:val="570"/>
          <w:b/>
          <w:bCs/>
          <w:color w:val="000000"/>
          <w:sz w:val="28"/>
          <w:szCs w:val="28"/>
        </w:rPr>
        <w:t xml:space="preserve">«Про запобігання корупції»</w:t>
      </w:r>
      <w:r/>
    </w:p>
    <w:p>
      <w:pPr>
        <w:pStyle w:val="568"/>
        <w:ind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0" w:name="n165"/>
      <w:r/>
      <w:bookmarkEnd w:id="0"/>
      <w:r>
        <w:rPr>
          <w:color w:val="000000"/>
          <w:sz w:val="28"/>
          <w:szCs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w:tooltip="Current Document" w:anchor="n6" w:history="1">
        <w:r>
          <w:rPr>
            <w:rStyle w:val="565"/>
            <w:color w:val="000000"/>
            <w:sz w:val="28"/>
            <w:szCs w:val="28"/>
          </w:rPr>
          <w:t xml:space="preserve">стаття 1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" w:name="n166"/>
      <w:r/>
      <w:bookmarkEnd w:id="1"/>
      <w:r>
        <w:rPr>
          <w:color w:val="000000"/>
          <w:sz w:val="28"/>
          <w:szCs w:val="28"/>
        </w:rPr>
        <w:t xml:space="preserve">2. Суб’єкти, на яких поширюється дія Закону України «Про запобігання корупції» (</w:t>
      </w:r>
      <w:hyperlink w:tooltip="Current Document" w:anchor="n24" w:history="1">
        <w:r>
          <w:rPr>
            <w:rStyle w:val="565"/>
            <w:color w:val="000000"/>
            <w:sz w:val="28"/>
            <w:szCs w:val="28"/>
          </w:rPr>
          <w:t xml:space="preserve">стаття 3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2" w:name="n167"/>
      <w:r/>
      <w:bookmarkEnd w:id="2"/>
      <w:r>
        <w:rPr>
          <w:color w:val="000000"/>
          <w:sz w:val="28"/>
          <w:szCs w:val="28"/>
        </w:rPr>
        <w:t xml:space="preserve">3. Статус та склад Національного агентства з питань запобігання корупції (</w:t>
      </w:r>
      <w:hyperlink w:tooltip="Current Document" w:anchor="n42" w:history="1">
        <w:r>
          <w:rPr>
            <w:rStyle w:val="565"/>
            <w:color w:val="000000"/>
            <w:sz w:val="28"/>
            <w:szCs w:val="28"/>
          </w:rPr>
          <w:t xml:space="preserve">статті 4</w:t>
        </w:r>
      </w:hyperlink>
      <w:r>
        <w:rPr>
          <w:sz w:val="28"/>
          <w:szCs w:val="28"/>
        </w:rPr>
        <w:t xml:space="preserve">,</w:t>
      </w:r>
      <w:r>
        <w:rPr>
          <w:rStyle w:val="571"/>
          <w:color w:val="000000"/>
          <w:sz w:val="28"/>
          <w:szCs w:val="28"/>
        </w:rPr>
        <w:t xml:space="preserve"> </w:t>
      </w:r>
      <w:hyperlink w:tooltip="Current Document" w:anchor="n50" w:history="1">
        <w:r>
          <w:rPr>
            <w:rStyle w:val="565"/>
            <w:color w:val="000099"/>
            <w:sz w:val="28"/>
            <w:szCs w:val="28"/>
          </w:rPr>
          <w:t xml:space="preserve">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3" w:name="n168"/>
      <w:r/>
      <w:bookmarkEnd w:id="3"/>
      <w:r>
        <w:rPr>
          <w:color w:val="000000"/>
          <w:sz w:val="28"/>
          <w:szCs w:val="28"/>
        </w:rPr>
        <w:t xml:space="preserve">4. Повноваження Національного агентства з питань запобігання корупції (</w:t>
      </w:r>
      <w:hyperlink w:tooltip="Current Document" w:anchor="n159" w:history="1">
        <w:r>
          <w:rPr>
            <w:rStyle w:val="565"/>
            <w:color w:val="000000"/>
            <w:sz w:val="28"/>
            <w:szCs w:val="28"/>
          </w:rPr>
          <w:t xml:space="preserve">стаття 11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4" w:name="n169"/>
      <w:r/>
      <w:bookmarkEnd w:id="4"/>
      <w:r>
        <w:rPr>
          <w:color w:val="000000"/>
          <w:sz w:val="28"/>
          <w:szCs w:val="28"/>
        </w:rPr>
        <w:t xml:space="preserve">5. Права Національного агентства з питань запобігання корупції (</w:t>
      </w:r>
      <w:hyperlink w:tooltip="Current Document" w:anchor="n183" w:history="1">
        <w:r>
          <w:rPr>
            <w:rStyle w:val="565"/>
            <w:color w:val="000000"/>
            <w:sz w:val="28"/>
            <w:szCs w:val="28"/>
          </w:rPr>
          <w:t xml:space="preserve">стаття</w:t>
        </w:r>
        <w:r>
          <w:rPr>
            <w:rStyle w:val="571"/>
            <w:color w:val="000000"/>
            <w:sz w:val="28"/>
            <w:szCs w:val="28"/>
          </w:rPr>
          <w:t xml:space="preserve"> </w:t>
        </w:r>
        <w:r>
          <w:rPr>
            <w:rStyle w:val="565"/>
            <w:color w:val="000000"/>
            <w:sz w:val="28"/>
            <w:szCs w:val="28"/>
          </w:rPr>
          <w:t xml:space="preserve"> 12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5" w:name="n170"/>
      <w:r/>
      <w:bookmarkEnd w:id="5"/>
      <w:r>
        <w:rPr>
          <w:color w:val="000000"/>
          <w:sz w:val="28"/>
          <w:szCs w:val="28"/>
        </w:rPr>
        <w:t xml:space="preserve">6. Контроль за діяльністю Національного агентства з питань запобігання корупції (</w:t>
      </w:r>
      <w:hyperlink w:tooltip="Current Document" w:anchor="n215" w:history="1">
        <w:r>
          <w:rPr>
            <w:rStyle w:val="565"/>
            <w:color w:val="000000"/>
            <w:sz w:val="28"/>
            <w:szCs w:val="28"/>
          </w:rPr>
          <w:t xml:space="preserve">стаття 14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6" w:name="n171"/>
      <w:r/>
      <w:bookmarkEnd w:id="6"/>
      <w:r>
        <w:rPr>
          <w:color w:val="000000"/>
          <w:sz w:val="28"/>
          <w:szCs w:val="28"/>
        </w:rPr>
        <w:t xml:space="preserve">7. Національна доповідь щодо реалізації засад антикорупційної політики (</w:t>
      </w:r>
      <w:hyperlink w:tooltip="Current Document" w:anchor="n260" w:history="1">
        <w:r>
          <w:rPr>
            <w:rStyle w:val="565"/>
            <w:color w:val="000000"/>
            <w:sz w:val="28"/>
            <w:szCs w:val="28"/>
          </w:rPr>
          <w:t xml:space="preserve">стаття 20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7" w:name="n172"/>
      <w:r/>
      <w:bookmarkEnd w:id="7"/>
      <w:r>
        <w:rPr>
          <w:color w:val="000000"/>
          <w:sz w:val="28"/>
          <w:szCs w:val="28"/>
        </w:rPr>
        <w:t xml:space="preserve">8. Обмеження щодо використання службових повноважень чи свого становища та одержання подарунків (</w:t>
      </w:r>
      <w:hyperlink w:tooltip="Current Document" w:anchor="n311" w:history="1">
        <w:r>
          <w:rPr>
            <w:rStyle w:val="565"/>
            <w:color w:val="000000"/>
            <w:sz w:val="28"/>
            <w:szCs w:val="28"/>
          </w:rPr>
          <w:t xml:space="preserve">статті 22</w:t>
        </w:r>
      </w:hyperlink>
      <w:r>
        <w:rPr>
          <w:sz w:val="28"/>
          <w:szCs w:val="28"/>
        </w:rPr>
        <w:t xml:space="preserve">,</w:t>
      </w:r>
      <w:r>
        <w:rPr>
          <w:rStyle w:val="571"/>
          <w:sz w:val="28"/>
          <w:szCs w:val="28"/>
        </w:rPr>
        <w:t xml:space="preserve"> </w:t>
      </w:r>
      <w:hyperlink w:tooltip="Current Document" w:anchor="n313" w:history="1">
        <w:r>
          <w:rPr>
            <w:rStyle w:val="565"/>
            <w:color w:val="000000"/>
            <w:sz w:val="28"/>
            <w:szCs w:val="28"/>
          </w:rPr>
          <w:t xml:space="preserve">23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8" w:name="n173"/>
      <w:r/>
      <w:bookmarkEnd w:id="8"/>
      <w:r>
        <w:rPr>
          <w:color w:val="000000"/>
          <w:sz w:val="28"/>
          <w:szCs w:val="28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hyperlink w:tooltip="Current Document" w:anchor="n335" w:history="1">
        <w:r>
          <w:rPr>
            <w:rStyle w:val="565"/>
            <w:color w:val="000000"/>
            <w:sz w:val="28"/>
            <w:szCs w:val="28"/>
          </w:rPr>
          <w:t xml:space="preserve">статті 25</w:t>
        </w:r>
      </w:hyperlink>
      <w:r>
        <w:rPr>
          <w:color w:val="000000"/>
          <w:sz w:val="28"/>
          <w:szCs w:val="28"/>
        </w:rPr>
        <w:t xml:space="preserve">,</w:t>
      </w:r>
      <w:r>
        <w:rPr>
          <w:rStyle w:val="571"/>
          <w:color w:val="000000"/>
          <w:sz w:val="28"/>
          <w:szCs w:val="28"/>
        </w:rPr>
        <w:t xml:space="preserve"> </w:t>
      </w:r>
      <w:hyperlink w:tooltip="Current Document" w:anchor="n348" w:history="1">
        <w:r>
          <w:rPr>
            <w:rStyle w:val="565"/>
            <w:color w:val="000000"/>
            <w:sz w:val="28"/>
            <w:szCs w:val="28"/>
          </w:rPr>
          <w:t xml:space="preserve">27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9" w:name="n174"/>
      <w:r/>
      <w:bookmarkEnd w:id="9"/>
      <w:r>
        <w:rPr>
          <w:color w:val="000000"/>
          <w:sz w:val="28"/>
          <w:szCs w:val="28"/>
        </w:rPr>
        <w:t xml:space="preserve">10. Запобігання та врегулювання конфлікту інтересів</w:t>
      </w:r>
      <w:r>
        <w:rPr>
          <w:sz w:val="28"/>
          <w:szCs w:val="28"/>
        </w:rPr>
        <w:t xml:space="preserve">(</w:t>
      </w:r>
      <w:hyperlink w:tooltip="Current Document" w:anchor="n359" w:history="1">
        <w:r>
          <w:rPr>
            <w:rStyle w:val="565"/>
            <w:color w:val="000000"/>
            <w:sz w:val="28"/>
            <w:szCs w:val="28"/>
          </w:rPr>
          <w:t xml:space="preserve">стаття 28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0" w:name="n175"/>
      <w:r/>
      <w:bookmarkEnd w:id="10"/>
      <w:r>
        <w:rPr>
          <w:color w:val="000000"/>
          <w:sz w:val="28"/>
          <w:szCs w:val="28"/>
        </w:rPr>
        <w:t xml:space="preserve">11. Заходи зовнішнього та самостійного врегулювання конфлікту інтересів (</w:t>
      </w:r>
      <w:hyperlink w:tooltip="Current Document" w:anchor="n372" w:history="1">
        <w:r>
          <w:rPr>
            <w:rStyle w:val="565"/>
            <w:color w:val="000000"/>
            <w:sz w:val="28"/>
            <w:szCs w:val="28"/>
          </w:rPr>
          <w:t xml:space="preserve">стаття 29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1" w:name="n176"/>
      <w:r/>
      <w:bookmarkEnd w:id="11"/>
      <w:r>
        <w:rPr>
          <w:color w:val="000000"/>
          <w:sz w:val="28"/>
          <w:szCs w:val="28"/>
        </w:rPr>
        <w:t xml:space="preserve">12. Запобігання конфлікту інтересів у зв’язку з наявністю в особи підприємств чи корпоративних прав (</w:t>
      </w:r>
      <w:hyperlink w:tooltip="Current Document" w:anchor="n405" w:history="1">
        <w:r>
          <w:rPr>
            <w:rStyle w:val="565"/>
            <w:color w:val="000000"/>
            <w:sz w:val="28"/>
            <w:szCs w:val="28"/>
          </w:rPr>
          <w:t xml:space="preserve">стаття 36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sz w:val="28"/>
        </w:rPr>
      </w:pPr>
      <w:r/>
      <w:bookmarkStart w:id="12" w:name="n177"/>
      <w:r/>
      <w:bookmarkEnd w:id="12"/>
      <w:r>
        <w:rPr>
          <w:color w:val="000000"/>
          <w:sz w:val="28"/>
          <w:szCs w:val="28"/>
        </w:rPr>
        <w:t xml:space="preserve">13. Вимоги до поведінки осіб (</w:t>
      </w:r>
      <w:hyperlink w:tooltip="Current Document" w:anchor="n417" w:history="1">
        <w:r>
          <w:rPr>
            <w:rStyle w:val="565"/>
            <w:color w:val="000000"/>
            <w:sz w:val="28"/>
            <w:szCs w:val="28"/>
          </w:rPr>
          <w:t xml:space="preserve">стаття 37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3" w:name="n178"/>
      <w:r/>
      <w:bookmarkEnd w:id="13"/>
      <w:r>
        <w:rPr>
          <w:color w:val="000000"/>
          <w:sz w:val="28"/>
          <w:szCs w:val="28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w:tooltip="Current Document" w:anchor="n439" w:history="1">
        <w:r>
          <w:rPr>
            <w:rStyle w:val="565"/>
            <w:color w:val="000000"/>
            <w:sz w:val="28"/>
            <w:szCs w:val="28"/>
          </w:rPr>
          <w:t xml:space="preserve">стаття 45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/>
      <w:bookmarkStart w:id="14" w:name="n179"/>
      <w:r/>
      <w:bookmarkEnd w:id="14"/>
      <w:r>
        <w:rPr>
          <w:color w:val="000000"/>
          <w:sz w:val="28"/>
          <w:szCs w:val="28"/>
        </w:rPr>
        <w:t xml:space="preserve">15. Встановлення своєчасності подання декларації та повна перевірка декларації (</w:t>
      </w:r>
      <w:hyperlink w:tooltip="Current Document" w:anchor="n488" w:history="1">
        <w:r>
          <w:rPr>
            <w:rStyle w:val="565"/>
            <w:color w:val="000000"/>
            <w:sz w:val="28"/>
            <w:szCs w:val="28"/>
          </w:rPr>
          <w:t xml:space="preserve">статті 49</w:t>
        </w:r>
      </w:hyperlink>
      <w:r>
        <w:rPr>
          <w:sz w:val="28"/>
          <w:szCs w:val="28"/>
        </w:rPr>
        <w:t xml:space="preserve">,</w:t>
      </w:r>
      <w:hyperlink w:tooltip="Current Document" w:anchor="n493" w:history="1">
        <w:r>
          <w:rPr>
            <w:rStyle w:val="565"/>
            <w:color w:val="000000"/>
            <w:sz w:val="28"/>
            <w:szCs w:val="28"/>
          </w:rPr>
          <w:t xml:space="preserve">50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5" w:name="n180"/>
      <w:r/>
      <w:bookmarkEnd w:id="15"/>
      <w:r>
        <w:rPr>
          <w:color w:val="000000"/>
          <w:sz w:val="28"/>
          <w:szCs w:val="28"/>
        </w:rPr>
        <w:t xml:space="preserve">16. Моніторинг способу життя суб’єктів декларування (</w:t>
      </w:r>
      <w:hyperlink w:tooltip="Current Document" w:anchor="n500" w:history="1">
        <w:r>
          <w:rPr>
            <w:rStyle w:val="565"/>
            <w:color w:val="000000"/>
            <w:sz w:val="28"/>
            <w:szCs w:val="28"/>
          </w:rPr>
          <w:t xml:space="preserve">стаття 51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6" w:name="n181"/>
      <w:r/>
      <w:bookmarkEnd w:id="16"/>
      <w:r>
        <w:rPr>
          <w:color w:val="000000"/>
          <w:sz w:val="28"/>
          <w:szCs w:val="28"/>
        </w:rPr>
        <w:t xml:space="preserve">17. Державний захист осіб, які надають допомогу в запобіганні і протидії корупції</w:t>
      </w:r>
      <w:r>
        <w:rPr>
          <w:sz w:val="28"/>
          <w:szCs w:val="28"/>
        </w:rPr>
        <w:t xml:space="preserve">(</w:t>
      </w:r>
      <w:hyperlink w:tooltip="Current Document" w:anchor="n512" w:history="1">
        <w:r>
          <w:rPr>
            <w:rStyle w:val="565"/>
            <w:color w:val="000000"/>
            <w:sz w:val="28"/>
            <w:szCs w:val="28"/>
          </w:rPr>
          <w:t xml:space="preserve">стаття 53</w:t>
        </w:r>
      </w:hyperlink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7" w:name="n182"/>
      <w:r/>
      <w:bookmarkEnd w:id="17"/>
      <w:r>
        <w:rPr>
          <w:color w:val="000000"/>
          <w:sz w:val="28"/>
          <w:szCs w:val="28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w:tooltip="Current Document" w:anchor="n526" w:history="1">
        <w:r>
          <w:rPr>
            <w:rStyle w:val="565"/>
            <w:color w:val="000000"/>
            <w:sz w:val="28"/>
            <w:szCs w:val="28"/>
          </w:rPr>
          <w:t xml:space="preserve">стаття 54</w:t>
        </w:r>
      </w:hyperlink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8" w:name="n183"/>
      <w:r/>
      <w:bookmarkEnd w:id="18"/>
      <w:r>
        <w:rPr>
          <w:color w:val="000000"/>
          <w:sz w:val="28"/>
          <w:szCs w:val="28"/>
        </w:rPr>
        <w:t xml:space="preserve">19. Антикорупційна експертиза (</w:t>
      </w:r>
      <w:hyperlink w:tooltip="Current Document" w:anchor="n529" w:history="1">
        <w:r>
          <w:rPr>
            <w:rStyle w:val="565"/>
            <w:color w:val="000000"/>
            <w:sz w:val="28"/>
            <w:szCs w:val="28"/>
          </w:rPr>
          <w:t xml:space="preserve">стаття 55</w:t>
        </w:r>
      </w:hyperlink>
      <w:r>
        <w:rPr>
          <w:color w:val="000000"/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9" w:name="n184"/>
      <w:r/>
      <w:bookmarkEnd w:id="19"/>
      <w:r>
        <w:rPr>
          <w:color w:val="000000"/>
          <w:sz w:val="28"/>
          <w:szCs w:val="28"/>
        </w:rPr>
        <w:t xml:space="preserve">20. Спеціальна перевірка</w:t>
      </w:r>
      <w:r>
        <w:rPr>
          <w:sz w:val="28"/>
          <w:szCs w:val="28"/>
        </w:rPr>
        <w:t xml:space="preserve">(</w:t>
      </w:r>
      <w:hyperlink w:tooltip="Current Document" w:anchor="n550" w:history="1">
        <w:r>
          <w:rPr>
            <w:rStyle w:val="565"/>
            <w:color w:val="000000"/>
            <w:sz w:val="28"/>
            <w:szCs w:val="28"/>
          </w:rPr>
          <w:t xml:space="preserve">стаття 56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0" w:name="n185"/>
      <w:r/>
      <w:bookmarkEnd w:id="20"/>
      <w:r>
        <w:rPr>
          <w:color w:val="000000"/>
          <w:sz w:val="28"/>
          <w:szCs w:val="28"/>
        </w:rPr>
        <w:t xml:space="preserve">21. Загальні засади запобігання корупції у діяльності юридичної особи </w:t>
      </w:r>
      <w:r>
        <w:rPr>
          <w:sz w:val="28"/>
          <w:szCs w:val="28"/>
        </w:rPr>
        <w:t xml:space="preserve">(</w:t>
      </w:r>
      <w:hyperlink w:tooltip="Current Document" w:anchor="n649" w:history="1">
        <w:r>
          <w:rPr>
            <w:rStyle w:val="565"/>
            <w:color w:val="000000"/>
            <w:sz w:val="28"/>
            <w:szCs w:val="28"/>
          </w:rPr>
          <w:t xml:space="preserve">стаття 61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ind w:firstLine="709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/>
      <w:bookmarkStart w:id="21" w:name="n186"/>
      <w:r/>
      <w:bookmarkEnd w:id="21"/>
      <w:r>
        <w:rPr>
          <w:color w:val="000000"/>
          <w:sz w:val="28"/>
          <w:szCs w:val="28"/>
        </w:rPr>
        <w:t xml:space="preserve">22. Відповідальність за корупційні або пов’язані з корупцією правопорушення </w:t>
      </w:r>
      <w:r>
        <w:rPr>
          <w:sz w:val="28"/>
          <w:szCs w:val="28"/>
        </w:rPr>
        <w:t xml:space="preserve">(</w:t>
      </w:r>
      <w:hyperlink w:tooltip="Current Document" w:anchor="n701" w:history="1">
        <w:r>
          <w:rPr>
            <w:rStyle w:val="565"/>
            <w:color w:val="000000"/>
            <w:sz w:val="28"/>
            <w:szCs w:val="28"/>
          </w:rPr>
          <w:t xml:space="preserve">стаття 65</w:t>
        </w:r>
      </w:hyperlink>
      <w:r>
        <w:rPr>
          <w:sz w:val="28"/>
          <w:szCs w:val="28"/>
        </w:rPr>
        <w:t xml:space="preserve">).</w:t>
      </w:r>
      <w:r/>
    </w:p>
    <w:p>
      <w:pPr>
        <w:pStyle w:val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7"/>
        <w:jc w:val="both"/>
        <w:spacing w:after="0" w:afterAutospacing="0" w:before="0" w:beforeAutospacing="0"/>
        <w:shd w:val="clear" w:color="auto" w:fill="FFFFFF"/>
      </w:pPr>
      <w:r/>
      <w:r/>
    </w:p>
    <w:p>
      <w:pPr>
        <w:ind w:firstLine="709"/>
        <w:spacing w:lineRule="atLeast" w:line="301" w:after="0"/>
        <w:rPr>
          <w:rFonts w:ascii="Times New Roman" w:hAnsi="Times New Roman"/>
          <w:sz w:val="28"/>
        </w:rPr>
      </w:pPr>
      <w:r>
        <w:rPr>
          <w:rStyle w:val="570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570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570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місцеве самоврядування в Україні»</w:t>
      </w:r>
      <w:r/>
    </w:p>
    <w:p>
      <w:pPr>
        <w:spacing w:lineRule="atLeast" w:line="301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Поняття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2). Право на участь у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місцевому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самоврядуванні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Громадські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слухання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13).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Відносини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органів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підприємствами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установами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організаціями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що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перебувають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комунальній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власності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відповідної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громади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18).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формування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45).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Організація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роботи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53).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49).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Сільський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селищний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міський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голова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12).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ради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46).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Постійні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ради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47).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сільської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селищної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ради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50).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Місцеві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бюджети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61).</w:t>
      </w:r>
      <w:r/>
    </w:p>
    <w:p>
      <w:pPr>
        <w:pStyle w:val="56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Символіка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територіальних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громад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сіл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селищ,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районів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і областей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22).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Підняття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Державного Прапора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України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23)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Дострокове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припинення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повноважень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сільського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селищного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міського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голови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79).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органів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посадових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осіб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перед державою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76).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Виконавчі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11).</w:t>
      </w:r>
      <w:r/>
    </w:p>
    <w:p>
      <w:pPr>
        <w:pStyle w:val="56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Дострокове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припинення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повноважень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ради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78).</w:t>
      </w:r>
      <w:r/>
    </w:p>
    <w:p>
      <w:pPr>
        <w:pStyle w:val="566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Законодавство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місцеве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самоврядування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стаття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24).</w:t>
      </w:r>
      <w:r/>
    </w:p>
    <w:p>
      <w:pPr>
        <w:pStyle w:val="566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r>
      <w:r/>
    </w:p>
    <w:p>
      <w:pPr>
        <w:pStyle w:val="566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pStyle w:val="567"/>
        <w:ind w:firstLine="708"/>
        <w:spacing w:after="150" w:afterAutospacing="0" w:before="0" w:beforeAutospacing="0"/>
        <w:shd w:val="clear" w:color="auto" w:fill="FFFFFF"/>
      </w:pPr>
      <w:r>
        <w:rPr>
          <w:b/>
          <w:bCs/>
          <w:iCs/>
          <w:color w:val="000000"/>
          <w:sz w:val="28"/>
          <w:szCs w:val="28"/>
          <w:lang w:val="en-US"/>
        </w:rPr>
        <w:t xml:space="preserve">V</w:t>
      </w:r>
      <w:r>
        <w:rPr>
          <w:b/>
          <w:bCs/>
          <w:iCs/>
          <w:color w:val="000000"/>
          <w:sz w:val="28"/>
          <w:szCs w:val="28"/>
          <w:lang w:val="ru-RU"/>
        </w:rPr>
        <w:t xml:space="preserve">.</w:t>
      </w:r>
      <w:r>
        <w:rPr>
          <w:b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Style w:val="569"/>
          <w:b/>
          <w:bCs/>
          <w:sz w:val="28"/>
          <w:szCs w:val="28"/>
        </w:rPr>
        <w:t xml:space="preserve">Питання на знання Законів України «Про адміністративні </w:t>
      </w:r>
      <w:r>
        <w:rPr>
          <w:rStyle w:val="569"/>
          <w:b/>
          <w:bCs/>
          <w:sz w:val="28"/>
          <w:szCs w:val="28"/>
        </w:rPr>
        <w:t xml:space="preserve">послуги»,</w:t>
      </w:r>
      <w:r>
        <w:rPr>
          <w:rStyle w:val="569"/>
          <w:b/>
          <w:bCs/>
          <w:sz w:val="28"/>
          <w:szCs w:val="28"/>
        </w:rPr>
        <w:t xml:space="preserve"> </w:t>
      </w:r>
      <w:r>
        <w:rPr>
          <w:rStyle w:val="569"/>
          <w:b/>
          <w:bCs/>
          <w:sz w:val="28"/>
          <w:szCs w:val="28"/>
        </w:rPr>
        <w:t xml:space="preserve">«Пр</w:t>
      </w:r>
      <w:r>
        <w:rPr>
          <w:rStyle w:val="569"/>
          <w:b/>
          <w:bCs/>
          <w:sz w:val="28"/>
          <w:szCs w:val="28"/>
        </w:rPr>
        <w:t xml:space="preserve">о дозвільну систему у сфері господарської діяльності», «Про Державний земельний кадастр»</w:t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Style w:val="569"/>
          <w:rFonts w:ascii="Times New Roman" w:hAnsi="Times New Roman" w:cs="Times New Roman" w:eastAsia="Times New Roman"/>
          <w:bCs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Визначення термінів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адміністративна послуга, суб’єкт звернення, суб’єкт надання адміністративних послуг (ст.1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2" w:name="n6"/>
      <w:r>
        <w:rPr>
          <w:rFonts w:ascii="Times New Roman" w:hAnsi="Times New Roman" w:cs="Times New Roman" w:eastAsia="Times New Roman"/>
          <w:sz w:val="28"/>
        </w:rPr>
      </w:r>
      <w:bookmarkEnd w:id="22"/>
      <w:r>
        <w:rPr>
          <w:rFonts w:ascii="Times New Roman" w:hAnsi="Times New Roman" w:cs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Суб’єкти надання адміністративних послуг зобов’язані забезпечити: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(ст.6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Інформаційна і технологічна картки адміністративної послуги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(ст.8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Порядок надання адміністративних послуг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 9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Строки надання адміністративних послуг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 10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Плата за надання адміністративних послуг (адміністративний збір)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 11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Центр надання адміністративних послуг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 12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8. Адміністратор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 13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9. Відповідальність за порушення вимог законодавства у сфері надання адміністративних послуг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 19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Надання супутніх послуг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(ст. 15 ЗУ 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 Основні терміни: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дозвільна система у сфері господарської ді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яльності, дозвільні органи, документ дозвільного характеру, об'єкт, на який видається документ дозвільного характеру (далі - об'єкт), дозвільна (погоджувальна) процедура, суб'єкт господарювання, декларація про провадження господарської діяльності (ст.1 ЗУ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дозвільну систему у сфері господарської діяльності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Порядок  та строк проведення дозвільної (погоджувальної) процедури (</w:t>
      </w:r>
      <w:r>
        <w:rPr>
          <w:rStyle w:val="569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2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bookmarkStart w:id="23" w:name="_GoBack"/>
      <w:r>
        <w:rPr>
          <w:rFonts w:ascii="Times New Roman" w:hAnsi="Times New Roman" w:cs="Times New Roman" w:eastAsia="Times New Roman"/>
          <w:sz w:val="28"/>
        </w:rPr>
      </w:r>
      <w:bookmarkEnd w:id="23"/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Підстави для відмови у видачі документа дозвільного характеру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(</w:t>
      </w:r>
      <w:r>
        <w:rPr>
          <w:rStyle w:val="569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2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14. Підстави анулювання документа дозвільного характеру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(</w:t>
      </w:r>
      <w:r>
        <w:rPr>
          <w:rStyle w:val="569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2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Підстави та порядок для переоформлення документа дозвільного характеру (</w:t>
      </w:r>
      <w:r>
        <w:rPr>
          <w:rStyle w:val="569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2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16.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Зупинення розгляду документів, поданих для отримання документа дозвільного характеру (</w:t>
      </w:r>
      <w:r>
        <w:rPr>
          <w:rStyle w:val="569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2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17.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Порядок подачі та прийняття заяв про одержання документа дозвільного характеру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(</w:t>
      </w:r>
      <w:r>
        <w:rPr>
          <w:rStyle w:val="569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2"/>
          <w:rFonts w:ascii="Times New Roman" w:hAnsi="Times New Roman" w:cs="Times New Roman" w:eastAsia="Times New Roman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18.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Відповідальність у сфері видачі документів дозвільного характеру (ст. 10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19. Об'єкти Державного земельного кадастру (ст. 10 ЗУ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20. Відомості про земельні ділянки, що включаються до ДЗК (ст. 15 ЗУ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21. Кадастровий номер земельної ділянки (ст. 16 ЗУ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22. Підстави та основні вимоги щодо внесення відомостей до Державного земельного кадастру (ст. 21 ЗУ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23. Вимоги до документів, які є підставою для внесення відомостей до Державного земельного кадастру (ст.22 ЗУ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24. Державна реєстрація земельної ділянки (ст.24 ЗУ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709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7"/>
    <w:link w:val="55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7"/>
    <w:link w:val="55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7"/>
    <w:link w:val="55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7"/>
    <w:link w:val="556"/>
    <w:uiPriority w:val="9"/>
    <w:rPr>
      <w:rFonts w:ascii="Arial" w:hAnsi="Arial" w:cs="Arial" w:eastAsia="Arial"/>
      <w:b/>
      <w:bCs/>
      <w:sz w:val="26"/>
      <w:szCs w:val="26"/>
    </w:rPr>
  </w:style>
  <w:style w:type="paragraph" w:styleId="390">
    <w:name w:val="Heading 5"/>
    <w:basedOn w:val="552"/>
    <w:next w:val="552"/>
    <w:link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1">
    <w:name w:val="Heading 5 Char"/>
    <w:basedOn w:val="557"/>
    <w:link w:val="390"/>
    <w:uiPriority w:val="9"/>
    <w:rPr>
      <w:rFonts w:ascii="Arial" w:hAnsi="Arial" w:cs="Arial" w:eastAsia="Arial"/>
      <w:b/>
      <w:bCs/>
      <w:sz w:val="24"/>
      <w:szCs w:val="24"/>
    </w:rPr>
  </w:style>
  <w:style w:type="paragraph" w:styleId="392">
    <w:name w:val="Heading 6"/>
    <w:basedOn w:val="552"/>
    <w:next w:val="552"/>
    <w:link w:val="3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3">
    <w:name w:val="Heading 6 Char"/>
    <w:basedOn w:val="557"/>
    <w:link w:val="392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52"/>
    <w:next w:val="552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7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52"/>
    <w:next w:val="552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7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52"/>
    <w:next w:val="552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7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00">
    <w:name w:val="List Paragraph"/>
    <w:basedOn w:val="552"/>
    <w:qFormat/>
    <w:uiPriority w:val="34"/>
    <w:pPr>
      <w:contextualSpacing w:val="true"/>
      <w:ind w:left="720"/>
    </w:pPr>
  </w:style>
  <w:style w:type="paragraph" w:styleId="401">
    <w:name w:val="Title"/>
    <w:basedOn w:val="552"/>
    <w:next w:val="552"/>
    <w:link w:val="4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2">
    <w:name w:val="Title Char"/>
    <w:basedOn w:val="557"/>
    <w:link w:val="401"/>
    <w:uiPriority w:val="10"/>
    <w:rPr>
      <w:sz w:val="48"/>
      <w:szCs w:val="48"/>
    </w:rPr>
  </w:style>
  <w:style w:type="paragraph" w:styleId="403">
    <w:name w:val="Subtitle"/>
    <w:basedOn w:val="552"/>
    <w:next w:val="552"/>
    <w:link w:val="404"/>
    <w:qFormat/>
    <w:uiPriority w:val="11"/>
    <w:rPr>
      <w:sz w:val="24"/>
      <w:szCs w:val="24"/>
    </w:rPr>
    <w:pPr>
      <w:spacing w:after="200" w:before="200"/>
    </w:pPr>
  </w:style>
  <w:style w:type="character" w:styleId="404">
    <w:name w:val="Subtitle Char"/>
    <w:basedOn w:val="557"/>
    <w:link w:val="403"/>
    <w:uiPriority w:val="11"/>
    <w:rPr>
      <w:sz w:val="24"/>
      <w:szCs w:val="24"/>
    </w:rPr>
  </w:style>
  <w:style w:type="paragraph" w:styleId="405">
    <w:name w:val="Quote"/>
    <w:basedOn w:val="552"/>
    <w:next w:val="552"/>
    <w:link w:val="406"/>
    <w:qFormat/>
    <w:uiPriority w:val="29"/>
    <w:rPr>
      <w:i/>
    </w:rPr>
    <w:pPr>
      <w:ind w:left="720" w:right="720"/>
    </w:pPr>
  </w:style>
  <w:style w:type="character" w:styleId="406">
    <w:name w:val="Quote Char"/>
    <w:link w:val="405"/>
    <w:uiPriority w:val="29"/>
    <w:rPr>
      <w:i/>
    </w:rPr>
  </w:style>
  <w:style w:type="paragraph" w:styleId="407">
    <w:name w:val="Intense Quote"/>
    <w:basedOn w:val="552"/>
    <w:next w:val="552"/>
    <w:link w:val="4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8">
    <w:name w:val="Intense Quote Char"/>
    <w:link w:val="407"/>
    <w:uiPriority w:val="30"/>
    <w:rPr>
      <w:i/>
    </w:rPr>
  </w:style>
  <w:style w:type="paragraph" w:styleId="409">
    <w:name w:val="Header"/>
    <w:basedOn w:val="552"/>
    <w:link w:val="4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0">
    <w:name w:val="Header Char"/>
    <w:basedOn w:val="557"/>
    <w:link w:val="409"/>
    <w:uiPriority w:val="99"/>
  </w:style>
  <w:style w:type="paragraph" w:styleId="411">
    <w:name w:val="Footer"/>
    <w:basedOn w:val="552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Footer Char"/>
    <w:basedOn w:val="557"/>
    <w:link w:val="411"/>
    <w:uiPriority w:val="99"/>
  </w:style>
  <w:style w:type="table" w:styleId="413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4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3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4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5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6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7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8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5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6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7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8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9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0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1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7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8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9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0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1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2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3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5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6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7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8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9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0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1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2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3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4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5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6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7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8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9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0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1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2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3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4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5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3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4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5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6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7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8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39">
    <w:name w:val="footnote text"/>
    <w:basedOn w:val="552"/>
    <w:link w:val="540"/>
    <w:uiPriority w:val="99"/>
    <w:semiHidden/>
    <w:unhideWhenUsed/>
    <w:rPr>
      <w:sz w:val="18"/>
    </w:rPr>
    <w:pPr>
      <w:spacing w:lineRule="auto" w:line="240" w:after="40"/>
    </w:pPr>
  </w:style>
  <w:style w:type="character" w:styleId="540">
    <w:name w:val="Footnote Text Char"/>
    <w:link w:val="539"/>
    <w:uiPriority w:val="99"/>
    <w:rPr>
      <w:sz w:val="18"/>
    </w:rPr>
  </w:style>
  <w:style w:type="character" w:styleId="541">
    <w:name w:val="footnote reference"/>
    <w:basedOn w:val="557"/>
    <w:uiPriority w:val="99"/>
    <w:unhideWhenUsed/>
    <w:rPr>
      <w:vertAlign w:val="superscript"/>
    </w:rPr>
  </w:style>
  <w:style w:type="paragraph" w:styleId="542">
    <w:name w:val="toc 1"/>
    <w:basedOn w:val="552"/>
    <w:next w:val="552"/>
    <w:uiPriority w:val="39"/>
    <w:unhideWhenUsed/>
    <w:pPr>
      <w:ind w:left="0" w:right="0" w:firstLine="0"/>
      <w:spacing w:after="57"/>
    </w:pPr>
  </w:style>
  <w:style w:type="paragraph" w:styleId="543">
    <w:name w:val="toc 2"/>
    <w:basedOn w:val="552"/>
    <w:next w:val="552"/>
    <w:uiPriority w:val="39"/>
    <w:unhideWhenUsed/>
    <w:pPr>
      <w:ind w:left="283" w:right="0" w:firstLine="0"/>
      <w:spacing w:after="57"/>
    </w:pPr>
  </w:style>
  <w:style w:type="paragraph" w:styleId="544">
    <w:name w:val="toc 3"/>
    <w:basedOn w:val="552"/>
    <w:next w:val="552"/>
    <w:uiPriority w:val="39"/>
    <w:unhideWhenUsed/>
    <w:pPr>
      <w:ind w:left="567" w:right="0" w:firstLine="0"/>
      <w:spacing w:after="57"/>
    </w:pPr>
  </w:style>
  <w:style w:type="paragraph" w:styleId="545">
    <w:name w:val="toc 4"/>
    <w:basedOn w:val="552"/>
    <w:next w:val="552"/>
    <w:uiPriority w:val="39"/>
    <w:unhideWhenUsed/>
    <w:pPr>
      <w:ind w:left="850" w:right="0" w:firstLine="0"/>
      <w:spacing w:after="57"/>
    </w:pPr>
  </w:style>
  <w:style w:type="paragraph" w:styleId="546">
    <w:name w:val="toc 5"/>
    <w:basedOn w:val="552"/>
    <w:next w:val="552"/>
    <w:uiPriority w:val="39"/>
    <w:unhideWhenUsed/>
    <w:pPr>
      <w:ind w:left="1134" w:right="0" w:firstLine="0"/>
      <w:spacing w:after="57"/>
    </w:pPr>
  </w:style>
  <w:style w:type="paragraph" w:styleId="547">
    <w:name w:val="toc 6"/>
    <w:basedOn w:val="552"/>
    <w:next w:val="552"/>
    <w:uiPriority w:val="39"/>
    <w:unhideWhenUsed/>
    <w:pPr>
      <w:ind w:left="1417" w:right="0" w:firstLine="0"/>
      <w:spacing w:after="57"/>
    </w:pPr>
  </w:style>
  <w:style w:type="paragraph" w:styleId="548">
    <w:name w:val="toc 7"/>
    <w:basedOn w:val="552"/>
    <w:next w:val="552"/>
    <w:uiPriority w:val="39"/>
    <w:unhideWhenUsed/>
    <w:pPr>
      <w:ind w:left="1701" w:right="0" w:firstLine="0"/>
      <w:spacing w:after="57"/>
    </w:pPr>
  </w:style>
  <w:style w:type="paragraph" w:styleId="549">
    <w:name w:val="toc 8"/>
    <w:basedOn w:val="552"/>
    <w:next w:val="552"/>
    <w:uiPriority w:val="39"/>
    <w:unhideWhenUsed/>
    <w:pPr>
      <w:ind w:left="1984" w:right="0" w:firstLine="0"/>
      <w:spacing w:after="57"/>
    </w:pPr>
  </w:style>
  <w:style w:type="paragraph" w:styleId="550">
    <w:name w:val="toc 9"/>
    <w:basedOn w:val="552"/>
    <w:next w:val="552"/>
    <w:uiPriority w:val="39"/>
    <w:unhideWhenUsed/>
    <w:pPr>
      <w:ind w:left="2268" w:right="0" w:firstLine="0"/>
      <w:spacing w:after="57"/>
    </w:pPr>
  </w:style>
  <w:style w:type="paragraph" w:styleId="551">
    <w:name w:val="TOC Heading"/>
    <w:uiPriority w:val="39"/>
    <w:unhideWhenUsed/>
  </w:style>
  <w:style w:type="paragraph" w:styleId="55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3">
    <w:name w:val="Heading 1"/>
    <w:basedOn w:val="552"/>
    <w:next w:val="552"/>
    <w:link w:val="560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4">
    <w:name w:val="Heading 2"/>
    <w:basedOn w:val="552"/>
    <w:next w:val="552"/>
    <w:link w:val="561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5">
    <w:name w:val="Heading 3"/>
    <w:basedOn w:val="552"/>
    <w:next w:val="552"/>
    <w:link w:val="562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6">
    <w:name w:val="Heading 4"/>
    <w:basedOn w:val="552"/>
    <w:next w:val="552"/>
    <w:link w:val="563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character" w:styleId="560" w:customStyle="1">
    <w:name w:val="Заголовок 1 Знак"/>
    <w:basedOn w:val="557"/>
    <w:link w:val="55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1" w:customStyle="1">
    <w:name w:val="Заголовок 2 Знак"/>
    <w:basedOn w:val="557"/>
    <w:link w:val="554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2" w:customStyle="1">
    <w:name w:val="Заголовок 3 Знак"/>
    <w:basedOn w:val="557"/>
    <w:link w:val="555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3" w:customStyle="1">
    <w:name w:val="Заголовок 4 Знак"/>
    <w:basedOn w:val="557"/>
    <w:link w:val="556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4">
    <w:name w:val="Normal (Web)"/>
    <w:basedOn w:val="55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5">
    <w:name w:val="Hyperlink"/>
    <w:semiHidden/>
    <w:unhideWhenUsed/>
    <w:rPr>
      <w:color w:val="0000FF"/>
      <w:u w:val="single"/>
    </w:rPr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567" w:customStyle="1">
    <w:name w:val="rvps2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8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569" w:customStyle="1">
    <w:name w:val="rvts9"/>
  </w:style>
  <w:style w:type="character" w:styleId="570" w:customStyle="1">
    <w:name w:val="rvts15"/>
  </w:style>
  <w:style w:type="character" w:styleId="571" w:customStyle="1">
    <w:name w:val="apple-converted-space"/>
  </w:style>
  <w:style w:type="character" w:styleId="572" w:customStyle="1">
    <w:name w:val="rvts37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ВИШНЯК Тетяна Сергіївна</cp:lastModifiedBy>
  <cp:revision>6</cp:revision>
  <dcterms:created xsi:type="dcterms:W3CDTF">2020-12-14T13:42:00Z</dcterms:created>
  <dcterms:modified xsi:type="dcterms:W3CDTF">2020-12-16T09:53:55Z</dcterms:modified>
</cp:coreProperties>
</file>