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467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08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№5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245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Положення про постійні комісії ради та обрання постійних комісій Менської міської  ради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9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47 Закону України «Про місцеве самоврядування в Україні», Менська міська рада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И Р І Ш И Л А :</w:t>
      </w:r>
      <w:r/>
    </w:p>
    <w:p>
      <w:pPr>
        <w:pStyle w:val="484"/>
        <w:numPr>
          <w:ilvl w:val="0"/>
          <w:numId w:val="39"/>
        </w:numPr>
        <w:ind w:left="0" w:right="0" w:firstLine="425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Положення про постійні комісії Менської міської ради згідно додатку 1 до даного рішення - додається.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39"/>
        </w:numPr>
        <w:ind w:left="0" w:right="0" w:firstLine="425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Обрати постійні комісії Менської міської ради у наступному складі: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 планування, фінансів, бюджету та соціально-економічного розвитку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Бутенко Роман Олексійович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Нерослик Алла Петрівна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Грищенко Віктор Костянтинович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Невжинський Володимир Михайлович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Щукін Валерій Миколайович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Кравцов Валерій Михайлович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 житлово-комунального господарства та комунальної власності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4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Булавка Оксана Михайлівна - голова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4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Бець Анатолій Тихонович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4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Гаєвой Сергій Миколайович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Чепурко Сергій Олександрович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Гнип Володимир Іванович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Івченко Юрій Миколайович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Верхоляк Євген Вікторович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Півень Оксана Олександрівна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Скобєлєва Вікторія Миколаївна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Хоменко Віталій Валерійович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Гончар Наталія Вікторівна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Шелудько Світлана Валеріївна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Мурована Людмила Іванівна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Палієнко Руслан Анатолійович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Черток Валерій Борисович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Прищепа Вікторія Василівна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Стародуб Олена Миколаївна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Фесюн Катерина Олексіївна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</w:t>
      </w:r>
      <w:r>
        <w:rPr>
          <w:rFonts w:ascii="Times New Roman" w:hAnsi="Times New Roman" w:cs="Times New Roman" w:eastAsia="Times New Roman"/>
          <w:sz w:val="28"/>
        </w:rPr>
        <w:t xml:space="preserve">авченко Віталій Валентинович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Стальниченко </w:t>
      </w:r>
      <w:r>
        <w:rPr>
          <w:rFonts w:ascii="Times New Roman" w:hAnsi="Times New Roman" w:cs="Times New Roman" w:eastAsia="Times New Roman"/>
          <w:sz w:val="28"/>
        </w:rPr>
        <w:t xml:space="preserve">Юрій Валерійович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484"/>
        <w:numPr>
          <w:ilvl w:val="0"/>
          <w:numId w:val="39"/>
        </w:numPr>
        <w:ind w:left="0" w:right="0" w:firstLine="425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Головам утворених постійних комісій Менської міської ради забезпечити на першому засіданні кожної комісії вирішення питань щодо структури комісії, у тому числі обрання заступника Голови та секретаря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39"/>
        </w:numPr>
        <w:ind w:left="0" w:right="0" w:firstLine="425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цього рішення покласти на секретаря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811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до рішення 1 сесії міської ради VІІІ скликання від 09 грудня 2020 р. «Про затвердження Положення про постійні комісії ради та обрання постійних комісій Менської міської ради»</w:t>
      </w:r>
      <w:r>
        <w:rPr>
          <w:sz w:val="2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постійні комісії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1. Загальні положення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Постійна комісія ради (далі – постійна комісія) є органом ради, що обирається з числа її депутатів для вивчення, попереднього розгляду і підготовки питань, які належать до відання ради, здійснення контролю за виконанням рішень ради, контролю за рішенн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ями виконавчого комітету.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Постійна комісія обирається радою на строк її повноважень у складі голови і членів постійної комісії. Всі інші питання структури постійної комісії вирішуються постійною комісією.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1.3. До складу постійної комісії не можуть бути обрані міський голова та секретар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1.4. Постійна комісія підзвітна Менській міській раді та відповідальна перед нею.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1.5. У своїй діяльності постійна комісія ради керується Конституцією України, Законом України «Про місцеве самоврядування в Україні», іншими законодавчими актами, рішеннями ради, Регламентом ради та цим Положенням.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1.6. Діяльність постійної комісії ради здійснюється на основі планів роботи, прийнятих на засіданні постійної комісії, доручень громади, міського голови або секретаря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1.7. Постійна комісія в своїй діяльності взаємодіє з іншими постійними та тимчасовими комісіями ради, управліннями та відділами виконавчих органів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1.8. Засідання постійної комісії скликаються в міру необхідності, але не рідше одного разу на місяць і є правомочними, якщо в них бере участь не менш як половина від загального складу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1.9. Перелік і функціональна спрямованість постійних комісій визначаються з урахуванням вимог Закону України «Про засади державної регуляторної політики у сфері господарської діяльності» щодо реалізації повноважень ради у здійсненні державної регуляторної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політики постійними комісіями відповідної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1.10. Депутати працюють у постійній комісії на громадських засадах.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Голова постійної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Здійснює безпосереднє керівництво діяльністю комісії та організує її роботу, у тому числі забезпечує організаційну підготовку її засідань.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 Скликає і веде засідання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2.3. Дає доручення членам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2.4. Представляє комісію у відносинах з іншими органами, об'єднаннями громадян, підприємствами, установами, організаціями, а також громадянами.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2.5. Організує роботу по реалізації висновків і рекомендацій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2.6. Аналізує результати роботи і вживає заходи щодо підвищення ефективності діяльності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2.7. Відповідає за підготовку довідок, звітів, інформацій з питань роботи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2.8. Забезпечує гласність в роботі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2.9. У разі відсутності голови постійної комісії або неможливості ним виконувати свої повноваження з інших причин, його функції здійснює заступник голови постійної комісії або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постійної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sz w:val="28"/>
        </w:rPr>
        <w:t xml:space="preserve">10. </w:t>
      </w:r>
      <w:r>
        <w:rPr>
          <w:rFonts w:ascii="Times New Roman" w:hAnsi="Times New Roman" w:cs="Times New Roman" w:eastAsia="Times New Roman"/>
          <w:sz w:val="28"/>
        </w:rPr>
        <w:t xml:space="preserve">Посадові та зацікавлені особи запрошуються на засідання заздалегідь секретарем комісії. Комісія має право залучати до роботи в комісії працівників управлінь, відділів, секторів міської ради її комунальних підприємств, установ, закладів.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Завдання та організація діяльності постійної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Основним завданням постійної комісії є розробка та попередній розгляд проектів рішень, що виносяться на розгляд ради, підготовка висновків з питань, які планується винести на розгляд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.2. Постійні комісії за дорученням ради, секретаря міської ради або за власною ініціативою вивчають діяльність підзвітних і підконтрольних раді та виконавчому комітету міської ради органів, а також питань, віднесених до відання ради, місцевих державних адм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іністрацій,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- на розгляд ради або виконавчого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омітету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здійснюють контроль за виконанням рішень ради, виконавчого комітету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3.3.Постійні комісії попередньо розглядають кандидатури осіб, які пропонуються для обрання, затвердження, призначення або погодження відповідною радою, готують висновки з цих питань.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3.4.Постійна комісія у питаннях, які належать до її відання, та в порядку, визначеному законом, має право отримувати від керівників органів, підприємств, установ, організацій та їх філіалів і відділень, необхідні матеріали і документи.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3.5.За результатами вивчення і розгляду питань постійні комісії готують висновки і рекомендації. Висновки і рекомендації постійної комісії приймаються більшістю голосів від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загального складу комісії і підписуються головою комісії, а в разі його відсутності – заступником голови або секретарем комісії. Протоколи засідань комісії підписуються головою і секретарем комісії. Висновки і рекомендації постійної комісії, протоколи її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асідань є відкритими та оприлюднюються і надаються на запит відповідно до Закону України «Про доступ до публічної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інформації» у спосіб, визначений Регламентом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3.6.Рекомендації постійної комісії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комісію у встановлений нею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трок.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3.7.Постійна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представників управлінь та відділів ради, спеціалістів (у тому числі незалежних експертів).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3.8.Питання, які належать до відання кількох постійних комісій, можуть за ініціативою комісії, а також за дорученням ради, її голови чи секретаря розглядатися постійними комісіями спільно. Висновки і рекомендації, прийняті постійними комісіями на їх спільн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засіданнях, підписуються головами відповідних постійних комісій.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3.9.Всі питання, які виносяться на розгляд сесії, попередньо обов’язково розглядаються профільною постійною комісією.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Напрямки діяльності постійних комісій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4.1. Постійна комісія з питань планування, фінансів, бюджету та соціально-економічного розвитку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проекти програм соціально-економічного і культурного розвитку Менської об’єднаної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 програм соціально-економічного і культурного розвитку, інвестиційних проектів та програм, у тому числі тих, що можуть реалізовуватись за рахунок Державного фонду регіонального розвитку, міжнародних програм, проектів міжнародної технічної допомог</w:t>
      </w:r>
      <w:r>
        <w:rPr>
          <w:rFonts w:ascii="Times New Roman" w:hAnsi="Times New Roman" w:cs="Times New Roman" w:eastAsia="Times New Roman"/>
          <w:sz w:val="28"/>
        </w:rPr>
        <w:t xml:space="preserve">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 місцевого бюджету;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звіти про хід і результати виконання прийнятих програм і бюджету;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щодо: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0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контролю за утворенням та використанням позабюджетних цільових фондів;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0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підготовки пропозицій щодо встановлення місцевих податків і зборів, розміри їх ставок;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0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надання відповідно до чинного законодавства пільг по місцевих податках і зборах;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0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розгляду сесії міської ради питання з проблем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бюджету та фінансів;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0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контролю ходу виконання законодавчих актів та рішень сесій міської ради з питань бюджету, соціально-економічного розвитку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регуляторних актів щодо їх відповідності вимогам Закону України «Про засади </w:t>
      </w:r>
      <w:r>
        <w:rPr>
          <w:rFonts w:ascii="Times New Roman" w:hAnsi="Times New Roman" w:cs="Times New Roman" w:eastAsia="Times New Roman"/>
          <w:sz w:val="28"/>
        </w:rPr>
        <w:t xml:space="preserve">державної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регуляторної політики у сфері господарської діяльності», у ході розгляду яких забезпечує підготовку експертного висновку до проектів регуляторних актів, які 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носяться на розгляд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проводить аналіз відповідності проектів рішень міської ради розпоряджень міського голови вимогам Конституції України та чинним законам з питань бюджету і фінансів, соціально-економічного розвитку;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збирає, вивчає інформацію з питань, що належать до її компетенції, організовує слухання з цих питань, в тому числі й на пленарних засіданнях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 необхідності залучає правоохоронні  та контролюючі органи, установи, а також вимагає від них подання відомостей, необхідних для здійснення своєї діяльності;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надає консультації органам і посадовим особам з питань витрачання коштів міського бюджету. В ході проведення перевірок та аналізу стану економіки розробляє заходи щодо вишукування можливостей і нових джерел залучення додаткових надходжень до  міського</w:t>
      </w:r>
      <w:r>
        <w:rPr>
          <w:rFonts w:ascii="Times New Roman" w:hAnsi="Times New Roman" w:cs="Times New Roman" w:eastAsia="Times New Roman"/>
          <w:sz w:val="28"/>
        </w:rPr>
        <w:t xml:space="preserve"> бюджету, вносить відповідні пропозиції раді;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розглядає віднесені до її відання звернення громадян відповідно до Закону України „Про звернення громадян”. Бере участь у розробці заходів по реалізації наказів виборців, сприяє організації їх виконання;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розглядає інші питання, які віднесені до відання міської ради та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4.2. Постійна комісія з питань житлово-комунального господарства та комунальної власності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програм соціально-економічного і культурного розвитку Менської об’єднаної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звіти про виконання програм і міського бюджету, а також звіти про хід та результати відчуження комунального майна;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об’єднаної територіальної громади щодо: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удосконалення структури управління житлово-комунальним та енергетичним господарством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підвищення рівня забезпеченості житлово-комунальними послугами, поліпшення їх якості, тощо та забезпечення їх реалізації;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розгляду проектів міських програм в сфері розвитку дорожньо-транспортної інфраструктури, благоустрою населених пунктf[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і реорганізації підприємств комунальної власності;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щодо стану та ефективного використання комунальної власності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встановлення порядку та здійснення контролю за використанням прибутків підприємств, установ та організацій комунальної власності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підготовки і розгляду проектів місцевих програм приватизації та переліку об’єктів комунальної власності об’єднаної територіальної громади, які не підлягають приватизації;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виконавчим органам Менської міської ради в управлінні об’єктами житлово-комунального господарства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про стан та розвиток житлово-комунального господарства об’єднаної територіальної громади, інші питання, які вносяться на розгляд ради;</w:t>
      </w:r>
      <w:r>
        <w:rPr>
          <w:sz w:val="28"/>
        </w:rPr>
      </w:r>
      <w:r/>
    </w:p>
    <w:p>
      <w:pPr>
        <w:pStyle w:val="484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про стан та розвиток транспортної мережі, покращення пасажирських перевезень в громаді.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4.3. Постійна комісія з питань містобудування, будівництва, земельних відносин та охорони природи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програм соціально-економічного і культурного розвитку Менської об’єднаної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місцевих програм охорони довкілля;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Менської міської об’єднаної територіальної громади щодо: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координації діяльності суб’єктів містобудування щодо комплексної забудови населених пунктів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режиму використання територій і об’єктів природно-заповідного фонду місцевого значення;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ставок орендної плати за користування землею та об’єктами природоохоронного та водного фонду (спільно з Постійною комісією з питань планування, фінансів, бюджету та соціально-економічного розвитку);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розвитку будівництва;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планів і програм будівництва та реконструкції об’єктів комунального господарства та соціально-культурного призначення, житлових будинків, шляхів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розробки містобудівних програм, генеральних планів забудов.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</w:t>
      </w:r>
      <w:r>
        <w:rPr>
          <w:rFonts w:ascii="Times New Roman" w:hAnsi="Times New Roman" w:cs="Times New Roman" w:eastAsia="Times New Roman"/>
          <w:sz w:val="28"/>
        </w:rPr>
        <w:t xml:space="preserve">і готує питання про стан та розвиток містобудування і архітектури, інші питання, які виносяться на розгляд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4.4. Постійна комісія з питань охорони здоров'я, соціального захисту, освіти, культури, молоді, фізкультури і спорту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4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програм соціально-економічного і культурного розвитку Менської міської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4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та звіти про виконання місцевих програм і бюджету на відповід</w:t>
      </w:r>
      <w:r>
        <w:rPr>
          <w:rFonts w:ascii="Times New Roman" w:hAnsi="Times New Roman" w:cs="Times New Roman" w:eastAsia="Times New Roman"/>
          <w:sz w:val="28"/>
        </w:rPr>
        <w:t xml:space="preserve">ний рік;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4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 Менської міської об’єднаної територіальної громади щодо: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умов для розвитку культури;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відродженню осередків традиційної народної творчості, національно-культурних традицій населення, художніх промислів і ремесел;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умов для занять фізичною культурою і спортом;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</w:t>
      </w:r>
      <w:r>
        <w:rPr>
          <w:rFonts w:ascii="Times New Roman" w:hAnsi="Times New Roman" w:cs="Times New Roman" w:eastAsia="Times New Roman"/>
          <w:sz w:val="28"/>
        </w:rPr>
        <w:t xml:space="preserve">ворення необхідних умов для забезпечення здобуття неповнолітніми повної загальної середньої освіти, виховання дітей, молоді, розвитку їх здібностей, трудового навчання, професійної орієнтації, сприяння діяльності дошкільних та позашкільних навчально-ви</w:t>
      </w:r>
      <w:r>
        <w:rPr>
          <w:rFonts w:ascii="Times New Roman" w:hAnsi="Times New Roman" w:cs="Times New Roman" w:eastAsia="Times New Roman"/>
          <w:sz w:val="28"/>
        </w:rPr>
        <w:t xml:space="preserve">ховних закладів, дитячих, молодіжних та науково-просвітницьких організацій;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оптимізації структури системи дошкільної та шкільної освіти у об’єднаній територіальній громаді;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ефективного використання культурно-освітніх, спортивних закладів, дитячих дошкільних і позашкільних установ;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сприяння виконавчим органам в управлінні закладами освіти, культури, фізкультури і спорту;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реаліза</w:t>
      </w:r>
      <w:r>
        <w:rPr>
          <w:rFonts w:ascii="Times New Roman" w:hAnsi="Times New Roman" w:cs="Times New Roman" w:eastAsia="Times New Roman"/>
          <w:sz w:val="28"/>
        </w:rPr>
        <w:t xml:space="preserve">ції та захисту прав людини на працю, охорону здоров’я, материнства і дитинства;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забезпече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 соціальної справедливості у всіх сферах громадського життя;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оптимізації структури системи охорони здоров’я у об’єднаній територіальній громаді;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поліпшення житлових і матеріально-побутових умов соціально незахищених громадян;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надання відповідно до чинного законодавства пільг і допомоги, пов’язаних з охороною материнства і дитинства, пільг громадянам, які постраждали внаслідок Чорнобильської катастрофи;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прав пільгових категорій громадян на безкоштовне отримання ліків, зубопротезування та підготовка відповідних пропозицій міській раді з цих питань;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здійснення контролю за забезпеченням соціального захисту працівників, зайнятих на роботах із шкідливими умовами праці на підприємствах, в установах та організаціях, наданням працівникам відповідно до законодавства пільг та компенсацій за роботу у шкідлив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умовах;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взаємодії з громадськими організаціями, створеними для захисту соціально-економічних інтересів громадян;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розгляду санітарно-епідеміологічного благополуччя населення;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4"/>
        <w:numPr>
          <w:ilvl w:val="0"/>
          <w:numId w:val="24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</w:t>
      </w:r>
      <w:r>
        <w:rPr>
          <w:rFonts w:ascii="Times New Roman" w:hAnsi="Times New Roman" w:cs="Times New Roman" w:eastAsia="Times New Roman"/>
          <w:sz w:val="28"/>
        </w:rPr>
        <w:t xml:space="preserve">про стан та розвиток охорони здоров’я, проблем соціального захисту населення,</w:t>
      </w:r>
      <w:r>
        <w:rPr>
          <w:rFonts w:ascii="Times New Roman" w:hAnsi="Times New Roman" w:cs="Times New Roman" w:eastAsia="Times New Roman"/>
          <w:sz w:val="28"/>
        </w:rPr>
        <w:t xml:space="preserve"> освіти, культури, фізкуль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тури і спорту, молодіжних проблем, інші питання, які вносяться на розгляд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4.5. Постійна комісія з 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забезпечення законності, правопорядку, охорони прав, свобод і законних інтересів громадян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утримання органів правопорядку за рахунок бюджету;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депутатської діяльності, додержання норм депутатської етики;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додержання вимог Закону України «Про місцеве самоврядування в Україні»;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контролю за додержанням депутатами та посадовими особами виконавчих органів ради вимог Закону України «Про статус депутатів місцевих рад»;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координації дій з обласною радою, іншими органами місцевого самоврядування, органами самоорганізації населення, громадськими та політичними організаціями;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пропозиції щодо змін та доповнень до Регламенту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про стан та розвиток місцевого самоврядування, органів самоорганізації населення;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питання, пов’язані із приведенням актів нормативного характеру, виданих радою (у тому числі й попередніх скликань) та її виконавчими органами, у відповідність приписам чинного законодавства України;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питання, пов’язані із врегулюванням конфлікту інтересів (у тому числі здійснює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контроль за дотриманням селищним головою, секретарем, депутатами ради вимог ч. 1 ст. 59-1 Закону України «Про місцеве самоврядування в Україні» щодо процедур врегулювання конфлі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кту інтересів), надає голові, секретарю та депутатам ради консультації та роз'яснення щодо запобігання та врегулювання конфлікту інтересів, поводження з майном, що може бути неправомірною вигодою та подарунками.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Взаємодія постійних комісій з виконавчим комітетом, управліннями та відділами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5.1. Рекомендації постійної комісії подаються Менському міському голові в письмовій формі з реєстрацією в загальному відділі.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5.2. Виконавчий комітет, управління та відділи ради зобов’язані в п’ятнадцятиденний термін (якщо комісією не буде визначено інший строк виконання) розглянути рекомендації та пропозиції постійної комісії та надати аргументовану відповідь.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5.3. У випадку відхилення рекомендації постійної комісії виконавчим комітетом, управлінням чи відділом ради, вона має право повторно винести рекомендації на їх розгляд.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5.4. Якщо пропозиція повторно відхилена, комісія може підготувати на розгляд ради проект рішення з порушеного питання.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5.5. Постійна комісія здійснює контроль за виконанням рішень виконавчого комітету з питань, віднесених до її компетенції.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6">
    <w:name w:val="Heading 1"/>
    <w:basedOn w:val="638"/>
    <w:next w:val="638"/>
    <w:link w:val="4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7">
    <w:name w:val="Heading 1 Char"/>
    <w:basedOn w:val="639"/>
    <w:link w:val="466"/>
    <w:uiPriority w:val="9"/>
    <w:rPr>
      <w:rFonts w:ascii="Arial" w:hAnsi="Arial" w:cs="Arial" w:eastAsia="Arial"/>
      <w:sz w:val="40"/>
      <w:szCs w:val="40"/>
    </w:rPr>
  </w:style>
  <w:style w:type="paragraph" w:styleId="468">
    <w:name w:val="Heading 2"/>
    <w:basedOn w:val="638"/>
    <w:next w:val="638"/>
    <w:link w:val="4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9">
    <w:name w:val="Heading 2 Char"/>
    <w:basedOn w:val="639"/>
    <w:link w:val="468"/>
    <w:uiPriority w:val="9"/>
    <w:rPr>
      <w:rFonts w:ascii="Arial" w:hAnsi="Arial" w:cs="Arial" w:eastAsia="Arial"/>
      <w:sz w:val="34"/>
    </w:rPr>
  </w:style>
  <w:style w:type="paragraph" w:styleId="470">
    <w:name w:val="Heading 3"/>
    <w:basedOn w:val="638"/>
    <w:next w:val="638"/>
    <w:link w:val="4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1">
    <w:name w:val="Heading 3 Char"/>
    <w:basedOn w:val="639"/>
    <w:link w:val="470"/>
    <w:uiPriority w:val="9"/>
    <w:rPr>
      <w:rFonts w:ascii="Arial" w:hAnsi="Arial" w:cs="Arial" w:eastAsia="Arial"/>
      <w:sz w:val="30"/>
      <w:szCs w:val="30"/>
    </w:rPr>
  </w:style>
  <w:style w:type="paragraph" w:styleId="472">
    <w:name w:val="Heading 4"/>
    <w:basedOn w:val="638"/>
    <w:next w:val="638"/>
    <w:link w:val="4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3">
    <w:name w:val="Heading 4 Char"/>
    <w:basedOn w:val="639"/>
    <w:link w:val="472"/>
    <w:uiPriority w:val="9"/>
    <w:rPr>
      <w:rFonts w:ascii="Arial" w:hAnsi="Arial" w:cs="Arial" w:eastAsia="Arial"/>
      <w:b/>
      <w:bCs/>
      <w:sz w:val="26"/>
      <w:szCs w:val="26"/>
    </w:rPr>
  </w:style>
  <w:style w:type="paragraph" w:styleId="474">
    <w:name w:val="Heading 5"/>
    <w:basedOn w:val="638"/>
    <w:next w:val="638"/>
    <w:link w:val="4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5">
    <w:name w:val="Heading 5 Char"/>
    <w:basedOn w:val="639"/>
    <w:link w:val="474"/>
    <w:uiPriority w:val="9"/>
    <w:rPr>
      <w:rFonts w:ascii="Arial" w:hAnsi="Arial" w:cs="Arial" w:eastAsia="Arial"/>
      <w:b/>
      <w:bCs/>
      <w:sz w:val="24"/>
      <w:szCs w:val="24"/>
    </w:rPr>
  </w:style>
  <w:style w:type="paragraph" w:styleId="476">
    <w:name w:val="Heading 6"/>
    <w:basedOn w:val="638"/>
    <w:next w:val="638"/>
    <w:link w:val="4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7">
    <w:name w:val="Heading 6 Char"/>
    <w:basedOn w:val="639"/>
    <w:link w:val="476"/>
    <w:uiPriority w:val="9"/>
    <w:rPr>
      <w:rFonts w:ascii="Arial" w:hAnsi="Arial" w:cs="Arial" w:eastAsia="Arial"/>
      <w:b/>
      <w:bCs/>
      <w:sz w:val="22"/>
      <w:szCs w:val="22"/>
    </w:rPr>
  </w:style>
  <w:style w:type="paragraph" w:styleId="478">
    <w:name w:val="Heading 7"/>
    <w:basedOn w:val="638"/>
    <w:next w:val="638"/>
    <w:link w:val="4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9">
    <w:name w:val="Heading 7 Char"/>
    <w:basedOn w:val="639"/>
    <w:link w:val="4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0">
    <w:name w:val="Heading 8"/>
    <w:basedOn w:val="638"/>
    <w:next w:val="638"/>
    <w:link w:val="4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1">
    <w:name w:val="Heading 8 Char"/>
    <w:basedOn w:val="639"/>
    <w:link w:val="480"/>
    <w:uiPriority w:val="9"/>
    <w:rPr>
      <w:rFonts w:ascii="Arial" w:hAnsi="Arial" w:cs="Arial" w:eastAsia="Arial"/>
      <w:i/>
      <w:iCs/>
      <w:sz w:val="22"/>
      <w:szCs w:val="22"/>
    </w:rPr>
  </w:style>
  <w:style w:type="paragraph" w:styleId="482">
    <w:name w:val="Heading 9"/>
    <w:basedOn w:val="638"/>
    <w:next w:val="638"/>
    <w:link w:val="4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3">
    <w:name w:val="Heading 9 Char"/>
    <w:basedOn w:val="639"/>
    <w:link w:val="482"/>
    <w:uiPriority w:val="9"/>
    <w:rPr>
      <w:rFonts w:ascii="Arial" w:hAnsi="Arial" w:cs="Arial" w:eastAsia="Arial"/>
      <w:i/>
      <w:iCs/>
      <w:sz w:val="21"/>
      <w:szCs w:val="21"/>
    </w:rPr>
  </w:style>
  <w:style w:type="paragraph" w:styleId="484">
    <w:name w:val="List Paragraph"/>
    <w:basedOn w:val="638"/>
    <w:qFormat/>
    <w:uiPriority w:val="34"/>
    <w:pPr>
      <w:contextualSpacing w:val="true"/>
      <w:ind w:left="720"/>
    </w:pPr>
  </w:style>
  <w:style w:type="paragraph" w:styleId="485">
    <w:name w:val="No Spacing"/>
    <w:qFormat/>
    <w:uiPriority w:val="1"/>
    <w:pPr>
      <w:spacing w:lineRule="auto" w:line="240" w:after="0" w:before="0"/>
    </w:pPr>
  </w:style>
  <w:style w:type="paragraph" w:styleId="486">
    <w:name w:val="Title"/>
    <w:basedOn w:val="638"/>
    <w:next w:val="638"/>
    <w:link w:val="4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7">
    <w:name w:val="Title Char"/>
    <w:basedOn w:val="639"/>
    <w:link w:val="486"/>
    <w:uiPriority w:val="10"/>
    <w:rPr>
      <w:sz w:val="48"/>
      <w:szCs w:val="48"/>
    </w:rPr>
  </w:style>
  <w:style w:type="paragraph" w:styleId="488">
    <w:name w:val="Subtitle"/>
    <w:basedOn w:val="638"/>
    <w:next w:val="638"/>
    <w:link w:val="489"/>
    <w:qFormat/>
    <w:uiPriority w:val="11"/>
    <w:rPr>
      <w:sz w:val="24"/>
      <w:szCs w:val="24"/>
    </w:rPr>
    <w:pPr>
      <w:spacing w:after="200" w:before="200"/>
    </w:pPr>
  </w:style>
  <w:style w:type="character" w:styleId="489">
    <w:name w:val="Subtitle Char"/>
    <w:basedOn w:val="639"/>
    <w:link w:val="488"/>
    <w:uiPriority w:val="11"/>
    <w:rPr>
      <w:sz w:val="24"/>
      <w:szCs w:val="24"/>
    </w:rPr>
  </w:style>
  <w:style w:type="paragraph" w:styleId="490">
    <w:name w:val="Quote"/>
    <w:basedOn w:val="638"/>
    <w:next w:val="638"/>
    <w:link w:val="491"/>
    <w:qFormat/>
    <w:uiPriority w:val="29"/>
    <w:rPr>
      <w:i/>
    </w:rPr>
    <w:pPr>
      <w:ind w:left="720" w:right="720"/>
    </w:pPr>
  </w:style>
  <w:style w:type="character" w:styleId="491">
    <w:name w:val="Quote Char"/>
    <w:link w:val="490"/>
    <w:uiPriority w:val="29"/>
    <w:rPr>
      <w:i/>
    </w:rPr>
  </w:style>
  <w:style w:type="paragraph" w:styleId="492">
    <w:name w:val="Intense Quote"/>
    <w:basedOn w:val="638"/>
    <w:next w:val="638"/>
    <w:link w:val="49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3">
    <w:name w:val="Intense Quote Char"/>
    <w:link w:val="492"/>
    <w:uiPriority w:val="30"/>
    <w:rPr>
      <w:i/>
    </w:rPr>
  </w:style>
  <w:style w:type="paragraph" w:styleId="494">
    <w:name w:val="Header"/>
    <w:basedOn w:val="638"/>
    <w:link w:val="4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5">
    <w:name w:val="Header Char"/>
    <w:basedOn w:val="639"/>
    <w:link w:val="494"/>
    <w:uiPriority w:val="99"/>
  </w:style>
  <w:style w:type="paragraph" w:styleId="496">
    <w:name w:val="Footer"/>
    <w:basedOn w:val="638"/>
    <w:link w:val="4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7">
    <w:name w:val="Footer Char"/>
    <w:basedOn w:val="639"/>
    <w:link w:val="496"/>
    <w:uiPriority w:val="99"/>
  </w:style>
  <w:style w:type="table" w:styleId="498">
    <w:name w:val="Table Grid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4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5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6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7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8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9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0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1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2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3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4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5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6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7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38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39"/>
    <w:uiPriority w:val="99"/>
    <w:unhideWhenUsed/>
    <w:rPr>
      <w:vertAlign w:val="superscript"/>
    </w:rPr>
  </w:style>
  <w:style w:type="paragraph" w:styleId="628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629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630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631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632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633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634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635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636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637">
    <w:name w:val="TOC Heading"/>
    <w:uiPriority w:val="39"/>
    <w:unhideWhenUsed/>
  </w:style>
  <w:style w:type="paragraph" w:styleId="638" w:default="1">
    <w:name w:val="Normal"/>
    <w:qFormat/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12</cp:revision>
  <dcterms:created xsi:type="dcterms:W3CDTF">2019-03-29T20:09:00Z</dcterms:created>
  <dcterms:modified xsi:type="dcterms:W3CDTF">2020-12-18T13:23:43Z</dcterms:modified>
</cp:coreProperties>
</file>