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D4" w:rsidRDefault="00B750DB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41280" cy="74638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1280" cy="7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D4" w:rsidRDefault="00B750DB">
      <w:pPr>
        <w:pStyle w:val="a0"/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Україна</w:t>
      </w:r>
    </w:p>
    <w:p w:rsidR="008420D4" w:rsidRDefault="00B750DB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8420D4" w:rsidRDefault="00B750DB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8420D4" w:rsidRDefault="00B750DB">
      <w:pPr>
        <w:pStyle w:val="a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ВИКОНАВЧИЙ КОМІТЕТ</w:t>
      </w:r>
    </w:p>
    <w:p w:rsidR="008420D4" w:rsidRDefault="00B750DB">
      <w:pPr>
        <w:pStyle w:val="a0"/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РІШЕННЯ</w:t>
      </w:r>
    </w:p>
    <w:p w:rsidR="008420D4" w:rsidRDefault="008420D4">
      <w:pPr>
        <w:pStyle w:val="a0"/>
        <w:keepNext/>
        <w:tabs>
          <w:tab w:val="left" w:pos="0"/>
        </w:tabs>
        <w:spacing w:after="0" w:line="240" w:lineRule="auto"/>
        <w:ind w:left="432" w:hanging="432"/>
        <w:outlineLvl w:val="0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8420D4" w:rsidRDefault="00014508">
      <w:pPr>
        <w:pStyle w:val="a0"/>
        <w:widowControl w:val="0"/>
        <w:tabs>
          <w:tab w:val="left" w:pos="4536"/>
          <w:tab w:val="left" w:pos="7797"/>
        </w:tabs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25 листопада </w:t>
      </w:r>
      <w:r w:rsidR="00B750DB">
        <w:rPr>
          <w:rFonts w:ascii="Times New Roman" w:eastAsia="Lucida Sans Unicode" w:hAnsi="Times New Roman"/>
          <w:sz w:val="28"/>
          <w:szCs w:val="28"/>
          <w:lang w:eastAsia="hi-IN" w:bidi="hi-IN"/>
        </w:rPr>
        <w:t>2020 року</w:t>
      </w:r>
      <w:r w:rsidR="00B750DB"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 xml:space="preserve">м. </w:t>
      </w:r>
      <w:proofErr w:type="spellStart"/>
      <w:r w:rsidR="00B750DB">
        <w:rPr>
          <w:rFonts w:ascii="Times New Roman" w:eastAsia="Lucida Sans Unicode" w:hAnsi="Times New Roman"/>
          <w:sz w:val="28"/>
          <w:szCs w:val="28"/>
          <w:lang w:eastAsia="hi-IN" w:bidi="hi-IN"/>
        </w:rPr>
        <w:t>Мена</w:t>
      </w:r>
      <w:proofErr w:type="spellEnd"/>
      <w:r w:rsidR="00B750DB"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 xml:space="preserve">№ </w:t>
      </w:r>
      <w:r w:rsidR="005B3AA4">
        <w:rPr>
          <w:rFonts w:ascii="Times New Roman" w:eastAsia="Lucida Sans Unicode" w:hAnsi="Times New Roman"/>
          <w:sz w:val="28"/>
          <w:szCs w:val="28"/>
          <w:lang w:eastAsia="hi-IN" w:bidi="hi-IN"/>
        </w:rPr>
        <w:t>259</w:t>
      </w:r>
    </w:p>
    <w:p w:rsidR="008420D4" w:rsidRDefault="00014508">
      <w:pPr>
        <w:pStyle w:val="a0"/>
        <w:spacing w:after="0" w:line="240" w:lineRule="auto"/>
        <w:ind w:right="552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 внесення змін до </w:t>
      </w:r>
      <w:r w:rsidR="00B750DB">
        <w:rPr>
          <w:rFonts w:ascii="Times New Roman" w:eastAsia="Times New Roman" w:hAnsi="Times New Roman"/>
          <w:b/>
          <w:sz w:val="28"/>
          <w:szCs w:val="28"/>
          <w:lang w:eastAsia="ar-SA"/>
        </w:rPr>
        <w:t>Програми розвитку водного господарства та екологічного оздоровлення малих річок та водойм на території Менської міської об’єднаної територіаль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ної громади на 2020 – 2024 роки</w:t>
      </w:r>
    </w:p>
    <w:p w:rsidR="008420D4" w:rsidRDefault="008420D4">
      <w:pPr>
        <w:pStyle w:val="a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420D4" w:rsidRDefault="00B750DB">
      <w:pPr>
        <w:pStyle w:val="a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 зв’язку з відсутністю протягом 2020 року обсягів фінансування заходів, передбачених “Програмою розвитку водного господарства та екологічного оздоровлення малих річок та водойм на території Менської міської об’єднаної територіальної громади на 2020 – 2024 роки”, перенести заплановані обсяги фінансування з 2020 року на 2021 рік (п.1 Додатку до Програми), шляхом внесення змін до рішення 36 сесії 7 скликання Менської міської ради № 662,  керуючись ст. 27 Закону України “Про місцеве самоврядування в Україні” виконавчий комітет Менської міської ради</w:t>
      </w:r>
    </w:p>
    <w:p w:rsidR="008420D4" w:rsidRPr="00014508" w:rsidRDefault="00B750DB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4508">
        <w:rPr>
          <w:rFonts w:ascii="Times New Roman" w:hAnsi="Times New Roman"/>
          <w:sz w:val="28"/>
          <w:szCs w:val="28"/>
          <w:lang w:eastAsia="ar-SA"/>
        </w:rPr>
        <w:t>ВИРІШИВ:</w:t>
      </w:r>
    </w:p>
    <w:p w:rsidR="008420D4" w:rsidRDefault="00014508">
      <w:pPr>
        <w:pStyle w:val="a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B750DB">
        <w:rPr>
          <w:rFonts w:ascii="Times New Roman" w:hAnsi="Times New Roman"/>
          <w:sz w:val="28"/>
          <w:szCs w:val="28"/>
          <w:lang w:eastAsia="ar-SA"/>
        </w:rPr>
        <w:t>1. Погодити внесення змін до рішення 36 сесії 7 скликання Менської міської ради №662 «Про затвердження Програми розвитку водного господарства та екологічного оздоровлення малих річок та водойм на території Менської міської об’єднаної територіальної громади на 2020 – 2024 роки», (далі – Програма)</w:t>
      </w:r>
      <w:r w:rsidR="005B3AA4">
        <w:rPr>
          <w:rFonts w:ascii="Times New Roman" w:hAnsi="Times New Roman"/>
          <w:sz w:val="28"/>
          <w:szCs w:val="28"/>
          <w:lang w:eastAsia="ar-SA"/>
        </w:rPr>
        <w:t>,</w:t>
      </w:r>
      <w:r w:rsidR="00B750DB">
        <w:rPr>
          <w:rFonts w:ascii="Times New Roman" w:hAnsi="Times New Roman"/>
          <w:sz w:val="28"/>
          <w:szCs w:val="28"/>
          <w:lang w:eastAsia="ar-SA"/>
        </w:rPr>
        <w:t xml:space="preserve"> виклавши додаток до Програми в новій редакції </w:t>
      </w:r>
      <w:r>
        <w:rPr>
          <w:rFonts w:ascii="Times New Roman" w:hAnsi="Times New Roman"/>
          <w:sz w:val="28"/>
          <w:szCs w:val="28"/>
          <w:lang w:eastAsia="ar-SA"/>
        </w:rPr>
        <w:t xml:space="preserve">згідно додатку </w:t>
      </w:r>
      <w:r w:rsidR="00B750DB">
        <w:rPr>
          <w:rFonts w:ascii="Times New Roman" w:hAnsi="Times New Roman"/>
          <w:sz w:val="28"/>
          <w:szCs w:val="28"/>
          <w:lang w:eastAsia="ar-SA"/>
        </w:rPr>
        <w:t>(додається).</w:t>
      </w:r>
    </w:p>
    <w:p w:rsidR="008420D4" w:rsidRDefault="00014508">
      <w:pPr>
        <w:pStyle w:val="a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B750DB">
        <w:rPr>
          <w:rFonts w:ascii="Times New Roman" w:hAnsi="Times New Roman"/>
          <w:sz w:val="28"/>
          <w:szCs w:val="28"/>
          <w:lang w:eastAsia="ar-SA"/>
        </w:rPr>
        <w:t xml:space="preserve">2. Підготувати та подати </w:t>
      </w:r>
      <w:proofErr w:type="spellStart"/>
      <w:r w:rsidR="00B750DB">
        <w:rPr>
          <w:rFonts w:ascii="Times New Roman" w:hAnsi="Times New Roman"/>
          <w:sz w:val="28"/>
          <w:szCs w:val="28"/>
          <w:lang w:eastAsia="ar-SA"/>
        </w:rPr>
        <w:t>проєкт</w:t>
      </w:r>
      <w:proofErr w:type="spellEnd"/>
      <w:r w:rsidR="00B750DB">
        <w:rPr>
          <w:rFonts w:ascii="Times New Roman" w:hAnsi="Times New Roman"/>
          <w:sz w:val="28"/>
          <w:szCs w:val="28"/>
          <w:lang w:eastAsia="ar-SA"/>
        </w:rPr>
        <w:t xml:space="preserve"> рішення «Про внесення змін до рішення 36 сесії 7 скликання Менської міської ради №662 «Про затвердження Програми розвитку водного господарства та екологічного оздоровлення малих річок та водойм на території Менської міської об’єднаної територіальної громади на 2020 – 2024 роки»», виклавши додаток до Програми в новій редакції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B750DB">
        <w:rPr>
          <w:rFonts w:ascii="Times New Roman" w:hAnsi="Times New Roman"/>
          <w:sz w:val="28"/>
          <w:szCs w:val="28"/>
          <w:lang w:eastAsia="ar-SA"/>
        </w:rPr>
        <w:t xml:space="preserve"> на розгляд сесії Менської міської ради в установленому законом порядку.</w:t>
      </w:r>
    </w:p>
    <w:p w:rsidR="008420D4" w:rsidRDefault="00014508" w:rsidP="00014508">
      <w:pPr>
        <w:pStyle w:val="a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B750DB">
        <w:rPr>
          <w:rFonts w:ascii="Times New Roman" w:hAnsi="Times New Roman"/>
          <w:sz w:val="28"/>
          <w:szCs w:val="28"/>
          <w:lang w:eastAsia="ar-SA"/>
        </w:rPr>
        <w:t xml:space="preserve">3.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eastAsia="ar-SA"/>
        </w:rPr>
        <w:t>заступника міського голови з питань діяльності виконкому Менської міської ради Гайдукевича М.В.</w:t>
      </w:r>
    </w:p>
    <w:p w:rsidR="00014508" w:rsidRDefault="00014508" w:rsidP="00014508">
      <w:pPr>
        <w:pStyle w:val="a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14508" w:rsidRDefault="00014508" w:rsidP="00014508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014508" w:rsidRDefault="00014508" w:rsidP="00014508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014508" w:rsidRPr="00A73852" w:rsidRDefault="00014508" w:rsidP="00014508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:rsidR="008420D4" w:rsidRDefault="008420D4">
      <w:pPr>
        <w:pStyle w:val="a0"/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p w:rsidR="008420D4" w:rsidRDefault="008420D4">
      <w:pPr>
        <w:pStyle w:val="a0"/>
        <w:widowControl w:val="0"/>
        <w:tabs>
          <w:tab w:val="left" w:pos="2127"/>
        </w:tabs>
        <w:spacing w:after="0" w:line="240" w:lineRule="auto"/>
        <w:ind w:left="5670"/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  <w:sectPr w:rsidR="008420D4">
          <w:pgSz w:w="11906" w:h="16838"/>
          <w:pgMar w:top="568" w:right="567" w:bottom="851" w:left="1701" w:header="709" w:footer="709" w:gutter="0"/>
          <w:cols w:space="708"/>
          <w:docGrid w:linePitch="360"/>
        </w:sectPr>
      </w:pPr>
    </w:p>
    <w:p w:rsidR="008420D4" w:rsidRDefault="00B750DB">
      <w:pPr>
        <w:pStyle w:val="a0"/>
        <w:widowControl w:val="0"/>
        <w:tabs>
          <w:tab w:val="left" w:pos="2127"/>
        </w:tabs>
        <w:spacing w:after="0" w:line="240" w:lineRule="auto"/>
        <w:ind w:left="9923"/>
        <w:jc w:val="both"/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  <w:lastRenderedPageBreak/>
        <w:t xml:space="preserve">Додаток до  рішення виконавчого комітету Менської міської ради «Про </w:t>
      </w:r>
      <w:r w:rsidR="00BD7086"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  <w:t xml:space="preserve">внесення змін до </w:t>
      </w:r>
      <w:r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  <w:t xml:space="preserve">Програми розвитку водного господарства та екологічного оздоровлення малих річок та водойм на території Менської міської об’єднаної територіальної громади на 2020 – 2024 роки» </w:t>
      </w:r>
      <w:r w:rsidR="005B3AA4"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  <w:t>від  25.11.2020 № 259</w:t>
      </w:r>
      <w:bookmarkStart w:id="0" w:name="_GoBack"/>
      <w:bookmarkEnd w:id="0"/>
    </w:p>
    <w:p w:rsidR="008420D4" w:rsidRDefault="008420D4">
      <w:pPr>
        <w:pStyle w:val="a0"/>
        <w:widowControl w:val="0"/>
        <w:tabs>
          <w:tab w:val="left" w:pos="2127"/>
        </w:tabs>
        <w:spacing w:after="0" w:line="240" w:lineRule="auto"/>
        <w:ind w:left="10206"/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</w:pPr>
    </w:p>
    <w:p w:rsidR="008420D4" w:rsidRDefault="008420D4">
      <w:pPr>
        <w:pStyle w:val="a0"/>
        <w:widowControl w:val="0"/>
        <w:tabs>
          <w:tab w:val="left" w:pos="2127"/>
        </w:tabs>
        <w:spacing w:after="0" w:line="240" w:lineRule="auto"/>
        <w:ind w:left="10206"/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</w:pPr>
    </w:p>
    <w:p w:rsidR="008420D4" w:rsidRDefault="00B750DB">
      <w:pPr>
        <w:pStyle w:val="a0"/>
        <w:widowControl w:val="0"/>
        <w:tabs>
          <w:tab w:val="left" w:pos="2127"/>
        </w:tabs>
        <w:spacing w:after="0" w:line="240" w:lineRule="auto"/>
        <w:ind w:left="10206"/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  <w:t>Додаток</w:t>
      </w:r>
      <w:r>
        <w:t xml:space="preserve"> до </w:t>
      </w:r>
      <w:r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  <w:t>Програми</w:t>
      </w:r>
    </w:p>
    <w:p w:rsidR="008420D4" w:rsidRDefault="00B750DB">
      <w:pPr>
        <w:pStyle w:val="a0"/>
        <w:widowControl w:val="0"/>
        <w:tabs>
          <w:tab w:val="left" w:pos="2127"/>
        </w:tabs>
        <w:spacing w:after="0" w:line="240" w:lineRule="auto"/>
        <w:ind w:left="10206"/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hi-IN" w:bidi="hi-IN"/>
        </w:rPr>
        <w:t>розвитку водного господарства та екологічного оздоровлення малих річок та водойм на території Менської міської ОТГ на 2020-2024 роки</w:t>
      </w:r>
    </w:p>
    <w:p w:rsidR="008420D4" w:rsidRDefault="008420D4">
      <w:pPr>
        <w:pStyle w:val="a0"/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420D4" w:rsidRDefault="00B750DB">
      <w:pPr>
        <w:pStyle w:val="a0"/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Заходи та обсяги фінансування передбачені Програмою</w:t>
      </w:r>
    </w:p>
    <w:p w:rsidR="008420D4" w:rsidRDefault="00B750DB">
      <w:pPr>
        <w:pStyle w:val="a0"/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розвитку водного господарства та екологічного оздоровлення малих річок та водойм </w:t>
      </w:r>
    </w:p>
    <w:p w:rsidR="008420D4" w:rsidRDefault="00B750DB">
      <w:pPr>
        <w:pStyle w:val="a0"/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території Менської міської ОТГ на 2020-2024 роки </w:t>
      </w:r>
    </w:p>
    <w:p w:rsidR="008420D4" w:rsidRDefault="008420D4">
      <w:pPr>
        <w:pStyle w:val="a0"/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Lucida Sans Unicode" w:hAnsi="Times New Roman"/>
          <w:b/>
          <w:bCs/>
          <w:sz w:val="18"/>
          <w:szCs w:val="18"/>
          <w:lang w:eastAsia="hi-IN" w:bidi="hi-IN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6"/>
        <w:gridCol w:w="1276"/>
        <w:gridCol w:w="1275"/>
        <w:gridCol w:w="1276"/>
        <w:gridCol w:w="1275"/>
        <w:gridCol w:w="2693"/>
      </w:tblGrid>
      <w:tr w:rsidR="008420D4">
        <w:trPr>
          <w:tblHeader/>
        </w:trPr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п/н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Заходи</w:t>
            </w:r>
          </w:p>
        </w:tc>
        <w:tc>
          <w:tcPr>
            <w:tcW w:w="1276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2020 р., тис. грн</w:t>
            </w:r>
          </w:p>
        </w:tc>
        <w:tc>
          <w:tcPr>
            <w:tcW w:w="1276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2021 р., тис. грн</w:t>
            </w:r>
          </w:p>
        </w:tc>
        <w:tc>
          <w:tcPr>
            <w:tcW w:w="12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2022 р., тис. грн</w:t>
            </w:r>
          </w:p>
        </w:tc>
        <w:tc>
          <w:tcPr>
            <w:tcW w:w="1276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2023 р., тис. грн</w:t>
            </w:r>
          </w:p>
        </w:tc>
        <w:tc>
          <w:tcPr>
            <w:tcW w:w="12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2024 р., тис. грн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Опис</w:t>
            </w:r>
          </w:p>
        </w:tc>
      </w:tr>
      <w:tr w:rsidR="008420D4"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Розчищення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русел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 річок і покращення їх гідрологічного та санітарного стану.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275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single" w:sz="8" w:space="0" w:color="000000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Річки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Мена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Дягова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 Конотоп, Домниця, водойма с. Садове</w:t>
            </w:r>
          </w:p>
        </w:tc>
      </w:tr>
      <w:tr w:rsidR="008420D4"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Розчищення та благоустрій водойм (видалення дерев, прибирання сміття, укріплення берегів)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Річки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Мена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Дягова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 Конотоп, Домниця</w:t>
            </w:r>
          </w:p>
        </w:tc>
      </w:tr>
      <w:tr w:rsidR="008420D4"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Покращення загальної гідрологічної ситуації в водозбірних басейнах малих річок (ремонт гідротехнічних споруд, дамб, та шляхів вдовж берегів)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</w:tcPr>
          <w:p w:rsidR="008420D4" w:rsidRDefault="00B750DB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Річки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Мена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Дягова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 Конотоп, Домниця</w:t>
            </w:r>
          </w:p>
        </w:tc>
      </w:tr>
      <w:tr w:rsidR="008420D4"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Упорядкування прибережних захисних смуг та створення захисних насаджень вздовж річок.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Річки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Мена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Дягова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 Конотоп, Домниця</w:t>
            </w:r>
          </w:p>
        </w:tc>
      </w:tr>
      <w:tr w:rsidR="008420D4"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Відновлення сприятливого гідрологічного та санітарного стану річок шляхом відродження їх витоків та природніх джерел, розчищення та облаштування природних джерел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Річки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Мена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Дягова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 Конотоп, Домниця</w:t>
            </w:r>
          </w:p>
        </w:tc>
      </w:tr>
      <w:tr w:rsidR="008420D4"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Виконання робіт по догляду за річками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Річки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Мена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Дягова</w:t>
            </w:r>
            <w:proofErr w:type="spellEnd"/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 xml:space="preserve"> Конотоп, Домниця</w:t>
            </w:r>
          </w:p>
        </w:tc>
      </w:tr>
      <w:tr w:rsidR="008420D4"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Облаштування водопою для худоби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с. Киселівка, с. Нові Броди</w:t>
            </w:r>
          </w:p>
        </w:tc>
      </w:tr>
      <w:tr w:rsidR="008420D4">
        <w:tc>
          <w:tcPr>
            <w:tcW w:w="675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529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Виготовлення проектно-кошторисної документації на вище передбачені види робіт</w:t>
            </w:r>
          </w:p>
        </w:tc>
        <w:tc>
          <w:tcPr>
            <w:tcW w:w="1276" w:type="dxa"/>
            <w:tcBorders>
              <w:top w:val="none" w:sz="25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one" w:sz="255" w:space="0" w:color="FFFFFF"/>
              <w:left w:val="none" w:sz="255" w:space="0" w:color="FFFFFF"/>
              <w:bottom w:val="single" w:sz="8" w:space="0" w:color="000000"/>
              <w:right w:val="single" w:sz="8" w:space="0" w:color="000000"/>
            </w:tcBorders>
            <w:vAlign w:val="center"/>
          </w:tcPr>
          <w:p w:rsidR="008420D4" w:rsidRDefault="00B750DB">
            <w:pPr>
              <w:pStyle w:val="a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Cs/>
                <w:sz w:val="24"/>
                <w:szCs w:val="24"/>
                <w:lang w:eastAsia="hi-IN" w:bidi="hi-IN"/>
              </w:rPr>
              <w:t>Проектно-технічна документація на вище перераховані об’єкти</w:t>
            </w:r>
          </w:p>
        </w:tc>
      </w:tr>
      <w:tr w:rsidR="008420D4">
        <w:tc>
          <w:tcPr>
            <w:tcW w:w="6204" w:type="dxa"/>
            <w:gridSpan w:val="2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Всього 5 000 000 грн :</w:t>
            </w:r>
          </w:p>
        </w:tc>
        <w:tc>
          <w:tcPr>
            <w:tcW w:w="1276" w:type="dxa"/>
          </w:tcPr>
          <w:p w:rsidR="008420D4" w:rsidRDefault="00B750DB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1170</w:t>
            </w:r>
          </w:p>
        </w:tc>
        <w:tc>
          <w:tcPr>
            <w:tcW w:w="1276" w:type="dxa"/>
          </w:tcPr>
          <w:p w:rsidR="008420D4" w:rsidRDefault="00B750DB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1360</w:t>
            </w:r>
          </w:p>
        </w:tc>
        <w:tc>
          <w:tcPr>
            <w:tcW w:w="1275" w:type="dxa"/>
          </w:tcPr>
          <w:p w:rsidR="008420D4" w:rsidRDefault="00B750DB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840</w:t>
            </w:r>
          </w:p>
        </w:tc>
        <w:tc>
          <w:tcPr>
            <w:tcW w:w="1276" w:type="dxa"/>
          </w:tcPr>
          <w:p w:rsidR="008420D4" w:rsidRDefault="00B750DB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770</w:t>
            </w:r>
          </w:p>
        </w:tc>
        <w:tc>
          <w:tcPr>
            <w:tcW w:w="1275" w:type="dxa"/>
          </w:tcPr>
          <w:p w:rsidR="008420D4" w:rsidRDefault="00B750DB">
            <w:pPr>
              <w:pStyle w:val="a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860</w:t>
            </w:r>
          </w:p>
        </w:tc>
        <w:tc>
          <w:tcPr>
            <w:tcW w:w="2693" w:type="dxa"/>
          </w:tcPr>
          <w:p w:rsidR="008420D4" w:rsidRDefault="00B750DB">
            <w:pPr>
              <w:pStyle w:val="a0"/>
              <w:widowControl w:val="0"/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bCs/>
                <w:sz w:val="24"/>
                <w:szCs w:val="24"/>
                <w:lang w:eastAsia="hi-IN" w:bidi="hi-IN"/>
              </w:rPr>
              <w:t>-</w:t>
            </w:r>
          </w:p>
        </w:tc>
      </w:tr>
    </w:tbl>
    <w:p w:rsidR="008420D4" w:rsidRDefault="008420D4">
      <w:pPr>
        <w:pStyle w:val="a0"/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sectPr w:rsidR="008420D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B67" w:rsidRDefault="00505B67">
      <w:r>
        <w:separator/>
      </w:r>
    </w:p>
  </w:endnote>
  <w:endnote w:type="continuationSeparator" w:id="0">
    <w:p w:rsidR="00505B67" w:rsidRDefault="0050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B67" w:rsidRDefault="00505B67">
      <w:r>
        <w:separator/>
      </w:r>
    </w:p>
  </w:footnote>
  <w:footnote w:type="continuationSeparator" w:id="0">
    <w:p w:rsidR="00505B67" w:rsidRDefault="0050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8EF"/>
    <w:multiLevelType w:val="hybridMultilevel"/>
    <w:tmpl w:val="73E45AC2"/>
    <w:lvl w:ilvl="0" w:tplc="450EB57C">
      <w:start w:val="1"/>
      <w:numFmt w:val="decimal"/>
      <w:lvlText w:val="%1."/>
      <w:lvlJc w:val="left"/>
      <w:pPr>
        <w:ind w:left="360" w:hanging="360"/>
      </w:pPr>
    </w:lvl>
    <w:lvl w:ilvl="1" w:tplc="D1A060F8">
      <w:start w:val="1"/>
      <w:numFmt w:val="lowerLetter"/>
      <w:lvlText w:val="%2."/>
      <w:lvlJc w:val="left"/>
      <w:pPr>
        <w:ind w:left="1080" w:hanging="360"/>
      </w:pPr>
    </w:lvl>
    <w:lvl w:ilvl="2" w:tplc="74F0B6A0">
      <w:start w:val="1"/>
      <w:numFmt w:val="lowerRoman"/>
      <w:lvlText w:val="%3."/>
      <w:lvlJc w:val="right"/>
      <w:pPr>
        <w:ind w:left="1800" w:hanging="180"/>
      </w:pPr>
    </w:lvl>
    <w:lvl w:ilvl="3" w:tplc="88D26F56">
      <w:start w:val="1"/>
      <w:numFmt w:val="decimal"/>
      <w:lvlText w:val="%4."/>
      <w:lvlJc w:val="left"/>
      <w:pPr>
        <w:ind w:left="2520" w:hanging="360"/>
      </w:pPr>
    </w:lvl>
    <w:lvl w:ilvl="4" w:tplc="BAC0D24E">
      <w:start w:val="1"/>
      <w:numFmt w:val="lowerLetter"/>
      <w:lvlText w:val="%5."/>
      <w:lvlJc w:val="left"/>
      <w:pPr>
        <w:ind w:left="3240" w:hanging="360"/>
      </w:pPr>
    </w:lvl>
    <w:lvl w:ilvl="5" w:tplc="85823E06">
      <w:start w:val="1"/>
      <w:numFmt w:val="lowerRoman"/>
      <w:lvlText w:val="%6."/>
      <w:lvlJc w:val="right"/>
      <w:pPr>
        <w:ind w:left="3960" w:hanging="180"/>
      </w:pPr>
    </w:lvl>
    <w:lvl w:ilvl="6" w:tplc="DE445466">
      <w:start w:val="1"/>
      <w:numFmt w:val="decimal"/>
      <w:lvlText w:val="%7."/>
      <w:lvlJc w:val="left"/>
      <w:pPr>
        <w:ind w:left="4680" w:hanging="360"/>
      </w:pPr>
    </w:lvl>
    <w:lvl w:ilvl="7" w:tplc="248C724A">
      <w:start w:val="1"/>
      <w:numFmt w:val="lowerLetter"/>
      <w:lvlText w:val="%8."/>
      <w:lvlJc w:val="left"/>
      <w:pPr>
        <w:ind w:left="5400" w:hanging="360"/>
      </w:pPr>
    </w:lvl>
    <w:lvl w:ilvl="8" w:tplc="FF063D4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9479E"/>
    <w:multiLevelType w:val="hybridMultilevel"/>
    <w:tmpl w:val="8FEA9B2E"/>
    <w:lvl w:ilvl="0" w:tplc="AB06B094">
      <w:start w:val="1"/>
      <w:numFmt w:val="decimal"/>
      <w:lvlText w:val="%1."/>
      <w:lvlJc w:val="left"/>
      <w:pPr>
        <w:ind w:left="720" w:hanging="360"/>
      </w:pPr>
    </w:lvl>
    <w:lvl w:ilvl="1" w:tplc="A7946F9A">
      <w:start w:val="1"/>
      <w:numFmt w:val="lowerLetter"/>
      <w:lvlText w:val="%2."/>
      <w:lvlJc w:val="left"/>
      <w:pPr>
        <w:ind w:left="1440" w:hanging="360"/>
      </w:pPr>
    </w:lvl>
    <w:lvl w:ilvl="2" w:tplc="F506A25C">
      <w:start w:val="1"/>
      <w:numFmt w:val="lowerRoman"/>
      <w:lvlText w:val="%3."/>
      <w:lvlJc w:val="right"/>
      <w:pPr>
        <w:ind w:left="2160" w:hanging="180"/>
      </w:pPr>
    </w:lvl>
    <w:lvl w:ilvl="3" w:tplc="0E24FA18">
      <w:start w:val="1"/>
      <w:numFmt w:val="decimal"/>
      <w:lvlText w:val="%4."/>
      <w:lvlJc w:val="left"/>
      <w:pPr>
        <w:ind w:left="2880" w:hanging="360"/>
      </w:pPr>
    </w:lvl>
    <w:lvl w:ilvl="4" w:tplc="0BC6EA0C">
      <w:start w:val="1"/>
      <w:numFmt w:val="lowerLetter"/>
      <w:lvlText w:val="%5."/>
      <w:lvlJc w:val="left"/>
      <w:pPr>
        <w:ind w:left="3600" w:hanging="360"/>
      </w:pPr>
    </w:lvl>
    <w:lvl w:ilvl="5" w:tplc="66FE9568">
      <w:start w:val="1"/>
      <w:numFmt w:val="lowerRoman"/>
      <w:lvlText w:val="%6."/>
      <w:lvlJc w:val="right"/>
      <w:pPr>
        <w:ind w:left="4320" w:hanging="180"/>
      </w:pPr>
    </w:lvl>
    <w:lvl w:ilvl="6" w:tplc="281AF798">
      <w:start w:val="1"/>
      <w:numFmt w:val="decimal"/>
      <w:lvlText w:val="%7."/>
      <w:lvlJc w:val="left"/>
      <w:pPr>
        <w:ind w:left="5040" w:hanging="360"/>
      </w:pPr>
    </w:lvl>
    <w:lvl w:ilvl="7" w:tplc="1C403B1E">
      <w:start w:val="1"/>
      <w:numFmt w:val="lowerLetter"/>
      <w:lvlText w:val="%8."/>
      <w:lvlJc w:val="left"/>
      <w:pPr>
        <w:ind w:left="5760" w:hanging="360"/>
      </w:pPr>
    </w:lvl>
    <w:lvl w:ilvl="8" w:tplc="3B302F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B1B8A"/>
    <w:multiLevelType w:val="hybridMultilevel"/>
    <w:tmpl w:val="4D9A865E"/>
    <w:lvl w:ilvl="0" w:tplc="544EBBC8">
      <w:start w:val="1"/>
      <w:numFmt w:val="decimal"/>
      <w:lvlText w:val="%1)"/>
      <w:lvlJc w:val="left"/>
      <w:pPr>
        <w:ind w:left="1069" w:hanging="360"/>
      </w:pPr>
    </w:lvl>
    <w:lvl w:ilvl="1" w:tplc="5624F856">
      <w:start w:val="1"/>
      <w:numFmt w:val="lowerLetter"/>
      <w:lvlText w:val="%2."/>
      <w:lvlJc w:val="left"/>
      <w:pPr>
        <w:ind w:left="1789" w:hanging="360"/>
      </w:pPr>
    </w:lvl>
    <w:lvl w:ilvl="2" w:tplc="B03459B0">
      <w:start w:val="1"/>
      <w:numFmt w:val="lowerRoman"/>
      <w:lvlText w:val="%3."/>
      <w:lvlJc w:val="right"/>
      <w:pPr>
        <w:ind w:left="2509" w:hanging="180"/>
      </w:pPr>
    </w:lvl>
    <w:lvl w:ilvl="3" w:tplc="14EE2CCA">
      <w:start w:val="1"/>
      <w:numFmt w:val="decimal"/>
      <w:lvlText w:val="%4."/>
      <w:lvlJc w:val="left"/>
      <w:pPr>
        <w:ind w:left="3229" w:hanging="360"/>
      </w:pPr>
    </w:lvl>
    <w:lvl w:ilvl="4" w:tplc="B23C2FD6">
      <w:start w:val="1"/>
      <w:numFmt w:val="lowerLetter"/>
      <w:lvlText w:val="%5."/>
      <w:lvlJc w:val="left"/>
      <w:pPr>
        <w:ind w:left="3949" w:hanging="360"/>
      </w:pPr>
    </w:lvl>
    <w:lvl w:ilvl="5" w:tplc="B3D0D1F4">
      <w:start w:val="1"/>
      <w:numFmt w:val="lowerRoman"/>
      <w:lvlText w:val="%6."/>
      <w:lvlJc w:val="right"/>
      <w:pPr>
        <w:ind w:left="4669" w:hanging="180"/>
      </w:pPr>
    </w:lvl>
    <w:lvl w:ilvl="6" w:tplc="12746E72">
      <w:start w:val="1"/>
      <w:numFmt w:val="decimal"/>
      <w:lvlText w:val="%7."/>
      <w:lvlJc w:val="left"/>
      <w:pPr>
        <w:ind w:left="5389" w:hanging="360"/>
      </w:pPr>
    </w:lvl>
    <w:lvl w:ilvl="7" w:tplc="90B616DC">
      <w:start w:val="1"/>
      <w:numFmt w:val="lowerLetter"/>
      <w:lvlText w:val="%8."/>
      <w:lvlJc w:val="left"/>
      <w:pPr>
        <w:ind w:left="6109" w:hanging="360"/>
      </w:pPr>
    </w:lvl>
    <w:lvl w:ilvl="8" w:tplc="5D7241EA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D31D41"/>
    <w:multiLevelType w:val="hybridMultilevel"/>
    <w:tmpl w:val="114E20AC"/>
    <w:lvl w:ilvl="0" w:tplc="D87C9D9E">
      <w:start w:val="1"/>
      <w:numFmt w:val="decimal"/>
      <w:lvlText w:val="%1)"/>
      <w:lvlJc w:val="left"/>
      <w:pPr>
        <w:ind w:left="1200" w:hanging="480"/>
      </w:pPr>
    </w:lvl>
    <w:lvl w:ilvl="1" w:tplc="25C69052">
      <w:start w:val="1"/>
      <w:numFmt w:val="lowerLetter"/>
      <w:lvlText w:val="%2."/>
      <w:lvlJc w:val="left"/>
      <w:pPr>
        <w:ind w:left="1800" w:hanging="360"/>
      </w:pPr>
    </w:lvl>
    <w:lvl w:ilvl="2" w:tplc="19BA35B0">
      <w:start w:val="1"/>
      <w:numFmt w:val="lowerRoman"/>
      <w:lvlText w:val="%3."/>
      <w:lvlJc w:val="right"/>
      <w:pPr>
        <w:ind w:left="2520" w:hanging="180"/>
      </w:pPr>
    </w:lvl>
    <w:lvl w:ilvl="3" w:tplc="0F4C1200">
      <w:start w:val="1"/>
      <w:numFmt w:val="decimal"/>
      <w:lvlText w:val="%4."/>
      <w:lvlJc w:val="left"/>
      <w:pPr>
        <w:ind w:left="3240" w:hanging="360"/>
      </w:pPr>
    </w:lvl>
    <w:lvl w:ilvl="4" w:tplc="C7E4FD88">
      <w:start w:val="1"/>
      <w:numFmt w:val="lowerLetter"/>
      <w:lvlText w:val="%5."/>
      <w:lvlJc w:val="left"/>
      <w:pPr>
        <w:ind w:left="3960" w:hanging="360"/>
      </w:pPr>
    </w:lvl>
    <w:lvl w:ilvl="5" w:tplc="DD50E5F4">
      <w:start w:val="1"/>
      <w:numFmt w:val="lowerRoman"/>
      <w:lvlText w:val="%6."/>
      <w:lvlJc w:val="right"/>
      <w:pPr>
        <w:ind w:left="4680" w:hanging="180"/>
      </w:pPr>
    </w:lvl>
    <w:lvl w:ilvl="6" w:tplc="4ED0DA52">
      <w:start w:val="1"/>
      <w:numFmt w:val="decimal"/>
      <w:lvlText w:val="%7."/>
      <w:lvlJc w:val="left"/>
      <w:pPr>
        <w:ind w:left="5400" w:hanging="360"/>
      </w:pPr>
    </w:lvl>
    <w:lvl w:ilvl="7" w:tplc="2DD6DEEE">
      <w:start w:val="1"/>
      <w:numFmt w:val="lowerLetter"/>
      <w:lvlText w:val="%8."/>
      <w:lvlJc w:val="left"/>
      <w:pPr>
        <w:ind w:left="6120" w:hanging="360"/>
      </w:pPr>
    </w:lvl>
    <w:lvl w:ilvl="8" w:tplc="F3F48DA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D4"/>
    <w:rsid w:val="00014508"/>
    <w:rsid w:val="00505B67"/>
    <w:rsid w:val="005B3AA4"/>
    <w:rsid w:val="008420D4"/>
    <w:rsid w:val="008E1E91"/>
    <w:rsid w:val="00B750DB"/>
    <w:rsid w:val="00B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D683"/>
  <w15:docId w15:val="{DBECF089-4882-44B3-B536-A0C747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Нижній колонтитул Знак"/>
    <w:link w:val="af0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a0">
    <w:name w:val="Обычный"/>
    <w:link w:val="a0"/>
    <w:pPr>
      <w:spacing w:after="200" w:line="276" w:lineRule="auto"/>
    </w:pPr>
    <w:rPr>
      <w:sz w:val="22"/>
      <w:lang w:bidi="ar-SA"/>
    </w:rPr>
  </w:style>
  <w:style w:type="character" w:customStyle="1" w:styleId="af8">
    <w:name w:val="Основной шрифт абзаца"/>
  </w:style>
  <w:style w:type="table" w:customStyle="1" w:styleId="af9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a">
    <w:name w:val="Нет списка"/>
    <w:semiHidden/>
  </w:style>
  <w:style w:type="paragraph" w:customStyle="1" w:styleId="afb">
    <w:name w:val="Текст выноски"/>
    <w:basedOn w:val="a0"/>
    <w:link w:val="afc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ascii="Tahoma" w:eastAsia="Calibri" w:hAnsi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customStyle="1" w:styleId="HTML">
    <w:name w:val="Стандартный HTML"/>
    <w:basedOn w:val="a0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  <w:lang w:val="en-US"/>
    </w:rPr>
  </w:style>
  <w:style w:type="character" w:customStyle="1" w:styleId="HTML0">
    <w:name w:val="Стандартный HTML Знак"/>
    <w:link w:val="HTML"/>
    <w:semiHidden/>
    <w:rPr>
      <w:rFonts w:ascii="Courier New" w:eastAsia="Times New Roman" w:hAnsi="Courier New"/>
      <w:color w:val="000000"/>
      <w:sz w:val="33"/>
      <w:szCs w:val="33"/>
      <w:lang w:val="en-US" w:eastAsia="en-US"/>
    </w:rPr>
  </w:style>
  <w:style w:type="paragraph" w:customStyle="1" w:styleId="afd">
    <w:name w:val="Обычный (веб)"/>
    <w:basedOn w:val="a0"/>
    <w:semiHidden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0"/>
    <w:pPr>
      <w:widowControl w:val="0"/>
      <w:spacing w:after="12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hi-IN" w:bidi="hi-IN"/>
    </w:rPr>
  </w:style>
  <w:style w:type="table" w:customStyle="1" w:styleId="aff">
    <w:name w:val="Сетка таблицы"/>
    <w:basedOn w:val="af9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2534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cp:lastPrinted>2020-11-24T09:37:00Z</cp:lastPrinted>
  <dcterms:created xsi:type="dcterms:W3CDTF">2020-11-24T09:37:00Z</dcterms:created>
  <dcterms:modified xsi:type="dcterms:W3CDTF">2020-12-04T17:29:00Z</dcterms:modified>
</cp:coreProperties>
</file>