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ПРО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ru-RU" w:bidi="hi-IN" w:eastAsia="hi-IN"/>
        </w:rPr>
        <w:t xml:space="preserve">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2020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/>
    </w:p>
    <w:p>
      <w:pPr>
        <w:widowControl w:val="off"/>
        <w:rPr>
          <w:rFonts w:ascii="Times New Roman" w:hAnsi="Times New Roman" w:eastAsia="Lucida Sans Unicode"/>
          <w:b/>
          <w:color w:val="00000A"/>
          <w:lang w:val="uk-UA" w:bidi="hi-IN" w:eastAsia="hi-IN"/>
        </w:rPr>
      </w:pPr>
      <w:r>
        <w:rPr>
          <w:rFonts w:ascii="Times New Roman" w:hAnsi="Times New Roman" w:eastAsia="Lucida Sans Unicode"/>
          <w:b/>
          <w:color w:val="00000A"/>
          <w:lang w:val="uk-UA" w:bidi="hi-IN" w:eastAsia="hi-IN"/>
        </w:rPr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535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погодження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змін до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заходів з мобілізац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ії, призову на строкову військов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службу на території населених пунктів Менської міської ОТГ на 2020-2022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р.р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службу на території населених пунктів Менської міської ОТГ на 2020-2022 </w:t>
      </w:r>
      <w:r>
        <w:rPr>
          <w:rFonts w:ascii="Times New Roman" w:hAnsi="Times New Roman"/>
          <w:sz w:val="28"/>
          <w:szCs w:val="28"/>
          <w:lang w:val="uk-UA"/>
        </w:rPr>
        <w:t xml:space="preserve">р.р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керуючись ст.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52 Закону України «Про місцеве самоврядування в Україні», виконавчий комітет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зміни до програми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ї, призову на строкову військову</w:t>
      </w:r>
      <w:r>
        <w:rPr>
          <w:rFonts w:ascii="Times New Roman" w:hAnsi="Times New Roman"/>
          <w:sz w:val="28"/>
          <w:szCs w:val="28"/>
          <w:lang w:val="uk-UA"/>
        </w:rPr>
        <w:t xml:space="preserve"> службу на території населених пунктів Менської міської ОТГ на 2020-2022 </w:t>
      </w:r>
      <w:r>
        <w:rPr>
          <w:rFonts w:ascii="Times New Roman" w:hAnsi="Times New Roman"/>
          <w:sz w:val="28"/>
          <w:szCs w:val="28"/>
          <w:lang w:val="uk-UA"/>
        </w:rPr>
        <w:t xml:space="preserve">р.р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виклавши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додаток № 2,3 програми в новій редакції (додається).</w:t>
      </w:r>
      <w:r/>
    </w:p>
    <w:p>
      <w:pPr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Внесені зміни до програми подати </w:t>
      </w:r>
      <w:r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  <w:r/>
    </w:p>
    <w:p>
      <w:pPr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</w:t>
      </w:r>
      <w:r>
        <w:rPr>
          <w:rFonts w:ascii="Times New Roman" w:hAnsi="Times New Roman"/>
          <w:sz w:val="28"/>
          <w:szCs w:val="28"/>
          <w:lang w:val="uk-UA"/>
        </w:rPr>
        <w:t xml:space="preserve">роль за виконанням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Вишняк Т.С., 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з питань діяльності виконавчого комітету Менської міської ради.</w:t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Г.А.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spacing w:lineRule="auto" w:line="273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/>
          <w:color w:val="000000"/>
          <w:sz w:val="18"/>
          <w:szCs w:val="18"/>
          <w:lang w:val="uk-UA" w:eastAsia="ru-RU"/>
        </w:rPr>
      </w:r>
      <w:r/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color w:val="000000"/>
          <w:sz w:val="18"/>
          <w:szCs w:val="1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</w:t>
      </w:r>
      <w:r/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  <w:t xml:space="preserve">Додаток № 1 проекту рішення виконавчого комітету Менської </w:t>
      </w:r>
      <w:r>
        <w:rPr>
          <w:color w:val="000000"/>
          <w:sz w:val="18"/>
          <w:szCs w:val="18"/>
          <w:lang w:val="uk-UA" w:eastAsia="ru-RU"/>
        </w:rPr>
        <w:t xml:space="preserve">              </w:t>
      </w:r>
      <w:r>
        <w:rPr>
          <w:color w:val="000000"/>
          <w:sz w:val="18"/>
          <w:szCs w:val="18"/>
          <w:lang w:val="uk-UA" w:eastAsia="ru-RU"/>
        </w:rPr>
        <w:t xml:space="preserve">міської ради  від .11.2020 р. «Про погодження  змін до </w:t>
      </w:r>
      <w:r>
        <w:rPr>
          <w:sz w:val="18"/>
          <w:szCs w:val="18"/>
          <w:lang w:val="uk-UA"/>
        </w:rPr>
        <w:t xml:space="preserve">Програми</w:t>
      </w:r>
      <w:r>
        <w:rPr>
          <w:rFonts w:ascii="Times New Roman" w:hAnsi="Times New Roman"/>
          <w:sz w:val="18"/>
          <w:szCs w:val="18"/>
          <w:lang w:val="uk-UA"/>
        </w:rPr>
        <w:t xml:space="preserve"> виконання заходів з мобілізації, призову на строкову </w:t>
      </w:r>
      <w:r>
        <w:rPr>
          <w:rFonts w:ascii="Times New Roman" w:hAnsi="Times New Roman"/>
          <w:sz w:val="18"/>
          <w:szCs w:val="18"/>
          <w:lang w:val="uk-UA"/>
        </w:rPr>
        <w:t xml:space="preserve">війському</w:t>
      </w:r>
      <w:r>
        <w:rPr>
          <w:rFonts w:ascii="Times New Roman" w:hAnsi="Times New Roman"/>
          <w:sz w:val="18"/>
          <w:szCs w:val="18"/>
          <w:lang w:val="uk-UA"/>
        </w:rPr>
        <w:t xml:space="preserve"> службу на території населених пунктів Менської міської ОТГ на 2020-2022 </w:t>
      </w:r>
      <w:r>
        <w:rPr>
          <w:rFonts w:ascii="Times New Roman" w:hAnsi="Times New Roman"/>
          <w:sz w:val="18"/>
          <w:szCs w:val="18"/>
          <w:lang w:val="uk-UA"/>
        </w:rPr>
        <w:t xml:space="preserve">р.р</w:t>
      </w:r>
      <w:r>
        <w:rPr>
          <w:sz w:val="18"/>
          <w:szCs w:val="18"/>
          <w:lang w:val="uk-UA"/>
        </w:rPr>
        <w:t xml:space="preserve">»</w:t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color w:val="000000"/>
          <w:sz w:val="18"/>
          <w:szCs w:val="1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</w:t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Додаток №2</w:t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bCs/>
          <w:spacing w:val="-1"/>
          <w:sz w:val="4"/>
          <w:szCs w:val="4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4"/>
          <w:szCs w:val="4"/>
          <w:lang w:val="uk-UA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ОБ’ЄДНАНОЇ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2020-2022 Р.Р.</w:t>
      </w:r>
      <w:r/>
    </w:p>
    <w:tbl>
      <w:tblPr>
        <w:tblW w:w="15768" w:type="dxa"/>
        <w:tblInd w:w="-6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04"/>
        <w:gridCol w:w="1983"/>
        <w:gridCol w:w="1843"/>
        <w:gridCol w:w="2549"/>
        <w:gridCol w:w="851"/>
        <w:gridCol w:w="996"/>
        <w:gridCol w:w="856"/>
        <w:gridCol w:w="2120"/>
      </w:tblGrid>
      <w:tr>
        <w:trPr>
          <w:trHeight w:val="691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з/п</w:t>
            </w:r>
            <w:r/>
          </w:p>
        </w:tc>
        <w:tc>
          <w:tcPr>
            <w:tcW w:w="400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Перелік</w:t>
            </w: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заходів</w:t>
            </w: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Програми</w:t>
            </w:r>
            <w:r/>
          </w:p>
        </w:tc>
        <w:tc>
          <w:tcPr>
            <w:tcW w:w="1983" w:type="dxa"/>
            <w:vAlign w:val="center"/>
            <w:vMerge w:val="restart"/>
            <w:textDirection w:val="lrTb"/>
            <w:noWrap w:val="false"/>
          </w:tcPr>
          <w:p>
            <w:pPr>
              <w:ind w:left="-161" w:right="-105"/>
              <w:jc w:val="center"/>
              <w:widowControl w:val="off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Строк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виконання</w:t>
            </w: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заходів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Виконавці</w:t>
            </w:r>
            <w:r/>
          </w:p>
        </w:tc>
        <w:tc>
          <w:tcPr>
            <w:tcW w:w="254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Джерела</w:t>
            </w: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фінансування</w:t>
            </w:r>
            <w:r/>
          </w:p>
        </w:tc>
        <w:tc>
          <w:tcPr>
            <w:gridSpan w:val="3"/>
            <w:tcW w:w="2703" w:type="dxa"/>
            <w:vAlign w:val="center"/>
            <w:vMerge w:val="restart"/>
            <w:textDirection w:val="lrTb"/>
            <w:noWrap w:val="false"/>
          </w:tcPr>
          <w:p>
            <w:pPr>
              <w:ind w:left="-144" w:right="-105" w:firstLine="147"/>
              <w:jc w:val="center"/>
              <w:widowControl w:val="off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Орієнтовані</w:t>
            </w: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обсяги</w:t>
            </w:r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фінансування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тис.грн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.</w:t>
            </w:r>
            <w:r/>
          </w:p>
        </w:tc>
        <w:tc>
          <w:tcPr>
            <w:tcW w:w="212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Очікуваний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результат</w:t>
            </w:r>
            <w:r/>
          </w:p>
        </w:tc>
      </w:tr>
      <w:tr>
        <w:trPr>
          <w:trHeight w:val="293"/>
        </w:trPr>
        <w:tc>
          <w:tcPr>
            <w:tcW w:w="56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00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4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  <w:t xml:space="preserve">2020</w:t>
            </w:r>
            <w:r/>
          </w:p>
        </w:tc>
        <w:tc>
          <w:tcPr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  <w:t xml:space="preserve">2021</w:t>
            </w:r>
            <w:r/>
          </w:p>
        </w:tc>
        <w:tc>
          <w:tcP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  <w:t xml:space="preserve">2022</w:t>
            </w:r>
            <w:r/>
          </w:p>
        </w:tc>
        <w:tc>
          <w:tcPr>
            <w:tcW w:w="21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784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1.</w:t>
            </w:r>
            <w:r/>
          </w:p>
        </w:tc>
        <w:tc>
          <w:tcPr>
            <w:tcW w:w="400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Доставка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засобі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визначені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пункти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збору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передачі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військовим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формуванням</w:t>
            </w:r>
            <w:r/>
          </w:p>
        </w:tc>
        <w:tc>
          <w:tcPr>
            <w:tcW w:w="198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2020 -2022 р.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15,0</w:t>
            </w:r>
            <w:r/>
          </w:p>
        </w:tc>
        <w:tc>
          <w:tcPr>
            <w:tcW w:w="996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15,0</w:t>
            </w:r>
            <w:r/>
          </w:p>
        </w:tc>
        <w:tc>
          <w:tcPr>
            <w:tcW w:w="856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15,0</w:t>
            </w:r>
            <w:r/>
          </w:p>
        </w:tc>
        <w:tc>
          <w:tcPr>
            <w:tcW w:w="2120" w:type="dxa"/>
            <w:vAlign w:val="center"/>
            <w:vMerge w:val="restart"/>
            <w:textDirection w:val="lrTb"/>
            <w:noWrap w:val="false"/>
          </w:tcPr>
          <w:p>
            <w:pPr>
              <w:ind w:left="-37" w:right="-105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Успішне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своєчасне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виконання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заходів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мобілізації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забезпеченню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потреб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Збройних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сил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України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людських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ресурсах та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справних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комплектних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транспортних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засобах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умовах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особливого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періоду</w:t>
            </w:r>
            <w:r/>
          </w:p>
        </w:tc>
      </w:tr>
      <w:tr>
        <w:trPr>
          <w:cantSplit/>
          <w:trHeight w:val="1015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2.</w:t>
            </w:r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перевезень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військовозобов’язаних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призваних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мобілізації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призовників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військовослуж-бовців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контрактом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співробітників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правоохоронних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військових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проходження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військово-лікарської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комісії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зворотному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напрямку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навчальних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зборів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навчань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тренувань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мобілізаційного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розгортання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2020-2022р.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25,0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,0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,0</w:t>
            </w:r>
            <w:r/>
          </w:p>
        </w:tc>
        <w:tc>
          <w:tcPr>
            <w:tcW w:w="2120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3.</w:t>
            </w:r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послуг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оповіщення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розшуку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збору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військовозобов’язаних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призовникі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2020-2022р.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6,0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25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,0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25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,0</w:t>
            </w:r>
            <w:r/>
          </w:p>
        </w:tc>
        <w:tc>
          <w:tcPr>
            <w:tcW w:w="2120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4.</w:t>
            </w:r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посадових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Менського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територіального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підтримки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населених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перевірки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військового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військовозобов'язаних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призовників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мобілізаційної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готовності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засобів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2020-2022 р.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  <w:r/>
          </w:p>
        </w:tc>
        <w:tc>
          <w:tcPr>
            <w:tcW w:w="2549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4,0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,0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,0</w:t>
            </w:r>
            <w:r/>
          </w:p>
        </w:tc>
        <w:tc>
          <w:tcPr>
            <w:tcW w:w="2120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1444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послуг лікарняних закладів при проходженні медичного огляду призовників та військовозобов'язаних з розрахунку:</w:t>
            </w:r>
            <w:r/>
          </w:p>
        </w:tc>
        <w:tc>
          <w:tcPr>
            <w:tcW w:w="1983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2021-2022 р.</w:t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  <w:r/>
          </w:p>
        </w:tc>
        <w:tc>
          <w:tcPr>
            <w:tcW w:w="2549" w:type="dxa"/>
            <w:vAlign w:val="center"/>
            <w:vMerge w:val="restart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джерела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pStyle w:val="405"/>
              <w:numPr>
                <w:ilvl w:val="0"/>
                <w:numId w:val="3"/>
              </w:num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ризовників</w:t>
            </w:r>
            <w:r/>
          </w:p>
        </w:tc>
        <w:tc>
          <w:tcPr>
            <w:tcW w:w="198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549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100,0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100,0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pStyle w:val="405"/>
              <w:numPr>
                <w:ilvl w:val="0"/>
                <w:numId w:val="2"/>
              </w:num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військовозобов'язаних, що призиваються на навчальні збори до військових частин</w:t>
            </w:r>
            <w:r/>
          </w:p>
        </w:tc>
        <w:tc>
          <w:tcPr>
            <w:tcW w:w="198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2549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10,0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10,0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pStyle w:val="405"/>
              <w:numPr>
                <w:ilvl w:val="0"/>
                <w:numId w:val="2"/>
              </w:num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 в строки, визначені законодавством</w:t>
            </w:r>
            <w:r/>
          </w:p>
        </w:tc>
        <w:tc>
          <w:tcPr>
            <w:tcW w:w="198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2549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20,0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20,0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4004" w:type="dxa"/>
            <w:textDirection w:val="lrTb"/>
            <w:noWrap w:val="false"/>
          </w:tcPr>
          <w:p>
            <w:pPr>
              <w:pStyle w:val="405"/>
              <w:numPr>
                <w:ilvl w:val="0"/>
                <w:numId w:val="2"/>
              </w:numPr>
              <w:ind w:right="11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військовозобов'язаних, які йдуть на військову службу за контрактом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2549" w:type="dxa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45,0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45,0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trHeight w:val="330"/>
        </w:trPr>
        <w:tc>
          <w:tcPr>
            <w:gridSpan w:val="5"/>
            <w:tcW w:w="10945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Усього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: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50,0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26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5,0</w:t>
            </w:r>
            <w:r/>
          </w:p>
        </w:tc>
        <w:tc>
          <w:tcPr>
            <w:tcW w:w="856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26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5,0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</w:tr>
      <w:tr>
        <w:trPr>
          <w:trHeight w:val="450"/>
        </w:trPr>
        <w:tc>
          <w:tcPr>
            <w:gridSpan w:val="5"/>
            <w:tcW w:w="10945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gridSpan w:val="3"/>
            <w:tcW w:w="2703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58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0 ,0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</w:tr>
    </w:tbl>
    <w:p>
      <w:pPr>
        <w:ind w:left="10063"/>
        <w:spacing w:lineRule="auto" w:line="273"/>
        <w:rPr>
          <w:rFonts w:ascii="Times New Roman" w:hAnsi="Times New Roman"/>
          <w:color w:val="000000"/>
          <w:szCs w:val="20"/>
          <w:lang w:val="uk-UA" w:eastAsia="ru-RU"/>
        </w:rPr>
      </w:pPr>
      <w:r>
        <w:rPr>
          <w:rFonts w:ascii="Calibri" w:hAnsi="Calibri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15240</wp:posOffset>
                </wp:positionV>
                <wp:extent cx="44450" cy="6604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" cy="66040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100000"/>
                            <a:gd name="gd10" fmla="*/ h 0 100000"/>
                            <a:gd name="gd11" fmla="*/ w 0 100000"/>
                            <a:gd name="gd12" fmla="*/ h 0 100000"/>
                          </a:gdLst>
                          <a:ahLst/>
                          <a:cxnLst/>
                          <a:rect l="gd9" t="gd10" r="gd11" b="gd12"/>
                          <a:pathLst>
                            <a:path w="100000" h="10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right="11"/>
                              <w:jc w:val="both"/>
                              <w:spacing w:before="60"/>
                              <w:shd w:val="clear" w:color="auto" w:fill="FFFFFF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ind w:right="11"/>
                              <w:jc w:val="both"/>
                              <w:spacing w:lineRule="exact" w:line="331" w:before="60"/>
                              <w:shd w:val="clear" w:color="auto" w:fill="FFFFFF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251660288;o:allowoverlap:true;o:allowincell:true;mso-position-horizontal-relative:text;margin-left:446.2pt;mso-position-horizontal:absolute;mso-position-vertical-relative:text;margin-top:1.2pt;mso-position-vertical:absolute;width:3.5pt;height:5.2pt;" coordsize="100000,100000" path="m0,0l0,21600l21598,21600l21598,0xee" fillcolor="#FFFFFF" strokecolor="#000000">
                <v:path textboxrect="0,0,0,0"/>
                <v:textbox>
                  <w:txbxContent>
                    <w:p>
                      <w:pPr>
                        <w:ind w:right="11"/>
                        <w:jc w:val="both"/>
                        <w:spacing w:before="60"/>
                        <w:shd w:val="clear" w:color="auto" w:fill="FFFFFF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ind w:right="11"/>
                        <w:jc w:val="both"/>
                        <w:spacing w:lineRule="exact" w:line="331" w:before="60"/>
                        <w:shd w:val="clear" w:color="auto" w:fill="FFFFFF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Cs w:val="20"/>
          <w:lang w:val="uk-UA" w:eastAsia="ru-RU"/>
        </w:rPr>
        <w:t xml:space="preserve">                                     </w:t>
      </w:r>
      <w:r/>
    </w:p>
    <w:p>
      <w:pPr>
        <w:ind w:left="10063"/>
        <w:spacing w:lineRule="auto" w:line="273"/>
        <w:rPr>
          <w:rFonts w:ascii="Times New Roman" w:hAnsi="Times New Roman"/>
          <w:color w:val="000000"/>
          <w:szCs w:val="20"/>
          <w:lang w:val="uk-UA" w:eastAsia="ru-RU"/>
        </w:rPr>
      </w:pPr>
      <w:r>
        <w:rPr>
          <w:rFonts w:ascii="Times New Roman" w:hAnsi="Times New Roman"/>
          <w:color w:val="000000"/>
          <w:szCs w:val="20"/>
          <w:lang w:val="uk-UA" w:eastAsia="ru-RU"/>
        </w:rPr>
      </w:r>
      <w:r/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  <w:t xml:space="preserve">Додаток № 2</w:t>
      </w:r>
      <w:r>
        <w:rPr>
          <w:color w:val="000000"/>
          <w:sz w:val="18"/>
          <w:szCs w:val="18"/>
          <w:lang w:val="uk-UA" w:eastAsia="ru-RU"/>
        </w:rPr>
        <w:t xml:space="preserve"> проекту рішення виконавчого комітету Менської </w:t>
      </w:r>
      <w:r>
        <w:rPr>
          <w:color w:val="000000"/>
          <w:sz w:val="18"/>
          <w:szCs w:val="18"/>
          <w:lang w:val="uk-UA" w:eastAsia="ru-RU"/>
        </w:rPr>
        <w:t xml:space="preserve">              </w:t>
      </w:r>
      <w:r>
        <w:rPr>
          <w:color w:val="000000"/>
          <w:sz w:val="18"/>
          <w:szCs w:val="18"/>
          <w:lang w:val="uk-UA" w:eastAsia="ru-RU"/>
        </w:rPr>
        <w:t xml:space="preserve">міської ради  від .11.2020 р. «Про погодження  змін до </w:t>
      </w:r>
      <w:r>
        <w:rPr>
          <w:sz w:val="18"/>
          <w:szCs w:val="18"/>
          <w:lang w:val="uk-UA"/>
        </w:rPr>
        <w:t xml:space="preserve">Програми</w:t>
      </w:r>
      <w:r>
        <w:rPr>
          <w:rFonts w:ascii="Times New Roman" w:hAnsi="Times New Roman"/>
          <w:sz w:val="18"/>
          <w:szCs w:val="18"/>
          <w:lang w:val="uk-UA"/>
        </w:rPr>
        <w:t xml:space="preserve"> виконання заходів з мобілізації, призову на строкову </w:t>
      </w:r>
      <w:r>
        <w:rPr>
          <w:rFonts w:ascii="Times New Roman" w:hAnsi="Times New Roman"/>
          <w:sz w:val="18"/>
          <w:szCs w:val="18"/>
          <w:lang w:val="uk-UA"/>
        </w:rPr>
        <w:t xml:space="preserve">війському</w:t>
      </w:r>
      <w:r>
        <w:rPr>
          <w:rFonts w:ascii="Times New Roman" w:hAnsi="Times New Roman"/>
          <w:sz w:val="18"/>
          <w:szCs w:val="18"/>
          <w:lang w:val="uk-UA"/>
        </w:rPr>
        <w:t xml:space="preserve"> службу на території населених пунктів Менської міської ОТГ на 2020-2022 </w:t>
      </w:r>
      <w:r>
        <w:rPr>
          <w:rFonts w:ascii="Times New Roman" w:hAnsi="Times New Roman"/>
          <w:sz w:val="18"/>
          <w:szCs w:val="18"/>
          <w:lang w:val="uk-UA"/>
        </w:rPr>
        <w:t xml:space="preserve">р.р</w:t>
      </w:r>
      <w:r>
        <w:rPr>
          <w:sz w:val="18"/>
          <w:szCs w:val="18"/>
          <w:lang w:val="uk-UA"/>
        </w:rPr>
        <w:t xml:space="preserve">»</w:t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color w:val="000000"/>
          <w:sz w:val="18"/>
          <w:szCs w:val="1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</w:t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Додаток №3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</w:t>
      </w:r>
      <w:r/>
    </w:p>
    <w:p>
      <w:pPr>
        <w:ind w:right="11"/>
        <w:jc w:val="center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ОБ’ЄДНАНОЇ ТЕРИТОРІАЛЬНОЇ ГРОМАДИНА 2020-2022 Р.Р.</w:t>
      </w:r>
      <w:r/>
    </w:p>
    <w:tbl>
      <w:tblPr>
        <w:tblW w:w="0" w:type="auto"/>
        <w:jc w:val="center"/>
        <w:tblInd w:w="-195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99"/>
        <w:gridCol w:w="4869"/>
      </w:tblGrid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Обсяг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кошті</w:t>
            </w:r>
            <w:r>
              <w:rPr>
                <w:rFonts w:ascii="Times New Roman" w:hAnsi="Times New Roman"/>
                <w:lang w:val="ru-RU"/>
              </w:rPr>
              <w:t xml:space="preserve">в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які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пропонується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залучити</w:t>
            </w:r>
            <w:r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lang w:val="ru-RU"/>
              </w:rPr>
              <w:t xml:space="preserve">виконання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Програми</w:t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Усього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витрат</w:t>
            </w:r>
            <w:r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lang w:val="ru-RU"/>
              </w:rPr>
              <w:t xml:space="preserve">виконання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Програми</w:t>
            </w:r>
            <w:r>
              <w:rPr>
                <w:rFonts w:ascii="Times New Roman" w:hAnsi="Times New Roman"/>
                <w:lang w:val="ru-RU"/>
              </w:rPr>
              <w:t xml:space="preserve">, тис</w:t>
            </w:r>
            <w:r>
              <w:rPr>
                <w:rFonts w:ascii="Times New Roman" w:hAnsi="Times New Roman"/>
                <w:lang w:val="ru-RU"/>
              </w:rPr>
              <w:t xml:space="preserve">.</w:t>
            </w:r>
            <w:r>
              <w:rPr>
                <w:rFonts w:ascii="Times New Roman" w:hAnsi="Times New Roman"/>
              </w:rPr>
              <w:t xml:space="preserve"> </w:t>
            </w:r>
            <w:r>
              <w:rPr>
                <w:rFonts w:ascii="Times New Roman" w:hAnsi="Times New Roman"/>
                <w:lang w:val="ru-RU"/>
              </w:rPr>
              <w:t xml:space="preserve">г</w:t>
            </w:r>
            <w:r>
              <w:rPr>
                <w:rFonts w:ascii="Times New Roman" w:hAnsi="Times New Roman"/>
                <w:lang w:val="ru-RU"/>
              </w:rPr>
              <w:t xml:space="preserve">ривень</w:t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ресурсів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всього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2020-2022  роки</w:t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580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,0</w:t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 об’єднаної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 роки</w:t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0,0</w:t>
            </w:r>
            <w:r/>
          </w:p>
        </w:tc>
      </w:tr>
    </w:tbl>
    <w:p>
      <w:r/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6838" w:h="11906" w:orient="landscape"/>
      <w:pgMar w:top="1135" w:right="851" w:bottom="851" w:left="85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84"/>
    <w:link w:val="3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84"/>
    <w:link w:val="3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84"/>
    <w:link w:val="3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84"/>
    <w:link w:val="3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84"/>
    <w:link w:val="3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84"/>
    <w:link w:val="3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84"/>
    <w:link w:val="3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84"/>
    <w:link w:val="3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84"/>
    <w:link w:val="38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84"/>
    <w:link w:val="398"/>
    <w:uiPriority w:val="10"/>
    <w:rPr>
      <w:sz w:val="48"/>
      <w:szCs w:val="48"/>
    </w:rPr>
  </w:style>
  <w:style w:type="character" w:styleId="35">
    <w:name w:val="Subtitle Char"/>
    <w:basedOn w:val="384"/>
    <w:link w:val="400"/>
    <w:uiPriority w:val="11"/>
    <w:rPr>
      <w:sz w:val="24"/>
      <w:szCs w:val="24"/>
    </w:rPr>
  </w:style>
  <w:style w:type="character" w:styleId="37">
    <w:name w:val="Quote Char"/>
    <w:link w:val="406"/>
    <w:uiPriority w:val="29"/>
    <w:rPr>
      <w:i/>
    </w:rPr>
  </w:style>
  <w:style w:type="character" w:styleId="39">
    <w:name w:val="Intense Quote Char"/>
    <w:link w:val="40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4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4"/>
    <w:link w:val="42"/>
    <w:uiPriority w:val="99"/>
  </w:style>
  <w:style w:type="table" w:styleId="45">
    <w:name w:val="Table Grid Light"/>
    <w:basedOn w:val="3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4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374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375">
    <w:name w:val="Heading 1"/>
    <w:basedOn w:val="374"/>
    <w:next w:val="374"/>
    <w:link w:val="389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376">
    <w:name w:val="Heading 2"/>
    <w:basedOn w:val="374"/>
    <w:next w:val="374"/>
    <w:link w:val="390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377">
    <w:name w:val="Heading 3"/>
    <w:basedOn w:val="374"/>
    <w:next w:val="374"/>
    <w:link w:val="391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378">
    <w:name w:val="Heading 4"/>
    <w:basedOn w:val="374"/>
    <w:next w:val="374"/>
    <w:link w:val="392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379">
    <w:name w:val="Heading 5"/>
    <w:basedOn w:val="374"/>
    <w:next w:val="374"/>
    <w:link w:val="393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380">
    <w:name w:val="Heading 6"/>
    <w:basedOn w:val="374"/>
    <w:next w:val="374"/>
    <w:link w:val="394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381">
    <w:name w:val="Heading 7"/>
    <w:basedOn w:val="374"/>
    <w:next w:val="374"/>
    <w:link w:val="395"/>
    <w:qFormat/>
    <w:uiPriority w:val="9"/>
    <w:semiHidden/>
    <w:unhideWhenUsed/>
    <w:pPr>
      <w:spacing w:after="60" w:before="240"/>
      <w:outlineLvl w:val="6"/>
    </w:pPr>
  </w:style>
  <w:style w:type="paragraph" w:styleId="382">
    <w:name w:val="Heading 8"/>
    <w:basedOn w:val="374"/>
    <w:next w:val="374"/>
    <w:link w:val="396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383">
    <w:name w:val="Heading 9"/>
    <w:basedOn w:val="374"/>
    <w:next w:val="374"/>
    <w:link w:val="397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384" w:default="1">
    <w:name w:val="Default Paragraph Font"/>
    <w:uiPriority w:val="1"/>
    <w:semiHidden/>
    <w:unhideWhenUsed/>
  </w:style>
  <w:style w:type="table" w:styleId="3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6" w:default="1">
    <w:name w:val="No List"/>
    <w:uiPriority w:val="99"/>
    <w:semiHidden/>
    <w:unhideWhenUsed/>
  </w:style>
  <w:style w:type="paragraph" w:styleId="387">
    <w:name w:val="Balloon Text"/>
    <w:basedOn w:val="374"/>
    <w:link w:val="388"/>
    <w:uiPriority w:val="99"/>
    <w:semiHidden/>
    <w:unhideWhenUsed/>
    <w:rPr>
      <w:rFonts w:ascii="Tahoma" w:hAnsi="Tahoma" w:cs="Tahoma"/>
      <w:sz w:val="16"/>
      <w:szCs w:val="16"/>
    </w:rPr>
  </w:style>
  <w:style w:type="character" w:styleId="388" w:customStyle="1">
    <w:name w:val="Текст выноски Знак"/>
    <w:basedOn w:val="384"/>
    <w:link w:val="387"/>
    <w:uiPriority w:val="99"/>
    <w:semiHidden/>
    <w:rPr>
      <w:rFonts w:ascii="Tahoma" w:hAnsi="Tahoma" w:cs="Tahoma"/>
      <w:sz w:val="16"/>
      <w:szCs w:val="16"/>
    </w:rPr>
  </w:style>
  <w:style w:type="character" w:styleId="389" w:customStyle="1">
    <w:name w:val="Заголовок 1 Знак"/>
    <w:basedOn w:val="384"/>
    <w:link w:val="375"/>
    <w:uiPriority w:val="9"/>
    <w:rPr>
      <w:rFonts w:ascii="Cambria" w:hAnsi="Cambria" w:eastAsia="Cambria"/>
      <w:b/>
      <w:bCs/>
      <w:sz w:val="32"/>
      <w:szCs w:val="32"/>
    </w:rPr>
  </w:style>
  <w:style w:type="character" w:styleId="390" w:customStyle="1">
    <w:name w:val="Заголовок 2 Знак"/>
    <w:basedOn w:val="384"/>
    <w:link w:val="376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391" w:customStyle="1">
    <w:name w:val="Заголовок 3 Знак"/>
    <w:basedOn w:val="384"/>
    <w:link w:val="377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392" w:customStyle="1">
    <w:name w:val="Заголовок 4 Знак"/>
    <w:basedOn w:val="384"/>
    <w:link w:val="378"/>
    <w:uiPriority w:val="9"/>
    <w:rPr>
      <w:b/>
      <w:bCs/>
      <w:sz w:val="28"/>
      <w:szCs w:val="28"/>
    </w:rPr>
  </w:style>
  <w:style w:type="character" w:styleId="393" w:customStyle="1">
    <w:name w:val="Заголовок 5 Знак"/>
    <w:basedOn w:val="384"/>
    <w:link w:val="379"/>
    <w:uiPriority w:val="9"/>
    <w:semiHidden/>
    <w:rPr>
      <w:b/>
      <w:bCs/>
      <w:i/>
      <w:iCs/>
      <w:sz w:val="26"/>
      <w:szCs w:val="26"/>
    </w:rPr>
  </w:style>
  <w:style w:type="character" w:styleId="394" w:customStyle="1">
    <w:name w:val="Заголовок 6 Знак"/>
    <w:basedOn w:val="384"/>
    <w:link w:val="380"/>
    <w:uiPriority w:val="9"/>
    <w:semiHidden/>
    <w:rPr>
      <w:b/>
      <w:bCs/>
    </w:rPr>
  </w:style>
  <w:style w:type="character" w:styleId="395" w:customStyle="1">
    <w:name w:val="Заголовок 7 Знак"/>
    <w:basedOn w:val="384"/>
    <w:link w:val="381"/>
    <w:uiPriority w:val="9"/>
    <w:semiHidden/>
    <w:rPr>
      <w:sz w:val="24"/>
      <w:szCs w:val="24"/>
    </w:rPr>
  </w:style>
  <w:style w:type="character" w:styleId="396" w:customStyle="1">
    <w:name w:val="Заголовок 8 Знак"/>
    <w:basedOn w:val="384"/>
    <w:link w:val="382"/>
    <w:uiPriority w:val="9"/>
    <w:semiHidden/>
    <w:rPr>
      <w:i/>
      <w:iCs/>
      <w:sz w:val="24"/>
      <w:szCs w:val="24"/>
    </w:rPr>
  </w:style>
  <w:style w:type="character" w:styleId="397" w:customStyle="1">
    <w:name w:val="Заголовок 9 Знак"/>
    <w:basedOn w:val="384"/>
    <w:link w:val="383"/>
    <w:uiPriority w:val="9"/>
    <w:semiHidden/>
    <w:rPr>
      <w:rFonts w:ascii="Cambria" w:hAnsi="Cambria" w:eastAsia="Cambria"/>
    </w:rPr>
  </w:style>
  <w:style w:type="paragraph" w:styleId="398">
    <w:name w:val="Title"/>
    <w:basedOn w:val="374"/>
    <w:next w:val="374"/>
    <w:link w:val="399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399" w:customStyle="1">
    <w:name w:val="Название Знак"/>
    <w:basedOn w:val="384"/>
    <w:link w:val="398"/>
    <w:uiPriority w:val="10"/>
    <w:rPr>
      <w:rFonts w:ascii="Cambria" w:hAnsi="Cambria" w:eastAsia="Cambria"/>
      <w:b/>
      <w:bCs/>
      <w:sz w:val="32"/>
      <w:szCs w:val="32"/>
    </w:rPr>
  </w:style>
  <w:style w:type="paragraph" w:styleId="400">
    <w:name w:val="Subtitle"/>
    <w:basedOn w:val="374"/>
    <w:next w:val="374"/>
    <w:link w:val="401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401" w:customStyle="1">
    <w:name w:val="Подзаголовок Знак"/>
    <w:basedOn w:val="384"/>
    <w:link w:val="400"/>
    <w:uiPriority w:val="11"/>
    <w:rPr>
      <w:rFonts w:ascii="Cambria" w:hAnsi="Cambria" w:eastAsia="Cambria"/>
      <w:sz w:val="24"/>
      <w:szCs w:val="24"/>
    </w:rPr>
  </w:style>
  <w:style w:type="character" w:styleId="402">
    <w:name w:val="Strong"/>
    <w:basedOn w:val="384"/>
    <w:qFormat/>
    <w:uiPriority w:val="22"/>
    <w:rPr>
      <w:b/>
      <w:bCs/>
    </w:rPr>
  </w:style>
  <w:style w:type="character" w:styleId="403">
    <w:name w:val="Emphasis"/>
    <w:basedOn w:val="384"/>
    <w:qFormat/>
    <w:uiPriority w:val="20"/>
    <w:rPr>
      <w:rFonts w:ascii="Calibri" w:hAnsi="Calibri"/>
      <w:b/>
      <w:i/>
      <w:iCs/>
    </w:rPr>
  </w:style>
  <w:style w:type="paragraph" w:styleId="404">
    <w:name w:val="No Spacing"/>
    <w:basedOn w:val="374"/>
    <w:qFormat/>
    <w:uiPriority w:val="1"/>
    <w:rPr>
      <w:szCs w:val="32"/>
    </w:rPr>
  </w:style>
  <w:style w:type="paragraph" w:styleId="405">
    <w:name w:val="List Paragraph"/>
    <w:basedOn w:val="374"/>
    <w:qFormat/>
    <w:uiPriority w:val="99"/>
    <w:pPr>
      <w:contextualSpacing w:val="true"/>
      <w:ind w:left="720"/>
    </w:pPr>
  </w:style>
  <w:style w:type="paragraph" w:styleId="406">
    <w:name w:val="Quote"/>
    <w:basedOn w:val="374"/>
    <w:next w:val="374"/>
    <w:link w:val="407"/>
    <w:qFormat/>
    <w:uiPriority w:val="29"/>
    <w:rPr>
      <w:i/>
    </w:rPr>
  </w:style>
  <w:style w:type="character" w:styleId="407" w:customStyle="1">
    <w:name w:val="Цитата 2 Знак"/>
    <w:basedOn w:val="384"/>
    <w:link w:val="406"/>
    <w:uiPriority w:val="29"/>
    <w:rPr>
      <w:i/>
      <w:sz w:val="24"/>
      <w:szCs w:val="24"/>
    </w:rPr>
  </w:style>
  <w:style w:type="paragraph" w:styleId="408">
    <w:name w:val="Intense Quote"/>
    <w:basedOn w:val="374"/>
    <w:next w:val="374"/>
    <w:link w:val="409"/>
    <w:qFormat/>
    <w:uiPriority w:val="30"/>
    <w:rPr>
      <w:b/>
      <w:i/>
      <w:szCs w:val="22"/>
    </w:rPr>
    <w:pPr>
      <w:ind w:left="720" w:right="720"/>
    </w:pPr>
  </w:style>
  <w:style w:type="character" w:styleId="409" w:customStyle="1">
    <w:name w:val="Выделенная цитата Знак"/>
    <w:basedOn w:val="384"/>
    <w:link w:val="408"/>
    <w:uiPriority w:val="30"/>
    <w:rPr>
      <w:b/>
      <w:i/>
      <w:sz w:val="24"/>
    </w:rPr>
  </w:style>
  <w:style w:type="character" w:styleId="410">
    <w:name w:val="Subtle Emphasis"/>
    <w:qFormat/>
    <w:uiPriority w:val="19"/>
    <w:rPr>
      <w:i/>
      <w:color w:val="5A5A5A" w:themeColor="text1" w:themeTint="A5"/>
    </w:rPr>
  </w:style>
  <w:style w:type="character" w:styleId="411">
    <w:name w:val="Intense Emphasis"/>
    <w:basedOn w:val="384"/>
    <w:qFormat/>
    <w:uiPriority w:val="21"/>
    <w:rPr>
      <w:b/>
      <w:i/>
      <w:sz w:val="24"/>
      <w:szCs w:val="24"/>
      <w:u w:val="single"/>
    </w:rPr>
  </w:style>
  <w:style w:type="character" w:styleId="412">
    <w:name w:val="Subtle Reference"/>
    <w:basedOn w:val="384"/>
    <w:qFormat/>
    <w:uiPriority w:val="31"/>
    <w:rPr>
      <w:sz w:val="24"/>
      <w:szCs w:val="24"/>
      <w:u w:val="single"/>
    </w:rPr>
  </w:style>
  <w:style w:type="character" w:styleId="413">
    <w:name w:val="Intense Reference"/>
    <w:basedOn w:val="384"/>
    <w:qFormat/>
    <w:uiPriority w:val="32"/>
    <w:rPr>
      <w:b/>
      <w:sz w:val="24"/>
      <w:u w:val="single"/>
    </w:rPr>
  </w:style>
  <w:style w:type="character" w:styleId="414">
    <w:name w:val="Book Title"/>
    <w:basedOn w:val="384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415">
    <w:name w:val="TOC Heading"/>
    <w:basedOn w:val="375"/>
    <w:next w:val="374"/>
    <w:qFormat/>
    <w:uiPriority w:val="39"/>
    <w:semiHidden/>
    <w:unhideWhenUsed/>
    <w:pPr>
      <w:outlineLvl w:val="9"/>
    </w:pPr>
  </w:style>
  <w:style w:type="table" w:styleId="416">
    <w:name w:val="Table Grid"/>
    <w:basedOn w:val="3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ВИШНЯК Тетяна Сергіївна</cp:lastModifiedBy>
  <cp:revision>13</cp:revision>
  <dcterms:created xsi:type="dcterms:W3CDTF">2018-11-12T13:23:00Z</dcterms:created>
  <dcterms:modified xsi:type="dcterms:W3CDTF">2020-11-23T17:18:50Z</dcterms:modified>
</cp:coreProperties>
</file>