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6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</w:t>
      </w:r>
      <w:r>
        <w:rPr>
          <w:b/>
          <w:sz w:val="28"/>
          <w:szCs w:val="28"/>
        </w:rPr>
        <w:t xml:space="preserve"> третя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71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252" w:leader="none"/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29 вересня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460</w:t>
      </w:r>
      <w:r>
        <w:rPr>
          <w:sz w:val="28"/>
        </w:rPr>
      </w:r>
    </w:p>
    <w:p>
      <w:pPr>
        <w:ind w:right="5384"/>
        <w:jc w:val="both"/>
        <w:spacing w:after="113" w:afterAutospacing="0" w:before="113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договору оренди невитребуваних земельних часток (паїв) від 22.03.2016 року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Булавки В.О.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громади (за межами населених пунктів)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 в Україні»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ділянку (пай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 та за взаємною згодою сторін,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Менського району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межами с. Слобідка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2,1101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кадастровий номер 7423088200:02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000:0554</w:t>
      </w:r>
      <w:r>
        <w:rPr>
          <w:sz w:val="28"/>
        </w:rPr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2,1102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7423088200:02:000:0894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додаткову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договору</w:t>
      </w:r>
      <w:r>
        <w:rPr>
          <w:sz w:val="28"/>
          <w:szCs w:val="28"/>
        </w:rPr>
        <w:t xml:space="preserve"> оренди невитребуваних земельних часток (паїв)</w:t>
      </w:r>
      <w:r>
        <w:rPr>
          <w:sz w:val="28"/>
          <w:szCs w:val="28"/>
        </w:rPr>
        <w:t xml:space="preserve"> від 22.03.2016 року (зареєстрований у книзі записів реєстрації договорів оренди земельних часток (паїв) Слобідської сільської ради за № 01) укладеного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Булавка В.О.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72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72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72"/>
        <w:ind w:left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371" w:leader="none"/>
        </w:tabs>
        <w:rPr>
          <w:sz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34"/>
    <w:pPr>
      <w:ind w:left="708"/>
    </w:pPr>
  </w:style>
  <w:style w:type="paragraph" w:styleId="573">
    <w:name w:val="Balloon Text"/>
    <w:basedOn w:val="562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9</cp:revision>
  <dcterms:created xsi:type="dcterms:W3CDTF">2020-09-02T13:06:00Z</dcterms:created>
  <dcterms:modified xsi:type="dcterms:W3CDTF">2020-10-02T10:35:13Z</dcterms:modified>
</cp:coreProperties>
</file>