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954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</w:rPr>
      </w:r>
      <w:bookmarkStart w:id="0" w:name="_GoBack"/>
      <w:r>
        <w:rPr>
          <w:rFonts w:ascii="Times New Roman" w:hAnsi="Times New Roman" w:cs="Times New Roman" w:eastAsia="Times New Roman"/>
          <w:color w:val="000000" w:themeColor="text1"/>
        </w:rPr>
      </w:r>
      <w:bookmarkEnd w:id="0"/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Додаток 1 до рішення 43 сесії Менської міської ради 7 скликання від 29.09.2020 №445 “Про затвердження інформаційних, технологічних карток та переліку адміністративних послуг, які надаються через відділ "Центр надання адмініс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тративних послуг" Менської міськ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ої ради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  <w:t xml:space="preserve">”</w:t>
      </w:r>
      <w:r>
        <w:rPr>
          <w:rFonts w:ascii="Times New Roman" w:hAnsi="Times New Roman" w:cs="Times New Roman" w:eastAsia="Times New Roman"/>
          <w:color w:val="000000" w:themeColor="text1"/>
          <w:sz w:val="20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 </w:t>
      </w:r>
      <w:r>
        <w:rPr>
          <w:color w:val="000000" w:themeColor="text1"/>
        </w:rPr>
      </w:r>
      <w:r/>
    </w:p>
    <w:tbl>
      <w:tblPr>
        <w:tblStyle w:val="530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450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Перелік адміністративних послуг органів виконавчої влади, які надаються через центр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  <w:u w:val="none"/>
              </w:rPr>
              <w:t xml:space="preserve">Правові підстави для надання адміністративної послуги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09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tabs>
                <w:tab w:val="left" w:pos="3969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Внесення змін до записів Державного реєстру речових прав на нерухоме майно та їх обтяжень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8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Заборона вчинення реєстраційних дій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9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Державна реєстрація іншого (відмінного від права власності) речового права на нерухоме майно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0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Надання інформації з Державного реєстру речових прав на нерухоме майно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1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Взяття на облік безхазяйного нерухомого майна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2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Державна реєстрація обтяжень речових прав на нерухоме майно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3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Державна реєстрація права власності на нерухоме майно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4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8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(за рішенням суду)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5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"Про державну реєстрацію речових прав на нерухоме майно та їх обтяжень"</w:t>
              </w:r>
            </w:hyperlink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Реєстрація/зняття з реєстрації місця проживання/перебування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свободу пересування та вільний вибір місця проживання в Україні»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самоврядування»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адміністративні послуги»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порядок виїзду з України і в’їзду в Україну громадян України»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Реєстрація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/зняття з реєстрації місця проживання/перебування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6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» (абзац восьмий статті 3);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7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 ), населених пунктів, адміністративно-територіальних одиниць, зміни в адміністративно-територіал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ьному устрої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8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Закон України «Про свободу пересування та вільний вибір місця проживання в Україні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» (абзац восьмий статті 3);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</w:r>
            <w:hyperlink r:id="rId19" w:history="1">
              <w:r>
                <w:rPr>
                  <w:rStyle w:val="656"/>
                  <w:rFonts w:ascii="Times New Roman" w:hAnsi="Times New Roman" w:cs="Times New Roman" w:eastAsia="Times New Roman"/>
                  <w:color w:val="000000" w:themeColor="text1"/>
                  <w:sz w:val="24"/>
                  <w:highlight w:val="white"/>
                  <w:u w:val="none"/>
                </w:rPr>
                <w:t xml:space="preserve">Постанова Кабінету Міністрів України від 02.03.2016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        </w:r>
            </w:hyperlink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»;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Надання будівельного паспорта забудови земельної ділянки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 (стаття 31).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регулювання містобудівної діяльності» (стаття 27).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Надання містобудівних умов та обмежень забудови земельної ділянки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 (стаття 31).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регулювання містобудівної діяльності» (стаття 29).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ордера на видалення зелених насаджень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благоустрій населених пунктів» від 06.09.2005 р. № 2807-IV (статті 10, 28)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Надання дозволу на порушення об’єктів благоустрою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благоустрій населених пунктів» від 06.09.2005 р. (стаття 26-1).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Отримання погодження щодо можливості розміщення тимчасової споруди  для здійснення підприємницької діяльності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регулювання містобудівної діяльності» із змінами , ст.28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паспорту прив’язки тимчасової споруди для здійснення підприємницької діяльності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регулювання містобудівної діяльності» із змінами , ст.28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Прийняття рішення про переведення житлового будинку або житлового приміщення у нежитлові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Житловий кодекс Української РСР (статті 7, 8).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 (статті 319, 320, 383).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від 29.11.01 р. № 2866-III «Про об’єднання співвласників багатоквартирного будинку» (стаття 26).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(продовження дії) дозволу на розміщення зовнішньої реклами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рекламу» (стаття 16*).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Надання будівельного паспорта забудови земельної ділянки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 (стаття 31).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регулювання містобудівної діяльності» (стаття 27).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витягу з погосподарської книги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 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«Інструкція з ведення погосподарського обліку в сільських, селищних, міських радах», затверджена наказом Міністерства юстиції України від 11.04.2016 р. № 56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8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довідки на право фізичної особи на отримання доходу від податкового агента без утримання податку (3 ДФ)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Наказ Міністерства доходів і зборів України №32 від 17.01.2014 року.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довідки  про зареєстрованих у житловому приміщенні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довідки-характеристики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Видача довідки про членство в особистому селянському господарстві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місцеве самоврядування в Україні»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ст. 11 Закону України "Про особисте селянське господарство".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Наказ Державної служби статистики України від 08.12.10 № 491 "Про затвердження Інструкції з ведення погосподарського обліку в сільських, селищних та міських радах".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Від 24.11.15 №340 «Про затвердження типових форм первинної облікової документації для сільських, селищних та міських рад».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Посвідчення заповіту (крім секретного)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нотаріат» (ст. ст. 37, 56-57).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зареєстрованим в Міністерстві юстиції України 14.11.2011 р. за № 1298/20036 (пункт 1 розділу 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ІІ).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Декрет Кабінету Міністрів України "Про державне мито" № 7-93 від 21.01.1993 (підп. «є» пункту 3 ст.  3, ст. 4).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Скасування заповіту (крім секретного)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нотаріат» (ст. 37, ст. 57);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Порядок вчинення нотаріальних дій посадовими особами органів місцевого самоврядування, затверджений Наказом Міністерства юстиції України № 3306/5від 11.11.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2011 , зареєстрованим в Міністерстві юстиції України 14.11.2011 р. за № 1298/20036 (пункт 1.8-1.9 розділу ІІІ).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Декрет Кабінету Міністрів України "Про державне мито" від 21.01.1993 № 7-93 (підп. «р» пункту 3 ст. 3).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 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8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Засвідчення вірності копії (фотокопії) документа і виписки з нього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нотаріат» (ст. ст. 37, 47, 75-77); 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Порядок вчинення нотаріальних дій посадовими особами органів місцевого самоврядування, затверджений Наказом Міністерства юстиції України № 3306/5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 від 11.11.2011, зареєстрований в Міністерстві юстиції України 14.11.2011 р. за № 1298/20036 (пункт 3 розділу ІІІ);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Декрет Кабінету Міністрів України "Про державне мито" № 7-93 від 21.01.1993 (підп. «п» пункту 3 ст. 3, ст. 4).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29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Засвідчення справжності підпису на документі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нотаріат» (ст. 37, 78);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Порядок вчинення нотаріальних дій посадовими особами органів місцевого самоврядування, затверджений Наказом Міністерства юстиції України №3306/5 від 11.11.2011,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зареєстрованим в Міністерстві юстиції України 14.11.2011 р. за № 1298/20036 (пункт 4 розділу ІІІ);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Декрет Кабінету Міністрів України "Про державне мито" від 21.01.1993 № 7-93 (підп. «р» пункту 3 ст. 3)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0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Посвідчення довіреностей, прирівнюваних до нотаріально посвідчених (крім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  <w:t xml:space="preserve">засобами)</w:t>
            </w:r>
            <w:r>
              <w:rPr>
                <w:rFonts w:ascii="Times New Roman" w:hAnsi="Times New Roman" w:cs="Times New Roman" w:eastAsia="Times New Roman"/>
                <w:i/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нотаріат» (пункт 4 частини другої ст. 40, ст. 58);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Порядок посвідчення заповітів і довіреностей, що прирівнюються до нотаріально посвідчених, затверджених Постановою Кабінету Міністрів Украї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ни від 15.06.1994 № 419 (у редакції постанови Кабінету Міністрів України від 6 липня 2006 р. № 940);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Декрет Кабінету Міністрів України від 21.01.1993 № 7-93 "Про державне мито" (підп. «й» пункту 3 ст. 3, ст. 4).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розроблення проєкту землеустрою щодо відведення земельної ділянки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122, 123 134 Земельного Кодексу України, стаття 22 Закону України «Про землеустрій», пункт 34 стаття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Затвердження проєкту землеустрою щодо відведення або зміни цільового призначення земельної ділянки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20, 123, 186` Земельного Кодексу України, статті 22, 50 Закону України «Про землеустрій»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розробку документації  із землеустрою громадянам України з метою безоплатної приватизації земельної ділянки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12, 116, 118, 119, 120, 121, 122, 123, 186` Земельного кодексу України, статті 22, 50, 55, 56 Закону України «Про землеустрій», пункт 34 стаття 26 Закону України «Про місцеве самоврядування в Україні»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Продаж земельних ділянок комунальної власності іноземним державам та іноземним юридичним особам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Стаття 129 Земельного кодексу України, статті 22, 50, 55, 56 Закон України «Про землеустрій», стаття 13 Закону України «Про оцінку земель»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виготовлення документації із землеустрою з метою надання земельної ділянки у постійне користування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Стаття 92, 122, 123, 186. Земельного кодексу України, статті 22, 50, 55, 56 Закон України «Про землеустрій»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6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виготовлення технічної документації із землеустрою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 метою передачі земельної ділянки в оренду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93, 122, 123, 124, 186 Земельний кодекс України, статті 22, 55, 56 Закону України «Про землеустрій», статті 32, 33 Закону України «Про оренду землі.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7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виготовлення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документації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із землеустрою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 метою передачі земельної ділянки (невитребуваної земельної частки( паю)) в оренду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93, 122, 123, 124, 186 Земельний кодекс України, статті 22, 55, 56 Закону України «Про землеустрій», ст. 13 Закону України «Про порядок виділення в натурі (на місцевості) земельних ділянок власникам земельних часток (паїв)» статті 32, 33 Закону Укра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їни «Про оренду землі.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8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по передачі у приватну власність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Законом України «Про порядок виділення в натурі (на місцевості) земельних ділянок  власникам земельних часток (паїв)» та п. 34 ч. 1 ст. 26 Закону України «Про місцеве самоврядування в Україні», статті 12, 116, 118, 121, 126 Земельного кодексу України; ст.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25, 55 Закон України «Про землеустрій»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39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Затвердження документації із землеустрою з метою передачі невитребуваних земельних ділянок (паїв) в оренду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ст.13 Закону України «Про порядок виділення в натурі (на місцевості) земельних ділянок власникам земельних часток (паїв)», ст. 25, 55 Закон України «Про землеустрій» п. 34 ч. 1 ст. 26 Закону України «Про місцеве самоврядування в Україні» статті 32, 33 Зако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ну України «Про оренду землі»; Податковий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0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виготовлення документації із землеустрою з метою передачі земельної ділянки в постійне користування або у власність співвласникам багатоквартирного будинку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59, 92, 116, 122, 123, 186`, 42, 92 Земельного Кодексу України,. статті 22, 50, 55, 56 Закон України «Про землеустрій»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розроблення проєкту землеустрою щодо відведення земельної ділянки з метою її продажу громадянам, юридичним особам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Стаття 128 Земельного кодексу України, статті 22, 50, 55, 56 Закон України «Про землеустрій», стаття 13 Закон України «Про оцінку земель»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Поновлення договору оренди землі за ініціативою орендаря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Ст. 93, п.2 ст.134 Земельного кодексу України, статті ст.33 Закону України «Про оренду землі»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Внесення змін до договорів оренди землі за ініціативою орендаря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93 Земельний кодекс України, статті 30 Закону України «Про оренду землі»; Податковий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Припинення договору оренди землі за ініціативою орендаря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93 Земельний кодекс України, статті 31, 32, 321, 34 Закону України «Про оренду землі», Податковий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згоди на поділ та об’єднання земельних ділянок комунальної власності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Статті 12, 87, 91, 110, 116, 118, 120, 121, 122, 186 Земельний кодекс України, статті 19, 22, 56 Закону України «Про землеустрій»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6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України; Цивільний процесуальний кодекс України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7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Видача дозволу опікуну на вчинення правочинів щодо: відмови від майнових прав підопічного; видання письмових зобов’язань від імені підопічного; укладення договорів, які підлягають нотаріальному посвідченню та (або) державній реєстрації, в тому числі догово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рів щодо поділу або обміну житлового будинку, квартири; укладення договорів щодо іншого цінного майна; управління нерухомим майном або майном, яке потребує постійного управління, власником якого є підопічна недієздатна особа; передання нерухомого майна або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 майна, яке потребує постійного управління, власником якого є підопічна недієздатна особа, за договором в управління іншій особі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8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Видача дозволу піклувальнику для надання згоди підопічній повнолітній особі, дієздатність якої обмежена, на вчинення правочину щодо: відмови від майнових прав підопічного; видання письмових зобов’язань від імені підопічного; укладення договорів, які підляг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ають нотаріальному посвідченню та (або) державній реєстрації, в тому числі договорів щодо поділу або обміну житлового будинку, квартири; укладення договорів щодо іншого цінного майна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49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оформлення документації щодо відведення земельної ділянки у власність дитини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охорону дитинства».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Закону України «Про основи соціального захисту бездомних осіб і безпритульних дітей».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Сімейний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0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висновку (рішення) виконавчого комітету про визначення місця проживання дитини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“Про органи і служби у справах дітей та спеціальні установи для дітей”.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Сімейний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України.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1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Надання дозволу на вчинення правочину щодо нерухомого майна, право власності на яке або право користування на яке має дитина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 України «Про охорону дитинства»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Сімейний Кодекс України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Цивільний Кодекс України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Постанова Кабінету Міністрів України від 24.09.2008р. №866»;Питання діяльності органу опіки та піклування, пов’язаної з захистом прав дитини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2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Прийняття рішення щодо соціального обслуговування громадянина  КУ «Територіальний центр соціального обслуговування (надання соціальних послуг)»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Закони України „Про соціальні послуги” від 17.01.2019 № 2671-VIII; „Про основні засади соціального захисту ветеранів праці та інших громадян похилого віку в Україні” від 16.12.1993 № 3721-XII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3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Видача свідоцтва про право власності на житло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«Про приватизацію державного житлового фонду», «Про забезпечення реалізації житлових прав мешканців гуртожитків», «Про внесення змін до деяких законодавчих актів України щодо забезпечення реалізації житлових прав мешканців гуртожитків»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4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Видача довідки про перебування на квартирному обліку за місцем вимоги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Правила обліку громадян, які потребують поліпшення житлових умов, і надання їм 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грудня  1984 року № 470 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із змінами та доповненнями)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textDirection w:val="lrTb"/>
            <w:noWrap w:val="false"/>
          </w:tcPr>
          <w:p>
            <w:pPr>
              <w:numPr>
                <w:ilvl w:val="0"/>
                <w:numId w:val="5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Взяття на квартирний облік громадян, які потребують поліпшення житлових умов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Житловий кодекс Української РСР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Правила обліку громадян, які потребують поліпшення житлових умов, і надання їм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Постанова Ради Міністрів Української РСР від 4 лютого 1988 р. №37 «Про службові жилі приміщення»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жилих приміщень в Українській РСР, затверджені постановою Ради Міністрів Української  РСР і Української республіканської ради професійних спілок від 11 грудня  1984 року № 470 (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із змінами та доповненнями)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55"/>
              </w:numPr>
              <w:contextualSpacing w:val="false"/>
              <w:ind w:left="340"/>
              <w:jc w:val="left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b w:val="false"/>
                <w:i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false"/>
                <w:i/>
                <w:color w:val="000000" w:themeColor="text1"/>
                <w:sz w:val="28"/>
              </w:rPr>
              <w:t xml:space="preserve">Видача ордера на службове жиле приміщення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0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  <w:u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Житловий кодекс Української РСР 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  <w:t xml:space="preserve">Постанова Ради Міністрів Української РСР від 4 лютого 1988 р. №37 «Про службові жилі приміщення»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  <w:u w:val="none"/>
              </w:rPr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</w:rPr>
      </w:r>
      <w:r>
        <w:rPr>
          <w:color w:val="000000" w:themeColor="text1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2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2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3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3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3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3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3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3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3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3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3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3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4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4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4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4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4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4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4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4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4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4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5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5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5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5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5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5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98">
    <w:name w:val="Heading 1"/>
    <w:basedOn w:val="670"/>
    <w:next w:val="670"/>
    <w:link w:val="4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99">
    <w:name w:val="Heading 1 Char"/>
    <w:basedOn w:val="671"/>
    <w:link w:val="498"/>
    <w:uiPriority w:val="9"/>
    <w:rPr>
      <w:rFonts w:ascii="Arial" w:hAnsi="Arial" w:cs="Arial" w:eastAsia="Arial"/>
      <w:sz w:val="40"/>
      <w:szCs w:val="40"/>
    </w:rPr>
  </w:style>
  <w:style w:type="paragraph" w:styleId="500">
    <w:name w:val="Heading 2"/>
    <w:basedOn w:val="670"/>
    <w:next w:val="670"/>
    <w:link w:val="5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1">
    <w:name w:val="Heading 2 Char"/>
    <w:basedOn w:val="671"/>
    <w:link w:val="500"/>
    <w:uiPriority w:val="9"/>
    <w:rPr>
      <w:rFonts w:ascii="Arial" w:hAnsi="Arial" w:cs="Arial" w:eastAsia="Arial"/>
      <w:sz w:val="34"/>
    </w:rPr>
  </w:style>
  <w:style w:type="paragraph" w:styleId="502">
    <w:name w:val="Heading 3"/>
    <w:basedOn w:val="670"/>
    <w:next w:val="670"/>
    <w:link w:val="5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3">
    <w:name w:val="Heading 3 Char"/>
    <w:basedOn w:val="671"/>
    <w:link w:val="502"/>
    <w:uiPriority w:val="9"/>
    <w:rPr>
      <w:rFonts w:ascii="Arial" w:hAnsi="Arial" w:cs="Arial" w:eastAsia="Arial"/>
      <w:sz w:val="30"/>
      <w:szCs w:val="30"/>
    </w:rPr>
  </w:style>
  <w:style w:type="paragraph" w:styleId="504">
    <w:name w:val="Heading 4"/>
    <w:basedOn w:val="670"/>
    <w:next w:val="670"/>
    <w:link w:val="5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5">
    <w:name w:val="Heading 4 Char"/>
    <w:basedOn w:val="671"/>
    <w:link w:val="504"/>
    <w:uiPriority w:val="9"/>
    <w:rPr>
      <w:rFonts w:ascii="Arial" w:hAnsi="Arial" w:cs="Arial" w:eastAsia="Arial"/>
      <w:b/>
      <w:bCs/>
      <w:sz w:val="26"/>
      <w:szCs w:val="26"/>
    </w:rPr>
  </w:style>
  <w:style w:type="paragraph" w:styleId="506">
    <w:name w:val="Heading 5"/>
    <w:basedOn w:val="670"/>
    <w:next w:val="670"/>
    <w:link w:val="5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7">
    <w:name w:val="Heading 5 Char"/>
    <w:basedOn w:val="671"/>
    <w:link w:val="506"/>
    <w:uiPriority w:val="9"/>
    <w:rPr>
      <w:rFonts w:ascii="Arial" w:hAnsi="Arial" w:cs="Arial" w:eastAsia="Arial"/>
      <w:b/>
      <w:bCs/>
      <w:sz w:val="24"/>
      <w:szCs w:val="24"/>
    </w:rPr>
  </w:style>
  <w:style w:type="paragraph" w:styleId="508">
    <w:name w:val="Heading 6"/>
    <w:basedOn w:val="670"/>
    <w:next w:val="670"/>
    <w:link w:val="5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09">
    <w:name w:val="Heading 6 Char"/>
    <w:basedOn w:val="671"/>
    <w:link w:val="508"/>
    <w:uiPriority w:val="9"/>
    <w:rPr>
      <w:rFonts w:ascii="Arial" w:hAnsi="Arial" w:cs="Arial" w:eastAsia="Arial"/>
      <w:b/>
      <w:bCs/>
      <w:sz w:val="22"/>
      <w:szCs w:val="22"/>
    </w:rPr>
  </w:style>
  <w:style w:type="paragraph" w:styleId="510">
    <w:name w:val="Heading 7"/>
    <w:basedOn w:val="670"/>
    <w:next w:val="670"/>
    <w:link w:val="5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1">
    <w:name w:val="Heading 7 Char"/>
    <w:basedOn w:val="671"/>
    <w:link w:val="5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2">
    <w:name w:val="Heading 8"/>
    <w:basedOn w:val="670"/>
    <w:next w:val="670"/>
    <w:link w:val="5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3">
    <w:name w:val="Heading 8 Char"/>
    <w:basedOn w:val="671"/>
    <w:link w:val="512"/>
    <w:uiPriority w:val="9"/>
    <w:rPr>
      <w:rFonts w:ascii="Arial" w:hAnsi="Arial" w:cs="Arial" w:eastAsia="Arial"/>
      <w:i/>
      <w:iCs/>
      <w:sz w:val="22"/>
      <w:szCs w:val="22"/>
    </w:rPr>
  </w:style>
  <w:style w:type="paragraph" w:styleId="514">
    <w:name w:val="Heading 9"/>
    <w:basedOn w:val="670"/>
    <w:next w:val="670"/>
    <w:link w:val="5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5">
    <w:name w:val="Heading 9 Char"/>
    <w:basedOn w:val="671"/>
    <w:link w:val="514"/>
    <w:uiPriority w:val="9"/>
    <w:rPr>
      <w:rFonts w:ascii="Arial" w:hAnsi="Arial" w:cs="Arial" w:eastAsia="Arial"/>
      <w:i/>
      <w:iCs/>
      <w:sz w:val="21"/>
      <w:szCs w:val="21"/>
    </w:rPr>
  </w:style>
  <w:style w:type="paragraph" w:styleId="516">
    <w:name w:val="List Paragraph"/>
    <w:basedOn w:val="670"/>
    <w:qFormat/>
    <w:uiPriority w:val="34"/>
    <w:pPr>
      <w:contextualSpacing w:val="true"/>
      <w:ind w:left="720"/>
    </w:pPr>
  </w:style>
  <w:style w:type="paragraph" w:styleId="517">
    <w:name w:val="No Spacing"/>
    <w:qFormat/>
    <w:uiPriority w:val="1"/>
    <w:pPr>
      <w:spacing w:lineRule="auto" w:line="240" w:after="0" w:before="0"/>
    </w:pPr>
  </w:style>
  <w:style w:type="paragraph" w:styleId="518">
    <w:name w:val="Title"/>
    <w:basedOn w:val="670"/>
    <w:next w:val="670"/>
    <w:link w:val="5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9">
    <w:name w:val="Title Char"/>
    <w:basedOn w:val="671"/>
    <w:link w:val="518"/>
    <w:uiPriority w:val="10"/>
    <w:rPr>
      <w:sz w:val="48"/>
      <w:szCs w:val="48"/>
    </w:rPr>
  </w:style>
  <w:style w:type="paragraph" w:styleId="520">
    <w:name w:val="Subtitle"/>
    <w:basedOn w:val="670"/>
    <w:next w:val="670"/>
    <w:link w:val="521"/>
    <w:qFormat/>
    <w:uiPriority w:val="11"/>
    <w:rPr>
      <w:sz w:val="24"/>
      <w:szCs w:val="24"/>
    </w:rPr>
    <w:pPr>
      <w:spacing w:after="200" w:before="200"/>
    </w:pPr>
  </w:style>
  <w:style w:type="character" w:styleId="521">
    <w:name w:val="Subtitle Char"/>
    <w:basedOn w:val="671"/>
    <w:link w:val="520"/>
    <w:uiPriority w:val="11"/>
    <w:rPr>
      <w:sz w:val="24"/>
      <w:szCs w:val="24"/>
    </w:rPr>
  </w:style>
  <w:style w:type="paragraph" w:styleId="522">
    <w:name w:val="Quote"/>
    <w:basedOn w:val="670"/>
    <w:next w:val="670"/>
    <w:link w:val="523"/>
    <w:qFormat/>
    <w:uiPriority w:val="29"/>
    <w:rPr>
      <w:i/>
    </w:rPr>
    <w:pPr>
      <w:ind w:left="720" w:right="720"/>
    </w:pPr>
  </w:style>
  <w:style w:type="character" w:styleId="523">
    <w:name w:val="Quote Char"/>
    <w:link w:val="522"/>
    <w:uiPriority w:val="29"/>
    <w:rPr>
      <w:i/>
    </w:rPr>
  </w:style>
  <w:style w:type="paragraph" w:styleId="524">
    <w:name w:val="Intense Quote"/>
    <w:basedOn w:val="670"/>
    <w:next w:val="670"/>
    <w:link w:val="5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5">
    <w:name w:val="Intense Quote Char"/>
    <w:link w:val="524"/>
    <w:uiPriority w:val="30"/>
    <w:rPr>
      <w:i/>
    </w:rPr>
  </w:style>
  <w:style w:type="paragraph" w:styleId="526">
    <w:name w:val="Header"/>
    <w:basedOn w:val="670"/>
    <w:link w:val="5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7">
    <w:name w:val="Header Char"/>
    <w:basedOn w:val="671"/>
    <w:link w:val="526"/>
    <w:uiPriority w:val="99"/>
  </w:style>
  <w:style w:type="paragraph" w:styleId="528">
    <w:name w:val="Footer"/>
    <w:basedOn w:val="670"/>
    <w:link w:val="5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9">
    <w:name w:val="Footer Char"/>
    <w:basedOn w:val="671"/>
    <w:link w:val="528"/>
    <w:uiPriority w:val="99"/>
  </w:style>
  <w:style w:type="table" w:styleId="530">
    <w:name w:val="Table Grid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1">
    <w:name w:val="Table Grid Light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>
    <w:name w:val="Plain Table 1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3">
    <w:name w:val="Plain Table 2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4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5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7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9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0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1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2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3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4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5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66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67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68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69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0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71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2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3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4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5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6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7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8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9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4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5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6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7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8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9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0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5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6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7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8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0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1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2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3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4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5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6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7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8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9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0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1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2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33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34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35">
    <w:name w:val="Lined - Accent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36">
    <w:name w:val="Lined - Accent 1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37">
    <w:name w:val="Lined - Accent 2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8">
    <w:name w:val="Lined - Accent 3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9">
    <w:name w:val="Lined - Accent 4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0">
    <w:name w:val="Lined - Accent 5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1">
    <w:name w:val="Lined - Accent 6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2">
    <w:name w:val="Bordered &amp; Lined - Accent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3">
    <w:name w:val="Bordered &amp; Lined - Accent 1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4">
    <w:name w:val="Bordered &amp; Lined - Accent 2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5">
    <w:name w:val="Bordered &amp; Lined - Accent 3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6">
    <w:name w:val="Bordered &amp; Lined - Accent 4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7">
    <w:name w:val="Bordered &amp; Lined - Accent 5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8">
    <w:name w:val="Bordered &amp; Lined - Accent 6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9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0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1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2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3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4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5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56">
    <w:name w:val="Hyperlink"/>
    <w:uiPriority w:val="99"/>
    <w:unhideWhenUsed/>
    <w:rPr>
      <w:color w:val="0000FF" w:themeColor="hyperlink"/>
      <w:u w:val="single"/>
    </w:rPr>
  </w:style>
  <w:style w:type="paragraph" w:styleId="657">
    <w:name w:val="footnote text"/>
    <w:basedOn w:val="670"/>
    <w:link w:val="658"/>
    <w:uiPriority w:val="99"/>
    <w:semiHidden/>
    <w:unhideWhenUsed/>
    <w:rPr>
      <w:sz w:val="18"/>
    </w:rPr>
    <w:pPr>
      <w:spacing w:lineRule="auto" w:line="240" w:after="40"/>
    </w:pPr>
  </w:style>
  <w:style w:type="character" w:styleId="658">
    <w:name w:val="Footnote Text Char"/>
    <w:link w:val="657"/>
    <w:uiPriority w:val="99"/>
    <w:rPr>
      <w:sz w:val="18"/>
    </w:rPr>
  </w:style>
  <w:style w:type="character" w:styleId="659">
    <w:name w:val="footnote reference"/>
    <w:basedOn w:val="671"/>
    <w:uiPriority w:val="99"/>
    <w:unhideWhenUsed/>
    <w:rPr>
      <w:vertAlign w:val="superscript"/>
    </w:rPr>
  </w:style>
  <w:style w:type="paragraph" w:styleId="66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66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66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66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66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66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66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66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66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669">
    <w:name w:val="TOC Heading"/>
    <w:uiPriority w:val="39"/>
    <w:unhideWhenUsed/>
  </w:style>
  <w:style w:type="paragraph" w:styleId="670" w:default="1">
    <w:name w:val="Normal"/>
    <w:qFormat/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://search.ligazakon.ua/l_doc2.nsf/link1/T041952.html" TargetMode="External"/><Relationship Id="rId9" Type="http://schemas.openxmlformats.org/officeDocument/2006/relationships/hyperlink" Target="http://search.ligazakon.ua/l_doc2.nsf/link1/T041952.html" TargetMode="External"/><Relationship Id="rId10" Type="http://schemas.openxmlformats.org/officeDocument/2006/relationships/hyperlink" Target="http://search.ligazakon.ua/l_doc2.nsf/link1/T041952.html" TargetMode="External"/><Relationship Id="rId11" Type="http://schemas.openxmlformats.org/officeDocument/2006/relationships/hyperlink" Target="http://search.ligazakon.ua/l_doc2.nsf/link1/T041952.html" TargetMode="External"/><Relationship Id="rId12" Type="http://schemas.openxmlformats.org/officeDocument/2006/relationships/hyperlink" Target="http://search.ligazakon.ua/l_doc2.nsf/link1/T041952.html" TargetMode="External"/><Relationship Id="rId13" Type="http://schemas.openxmlformats.org/officeDocument/2006/relationships/hyperlink" Target="http://search.ligazakon.ua/l_doc2.nsf/link1/T041952.html" TargetMode="External"/><Relationship Id="rId14" Type="http://schemas.openxmlformats.org/officeDocument/2006/relationships/hyperlink" Target="http://search.ligazakon.ua/l_doc2.nsf/link1/T041952.html" TargetMode="External"/><Relationship Id="rId15" Type="http://schemas.openxmlformats.org/officeDocument/2006/relationships/hyperlink" Target="http://search.ligazakon.ua/l_doc2.nsf/link1/T041952.html" TargetMode="External"/><Relationship Id="rId16" Type="http://schemas.openxmlformats.org/officeDocument/2006/relationships/hyperlink" Target="http://zakon2.rada.gov.ua/laws/show/1382-15" TargetMode="External"/><Relationship Id="rId17" Type="http://schemas.openxmlformats.org/officeDocument/2006/relationships/hyperlink" Target="http://zakon5.rada.gov.ua/laws/show/207-2016-%D0%BF" TargetMode="External"/><Relationship Id="rId18" Type="http://schemas.openxmlformats.org/officeDocument/2006/relationships/hyperlink" Target="http://zakon2.rada.gov.ua/laws/show/1382-15" TargetMode="External"/><Relationship Id="rId19" Type="http://schemas.openxmlformats.org/officeDocument/2006/relationships/hyperlink" Target="http://zakon5.rada.gov.ua/laws/show/207-2016-%D0%BF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6</cp:revision>
  <dcterms:created xsi:type="dcterms:W3CDTF">2019-03-29T20:09:00Z</dcterms:created>
  <dcterms:modified xsi:type="dcterms:W3CDTF">2020-10-12T16:14:30Z</dcterms:modified>
</cp:coreProperties>
</file>