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</w:rPr>
      </w:r>
      <w:bookmarkStart w:id="0" w:name="_GoBack"/>
      <w:r>
        <w:rPr>
          <w:rFonts w:ascii="Times New Roman" w:hAnsi="Times New Roman" w:cs="Times New Roman" w:eastAsia="Times New Roman"/>
          <w:color w:val="000000" w:themeColor="text1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Додаток 1 до рішення 43 сесії Менської міської ради 7 скликання від 29.09.2020 №443 «Про затвердження інформаційних, технологічних карток та переліку адміністративних послуг, які надаються через відділ "Центр надання адміністративних послуг" Менської міськ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ої ради</w:t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tbl>
      <w:tblPr>
        <w:tblStyle w:val="52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450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t xml:space="preserve">Перелік адміністративних послуг органів виконавчої влади, які надаються через центр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u w:val="none"/>
              </w:rPr>
              <w:t xml:space="preserve">Правові підстави для надання адміністративної послуги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109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tabs>
                <w:tab w:val="left" w:pos="396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Внесення змін до записів Державного реєстру речових прав на нерухоме майно та їх обтяжень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8" w:history="1">
              <w:r>
                <w:rPr>
                  <w:rStyle w:val="654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Заборона вчинення реєстраційних дій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9" w:history="1">
              <w:r>
                <w:rPr>
                  <w:rStyle w:val="654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Державна реєстрація іншого (відмінного від права власності) речового права на нерухоме майно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0" w:history="1">
              <w:r>
                <w:rPr>
                  <w:rStyle w:val="654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Надання інформації з Державного реєстру речових прав на нерухоме майно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1" w:history="1">
              <w:r>
                <w:rPr>
                  <w:rStyle w:val="654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Взяття на облік безхазяйного нерухомого майна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2" w:history="1">
              <w:r>
                <w:rPr>
                  <w:rStyle w:val="654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Державна реєстрація обтяжень речових прав на нерухоме майно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3" w:history="1">
              <w:r>
                <w:rPr>
                  <w:rStyle w:val="654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Державна реєстрація права власності на нерухоме майно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4" w:history="1">
              <w:r>
                <w:rPr>
                  <w:rStyle w:val="654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(за рішенням суду)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5" w:history="1">
              <w:r>
                <w:rPr>
                  <w:rStyle w:val="654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Реєстрація/зняття з реєстрації місця проживання/перебування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свободу пересування та вільний вибір місця проживання в Україні»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адміністративні послуги»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порядок виїзду з України і в’їзду в Україну громадян України»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Реєстрація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/зняття з реєстрації місця проживання/перебування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6" w:history="1">
              <w:r>
                <w:rPr>
                  <w:rStyle w:val="654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«Про свободу пересування та вільний вибір місця проживання в Україні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» (абзац восьмий статті 3);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7" w:history="1">
              <w:r>
                <w:rPr>
                  <w:rStyle w:val="654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ьному устрої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8" w:history="1">
              <w:r>
                <w:rPr>
                  <w:rStyle w:val="654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«Про свободу пересування та вільний вибір місця проживання в Україні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» (абзац восьмий статті 3);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9" w:history="1">
              <w:r>
                <w:rPr>
                  <w:rStyle w:val="654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»;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Надання будівельного паспорта забудови земельної ділянки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 (стаття 31).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регулювання містобудівної діяльності» (стаття 27).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Надання містобудівних умов та обмежень забудови земельної ділянки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 (стаття 31).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регулювання містобудівної діяльності» (стаття 29).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ордера на видалення зелених насаджень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благоустрій населених пунктів» від 06.09.2005 р. № 2807-IV (статті 10, 28)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Надання дозволу на порушення об’єктів благоустрою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благоустрій населених пунктів» від 06.09.2005 р. (стаття 26-1).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Отримання погодження щодо можливості розміщення тимчасової споруди  для здійснення підприємницької діяльності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регулювання містобудівної діяльності» із змінами , ст.28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паспорту прив’язки тимчасової споруди для здійснення підприємницької діяльності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регулювання містобудівної діяльності» із змінами , ст.28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Прийняття рішення про переведення житлового будинку або житлового приміщення у нежитлові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Житловий кодекс Української РСР (статті 7, 8).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 (статті 319, 320, 383).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від 29.11.01 р. № 2866-III «Про об’єднання співвласників багатоквартирного будинку» (стаття 26).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(продовження дії) дозволу на розміщення зовнішньої реклами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рекламу» (стаття 16*).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Надання будівельного паспорта забудови земельної ділянки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 (стаття 31).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регулювання містобудівної діяльності» (стаття 27).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витягу з погосподарської книги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«Інструкція з ведення погосподарського обліку в сільських, селищних, міських радах», затверджена наказом Міністерства юстиції України від 11.04.2016 р. № 56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5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довідки на право фізичної особи на отримання доходу від податкового агента без утримання податку (3 ДФ)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Наказ Міністерства доходів і зборів України №32 від 17.01.2014 року.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3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довідки  про зареєстрованих у житловому приміщенні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довідки-характеристики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довідки про членство в особистому селянському господарстві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ст. 11 Закону України "Про особисте селянське господарство".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Наказ Державної служби статистики України від 08.12.10 № 491 "Про затвердження Інструкції з ведення погосподарського обліку в сільських, селищних та міських радах".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Від 24.11.15 №340 «Про затвердження типових форм первинної облікової документації для сільських, селищних та міських рад».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Посвідчення заповіту (крім секретного)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нотаріат» (ст. ст. 37, 56-57).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Порядок вчинення нотаріальних дій посадовими особами органів місцевого самоврядування, затверджений Наказом Міністерства юстиції України № 3306/5 від 11.11.2011, зареєстрованим в Міністерстві юстиції України 14.11.2011 р. за № 1298/20036 (пункт 1 розділу 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ІІ).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Декрет Кабінету Міністрів України "Про державне мито" № 7-93 від 21.01.1993 (підп. «є» пункту 3 ст.  3, ст. 4).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Скасування заповіту (крім секретного)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нотаріат» (ст. 37, ст. 57);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Порядок вчинення нотаріальних дій посадовими особами органів місцевого самоврядування, затверджений Наказом Міністерства юстиції України № 3306/5від 11.11.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2011 , зареєстрованим в Міністерстві юстиції України 14.11.2011 р. за № 1298/20036 (пункт 1.8-1.9 розділу ІІІ).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Декрет Кабінету Міністрів України "Про державне мито" від 21.01.1993 № 7-93 (підп. «р» пункту 3 ст. 3).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8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Засвідчення вірності копії (фотокопії) документа і виписки з нього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нотаріат» (ст. ст. 37, 47, 75-77); 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Порядок вчинення нотаріальних дій посадовими особами органів місцевого самоврядування, затверджений Наказом Міністерства юстиції України № 3306/5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 від 11.11.2011, зареєстрований в Міністерстві юстиції України 14.11.2011 р. за № 1298/20036 (пункт 3 розділу ІІІ);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Декрет Кабінету Міністрів України "Про державне мито" № 7-93 від 21.01.1993 (підп. «п» пункту 3 ст. 3, ст. 4).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Засвідчення справжності підпису на документі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нотаріат» (ст. 37, 78);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Порядок вчинення нотаріальних дій посадовими особами органів місцевого самоврядування, затверджений Наказом Міністерства юстиції України №3306/5 від 11.11.2011,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зареєстрованим в Міністерстві юстиції України 14.11.2011 р. за № 1298/20036 (пункт 4 розділу ІІІ);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Декрет Кабінету Міністрів України "Про державне мито" від 21.01.1993 № 7-93 (підп. «р» пункту 3 ст. 3)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0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Посвідчення довіреностей, прирівнюваних до нотаріально посвідчених (крім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засобами)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нотаріат» (пункт 4 частини другої ст. 40, ст. 58);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Порядок посвідчення заповітів і довіреностей, що прирівнюються до нотаріально посвідчених, затверджених Постановою Кабінету Міністрів Украї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ни від 15.06.1994 № 419 (у редакції постанови Кабінету Міністрів України від 6 липня 2006 р. № 940);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Декрет Кабінету Міністрів України від 21.01.1993 № 7-93 "Про державне мито" (підп. «й» пункту 3 ст. 3, ст. 4).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розроблення проєкту землеустрою щодо відведення земельної ділянки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122, 123 134 Земельного Кодексу України, стаття 22 Закону України «Про землеустрій», пункт 34 стаття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Затвердження проєкту землеустрою щодо відведення або зміни цільового призначення земельної ділянки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20, 123, 186` Земельного Кодексу України, статті 22, 50 Закону України «Про землеустрій»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розробку документації  із землеустрою громадянам України з метою безоплатної приватизації земельної ділянки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12, 116, 118, 119, 120, 121, 122, 123, 186` Земельного кодексу України, статті 22, 50, 55, 56 Закону України «Про землеустрій», пункт 34 стаття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Продаж земельних ділянок комунальної власності іноземним державам та іноземним юридичним особам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Стаття 129 Земельного кодексу України, статті 22, 50, 55, 56 Закон України «Про землеустрій», стаття 13 Закону України «Про оцінку земель»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виготовлення документації із землеустрою з метою надання земельної ділянки у постійне користування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Стаття 92, 122, 123, 186. Земельного кодексу України, статті 22, 50, 55, 56 Закон України «Про землеустрій»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виготовлення технічної документації із землеустрою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 метою передачі земельної ділянки в оренду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93, 122, 123, 124, 186 Земельний кодекс України, статті 22, 55, 56 Закону України «Про землеустрій», статті 32, 33 Закону України «Про оренду землі.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7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виготовлення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документації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із землеустрою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 метою передачі земельної ділянки (невитребуваної земельної частки( паю)) в оренду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93, 122, 123, 124, 186 Земельний кодекс України, статті 22, 55, 56 Закону України «Про землеустрій», ст. 13 Закону України «Про порядок виділення в натурі (на місцевості) земельних ділянок власникам земельних часток (паїв)» статті 32, 33 Закону Укра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їни «Про оренду землі.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8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 по передачі у приватну власність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Законом України «Про порядок виділення в натурі (на місцевості) земельних ділянок  власникам земельних часток (паїв)» та п. 34 ч. 1 ст. 26 Закону України «Про місцеве самоврядування в Україні», статті 12, 116, 118, 121, 126 Земельного кодексу України; ст.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25, 55 Закон України «Про землеустрій»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9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Затвердження документації із землеустрою з метою передачі невитребуваних земельних ділянок (паїв) в оренду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ст.13 Закону України «Про порядок виділення в натурі (на місцевості) земельних ділянок власникам земельних часток (паїв)», ст. 25, 55 Закон України «Про землеустрій» п. 34 ч. 1 ст. 26 Закону України «Про місцеве самоврядування в Україні» статті 32, 33 Зако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ну України «Про оренду землі»; Податковий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0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виготовлення документації із землеустрою з метою передачі земельної ділянки в постійне користування або у власність співвласникам багатоквартирного будинку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59, 92, 116, 122, 123, 186`, 42, 92 Земельного Кодексу України,. статті 22, 50, 55, 56 Закон України «Про землеустрій»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1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розроблення проєкту землеустрою щодо відведення земельної ділянки з метою її продажу громадянам, юридичним особам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Стаття 128 Земельного кодексу України, статті 22, 50, 55, 56 Закон України «Про землеустрій», стаття 13 Закон України «Про оцінку земель»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Поновлення договору оренди землі за ініціативою орендаря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Ст. 93, п.2 ст.134 Земельного кодексу України, статті ст.33 Закону України «Про оренду землі»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Внесення змін до договорів оренди землі за ініціативою орендаря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93 Земельний кодекс України, статті 30 Закону України «Про оренду землі»; Податковий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4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Припинення договору оренди землі за ініціативою орендаря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93 Земельний кодекс України, статті 31, 32, 321, 34 Закону України «Про оренду землі», Податковий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згоди на поділ та об’єднання земельних ділянок комунальної власності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12, 87, 91, 110, 116, 118, 120, 121, 122, 186 Земельний кодекс України, статті 19, 22, 56 Закону України «Про землеустрій»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6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України; Цивільний процесуальний кодекс України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7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 майна, яке потребує постійного управління, власником якого є підопічна недієздатна особа, за договором в управління іншій особі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8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9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оформлення документації щодо відведення земельної ділянки у власність дитини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охорону дитинства».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Закону України «Про основи соціального захисту бездомних осіб і безпритульних дітей».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Сімейний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0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висновку (рішення) виконавчого комітету про визначення місця проживання дитини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“Про органи і служби у справах дітей та спеціальні установи для дітей”.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Сімейний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1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вчинення правочину щодо нерухомого майна, право власності на яке або право користування на яке має дитина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охорону дитинства»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Сімейний Кодекс України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Постанова Кабінету Міністрів України від 24.09.2008р. №866»;Питання діяльності органу опіки та піклування, пов’язаної з захистом прав дитини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2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Прийняття рішення щодо соціального обслуговування громадянина  КУ «Територіальний центр соціального обслуговування (надання соціальних послуг)»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Закони України „Про соціальні послуги” від 17.01.2019 № 2671-VIII; „Про основні засади соціального захисту ветеранів праці та інших громадян похилого віку в Україні” від 16.12.1993 № 3721-XII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3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Видача свідоцтва про право власності на житло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Житловий кодекс Української РСР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«Про приватизацію державного житлового фонду», «Про забезпечення реалізації житлових прав мешканців гуртожитків», «Про внесення змін до деяких законодавчих актів України щодо забезпечення реалізації житлових прав мешканців гуртожитків»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4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Видача довідки про перебування на квартирному обліку за місцем вимоги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Житловий кодекс Української РСР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Правила обліку громадян, які потребують поліпшення житлових умов, і надання їм жилих приміщень в Українській РСР, затверджені постановою Ради Міністрів Української  РСР і Української республіканської ради професійних спілок від 11 грудня  1984 року № 470 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із змінами та доповненнями)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Взяття на квартирний облік громадян, які потребують поліпшення житлових умов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Житловий кодекс Української РСР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Правила обліку громадян, які потребують поліпшення житлових умов, і надання їм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Постанова Ради Міністрів Української РСР від 4 лютого 1988 р. №37 «Про службові жилі приміщення»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жилих приміщень в Українській РСР, затверджені постановою Ради Міністрів Української  РСР і Української республіканської ради професійних спілок від 11 грудня  1984 року № 470 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із змінами та доповненнями)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Видача ордера на службове жиле приміщення</w:t>
            </w:r>
            <w:r>
              <w:rPr>
                <w:b w:val="false"/>
                <w:i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Житловий кодекс Української РСР 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Постанова Ради Міністрів Української РСР від 4 лютого 1988 р. №37 «Про службові жилі приміщення»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дубліката свідоцтва про право власності на житло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Наказ Міністерства з питань житлово-комунального господарства України від 16.12.2009 №396 «Про затвердження Положення про порядок передачі квартир (будинків), жилих приміщень у гуртожитках у власність громадян»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3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3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3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3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3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3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3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4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4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4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4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4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4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4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4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4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4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5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5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5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5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5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5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96">
    <w:name w:val="Heading 1"/>
    <w:basedOn w:val="668"/>
    <w:next w:val="668"/>
    <w:link w:val="4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7">
    <w:name w:val="Heading 1 Char"/>
    <w:basedOn w:val="669"/>
    <w:link w:val="496"/>
    <w:uiPriority w:val="9"/>
    <w:rPr>
      <w:rFonts w:ascii="Arial" w:hAnsi="Arial" w:cs="Arial" w:eastAsia="Arial"/>
      <w:sz w:val="40"/>
      <w:szCs w:val="40"/>
    </w:rPr>
  </w:style>
  <w:style w:type="paragraph" w:styleId="498">
    <w:name w:val="Heading 2"/>
    <w:basedOn w:val="668"/>
    <w:next w:val="668"/>
    <w:link w:val="4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9">
    <w:name w:val="Heading 2 Char"/>
    <w:basedOn w:val="669"/>
    <w:link w:val="498"/>
    <w:uiPriority w:val="9"/>
    <w:rPr>
      <w:rFonts w:ascii="Arial" w:hAnsi="Arial" w:cs="Arial" w:eastAsia="Arial"/>
      <w:sz w:val="34"/>
    </w:rPr>
  </w:style>
  <w:style w:type="paragraph" w:styleId="500">
    <w:name w:val="Heading 3"/>
    <w:basedOn w:val="668"/>
    <w:next w:val="668"/>
    <w:link w:val="5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1">
    <w:name w:val="Heading 3 Char"/>
    <w:basedOn w:val="669"/>
    <w:link w:val="500"/>
    <w:uiPriority w:val="9"/>
    <w:rPr>
      <w:rFonts w:ascii="Arial" w:hAnsi="Arial" w:cs="Arial" w:eastAsia="Arial"/>
      <w:sz w:val="30"/>
      <w:szCs w:val="30"/>
    </w:rPr>
  </w:style>
  <w:style w:type="paragraph" w:styleId="502">
    <w:name w:val="Heading 4"/>
    <w:basedOn w:val="668"/>
    <w:next w:val="668"/>
    <w:link w:val="5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3">
    <w:name w:val="Heading 4 Char"/>
    <w:basedOn w:val="669"/>
    <w:link w:val="502"/>
    <w:uiPriority w:val="9"/>
    <w:rPr>
      <w:rFonts w:ascii="Arial" w:hAnsi="Arial" w:cs="Arial" w:eastAsia="Arial"/>
      <w:b/>
      <w:bCs/>
      <w:sz w:val="26"/>
      <w:szCs w:val="26"/>
    </w:rPr>
  </w:style>
  <w:style w:type="paragraph" w:styleId="504">
    <w:name w:val="Heading 5"/>
    <w:basedOn w:val="668"/>
    <w:next w:val="668"/>
    <w:link w:val="5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5">
    <w:name w:val="Heading 5 Char"/>
    <w:basedOn w:val="669"/>
    <w:link w:val="504"/>
    <w:uiPriority w:val="9"/>
    <w:rPr>
      <w:rFonts w:ascii="Arial" w:hAnsi="Arial" w:cs="Arial" w:eastAsia="Arial"/>
      <w:b/>
      <w:bCs/>
      <w:sz w:val="24"/>
      <w:szCs w:val="24"/>
    </w:rPr>
  </w:style>
  <w:style w:type="paragraph" w:styleId="506">
    <w:name w:val="Heading 6"/>
    <w:basedOn w:val="668"/>
    <w:next w:val="668"/>
    <w:link w:val="5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7">
    <w:name w:val="Heading 6 Char"/>
    <w:basedOn w:val="669"/>
    <w:link w:val="506"/>
    <w:uiPriority w:val="9"/>
    <w:rPr>
      <w:rFonts w:ascii="Arial" w:hAnsi="Arial" w:cs="Arial" w:eastAsia="Arial"/>
      <w:b/>
      <w:bCs/>
      <w:sz w:val="22"/>
      <w:szCs w:val="22"/>
    </w:rPr>
  </w:style>
  <w:style w:type="paragraph" w:styleId="508">
    <w:name w:val="Heading 7"/>
    <w:basedOn w:val="668"/>
    <w:next w:val="668"/>
    <w:link w:val="5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9">
    <w:name w:val="Heading 7 Char"/>
    <w:basedOn w:val="669"/>
    <w:link w:val="5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0">
    <w:name w:val="Heading 8"/>
    <w:basedOn w:val="668"/>
    <w:next w:val="668"/>
    <w:link w:val="5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1">
    <w:name w:val="Heading 8 Char"/>
    <w:basedOn w:val="669"/>
    <w:link w:val="510"/>
    <w:uiPriority w:val="9"/>
    <w:rPr>
      <w:rFonts w:ascii="Arial" w:hAnsi="Arial" w:cs="Arial" w:eastAsia="Arial"/>
      <w:i/>
      <w:iCs/>
      <w:sz w:val="22"/>
      <w:szCs w:val="22"/>
    </w:rPr>
  </w:style>
  <w:style w:type="paragraph" w:styleId="512">
    <w:name w:val="Heading 9"/>
    <w:basedOn w:val="668"/>
    <w:next w:val="668"/>
    <w:link w:val="5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3">
    <w:name w:val="Heading 9 Char"/>
    <w:basedOn w:val="669"/>
    <w:link w:val="512"/>
    <w:uiPriority w:val="9"/>
    <w:rPr>
      <w:rFonts w:ascii="Arial" w:hAnsi="Arial" w:cs="Arial" w:eastAsia="Arial"/>
      <w:i/>
      <w:iCs/>
      <w:sz w:val="21"/>
      <w:szCs w:val="21"/>
    </w:rPr>
  </w:style>
  <w:style w:type="paragraph" w:styleId="514">
    <w:name w:val="List Paragraph"/>
    <w:basedOn w:val="668"/>
    <w:qFormat/>
    <w:uiPriority w:val="34"/>
    <w:pPr>
      <w:contextualSpacing w:val="true"/>
      <w:ind w:left="720"/>
    </w:pPr>
  </w:style>
  <w:style w:type="paragraph" w:styleId="515">
    <w:name w:val="No Spacing"/>
    <w:qFormat/>
    <w:uiPriority w:val="1"/>
    <w:pPr>
      <w:spacing w:lineRule="auto" w:line="240" w:after="0" w:before="0"/>
    </w:pPr>
  </w:style>
  <w:style w:type="paragraph" w:styleId="516">
    <w:name w:val="Title"/>
    <w:basedOn w:val="668"/>
    <w:next w:val="668"/>
    <w:link w:val="5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7">
    <w:name w:val="Title Char"/>
    <w:basedOn w:val="669"/>
    <w:link w:val="516"/>
    <w:uiPriority w:val="10"/>
    <w:rPr>
      <w:sz w:val="48"/>
      <w:szCs w:val="48"/>
    </w:rPr>
  </w:style>
  <w:style w:type="paragraph" w:styleId="518">
    <w:name w:val="Subtitle"/>
    <w:basedOn w:val="668"/>
    <w:next w:val="668"/>
    <w:link w:val="519"/>
    <w:qFormat/>
    <w:uiPriority w:val="11"/>
    <w:rPr>
      <w:sz w:val="24"/>
      <w:szCs w:val="24"/>
    </w:rPr>
    <w:pPr>
      <w:spacing w:after="200" w:before="200"/>
    </w:pPr>
  </w:style>
  <w:style w:type="character" w:styleId="519">
    <w:name w:val="Subtitle Char"/>
    <w:basedOn w:val="669"/>
    <w:link w:val="518"/>
    <w:uiPriority w:val="11"/>
    <w:rPr>
      <w:sz w:val="24"/>
      <w:szCs w:val="24"/>
    </w:rPr>
  </w:style>
  <w:style w:type="paragraph" w:styleId="520">
    <w:name w:val="Quote"/>
    <w:basedOn w:val="668"/>
    <w:next w:val="668"/>
    <w:link w:val="521"/>
    <w:qFormat/>
    <w:uiPriority w:val="29"/>
    <w:rPr>
      <w:i/>
    </w:rPr>
    <w:pPr>
      <w:ind w:left="720" w:right="720"/>
    </w:pPr>
  </w:style>
  <w:style w:type="character" w:styleId="521">
    <w:name w:val="Quote Char"/>
    <w:link w:val="520"/>
    <w:uiPriority w:val="29"/>
    <w:rPr>
      <w:i/>
    </w:rPr>
  </w:style>
  <w:style w:type="paragraph" w:styleId="522">
    <w:name w:val="Intense Quote"/>
    <w:basedOn w:val="668"/>
    <w:next w:val="668"/>
    <w:link w:val="5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3">
    <w:name w:val="Intense Quote Char"/>
    <w:link w:val="522"/>
    <w:uiPriority w:val="30"/>
    <w:rPr>
      <w:i/>
    </w:rPr>
  </w:style>
  <w:style w:type="paragraph" w:styleId="524">
    <w:name w:val="Header"/>
    <w:basedOn w:val="668"/>
    <w:link w:val="5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5">
    <w:name w:val="Header Char"/>
    <w:basedOn w:val="669"/>
    <w:link w:val="524"/>
    <w:uiPriority w:val="99"/>
  </w:style>
  <w:style w:type="paragraph" w:styleId="526">
    <w:name w:val="Footer"/>
    <w:basedOn w:val="668"/>
    <w:link w:val="5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7">
    <w:name w:val="Footer Char"/>
    <w:basedOn w:val="669"/>
    <w:link w:val="526"/>
    <w:uiPriority w:val="99"/>
  </w:style>
  <w:style w:type="table" w:styleId="528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2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3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5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7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8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0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2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63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64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65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66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67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68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69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70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2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73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74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75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6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7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2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93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94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95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6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7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8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3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4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5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6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7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8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9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0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2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23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24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25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6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7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8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29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0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3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32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33">
    <w:name w:val="Lined - Accent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34">
    <w:name w:val="Lined - Accent 1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35">
    <w:name w:val="Lined - Accent 2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6">
    <w:name w:val="Lined - Accent 3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37">
    <w:name w:val="Lined - Accent 4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8">
    <w:name w:val="Lined - Accent 5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9">
    <w:name w:val="Lined - Accent 6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0">
    <w:name w:val="Bordered &amp; Lined - Accent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1">
    <w:name w:val="Bordered &amp; Lined - Accent 1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2">
    <w:name w:val="Bordered &amp; Lined - Accent 2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3">
    <w:name w:val="Bordered &amp; Lined - Accent 3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4">
    <w:name w:val="Bordered &amp; Lined - Accent 4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5">
    <w:name w:val="Bordered &amp; Lined - Accent 5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6">
    <w:name w:val="Bordered &amp; Lined - Accent 6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7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8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9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0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2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53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54">
    <w:name w:val="Hyperlink"/>
    <w:uiPriority w:val="99"/>
    <w:unhideWhenUsed/>
    <w:rPr>
      <w:color w:val="0000FF" w:themeColor="hyperlink"/>
      <w:u w:val="single"/>
    </w:rPr>
  </w:style>
  <w:style w:type="paragraph" w:styleId="655">
    <w:name w:val="footnote text"/>
    <w:basedOn w:val="668"/>
    <w:link w:val="656"/>
    <w:uiPriority w:val="99"/>
    <w:semiHidden/>
    <w:unhideWhenUsed/>
    <w:rPr>
      <w:sz w:val="18"/>
    </w:rPr>
    <w:pPr>
      <w:spacing w:lineRule="auto" w:line="240" w:after="40"/>
    </w:pPr>
  </w:style>
  <w:style w:type="character" w:styleId="656">
    <w:name w:val="Footnote Text Char"/>
    <w:link w:val="655"/>
    <w:uiPriority w:val="99"/>
    <w:rPr>
      <w:sz w:val="18"/>
    </w:rPr>
  </w:style>
  <w:style w:type="character" w:styleId="657">
    <w:name w:val="footnote reference"/>
    <w:basedOn w:val="669"/>
    <w:uiPriority w:val="99"/>
    <w:unhideWhenUsed/>
    <w:rPr>
      <w:vertAlign w:val="superscript"/>
    </w:rPr>
  </w:style>
  <w:style w:type="paragraph" w:styleId="658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659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660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661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662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663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664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665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666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667">
    <w:name w:val="TOC Heading"/>
    <w:uiPriority w:val="39"/>
    <w:unhideWhenUsed/>
  </w:style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://search.ligazakon.ua/l_doc2.nsf/link1/T041952.html" TargetMode="External"/><Relationship Id="rId9" Type="http://schemas.openxmlformats.org/officeDocument/2006/relationships/hyperlink" Target="http://search.ligazakon.ua/l_doc2.nsf/link1/T041952.html" TargetMode="External"/><Relationship Id="rId10" Type="http://schemas.openxmlformats.org/officeDocument/2006/relationships/hyperlink" Target="http://search.ligazakon.ua/l_doc2.nsf/link1/T041952.html" TargetMode="External"/><Relationship Id="rId11" Type="http://schemas.openxmlformats.org/officeDocument/2006/relationships/hyperlink" Target="http://search.ligazakon.ua/l_doc2.nsf/link1/T041952.html" TargetMode="External"/><Relationship Id="rId12" Type="http://schemas.openxmlformats.org/officeDocument/2006/relationships/hyperlink" Target="http://search.ligazakon.ua/l_doc2.nsf/link1/T041952.html" TargetMode="External"/><Relationship Id="rId13" Type="http://schemas.openxmlformats.org/officeDocument/2006/relationships/hyperlink" Target="http://search.ligazakon.ua/l_doc2.nsf/link1/T041952.html" TargetMode="External"/><Relationship Id="rId14" Type="http://schemas.openxmlformats.org/officeDocument/2006/relationships/hyperlink" Target="http://search.ligazakon.ua/l_doc2.nsf/link1/T041952.html" TargetMode="External"/><Relationship Id="rId15" Type="http://schemas.openxmlformats.org/officeDocument/2006/relationships/hyperlink" Target="http://search.ligazakon.ua/l_doc2.nsf/link1/T041952.html" TargetMode="External"/><Relationship Id="rId16" Type="http://schemas.openxmlformats.org/officeDocument/2006/relationships/hyperlink" Target="http://zakon2.rada.gov.ua/laws/show/1382-15" TargetMode="External"/><Relationship Id="rId17" Type="http://schemas.openxmlformats.org/officeDocument/2006/relationships/hyperlink" Target="http://zakon5.rada.gov.ua/laws/show/207-2016-%D0%BF" TargetMode="External"/><Relationship Id="rId18" Type="http://schemas.openxmlformats.org/officeDocument/2006/relationships/hyperlink" Target="http://zakon2.rada.gov.ua/laws/show/1382-15" TargetMode="External"/><Relationship Id="rId19" Type="http://schemas.openxmlformats.org/officeDocument/2006/relationships/hyperlink" Target="http://zakon5.rada.gov.ua/laws/show/207-2016-%D0%BF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4</cp:revision>
  <dcterms:created xsi:type="dcterms:W3CDTF">2019-03-29T20:09:00Z</dcterms:created>
  <dcterms:modified xsi:type="dcterms:W3CDTF">2020-09-29T15:28:14Z</dcterms:modified>
</cp:coreProperties>
</file>