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4385" cy="61858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4385" cy="618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0pt;height:48.7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Україна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/>
        </w:rPr>
        <w:t xml:space="preserve">МЕНСЬКА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/>
        </w:rPr>
        <w:t xml:space="preserve">МІСЬКА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/>
        </w:rPr>
        <w:t xml:space="preserve">РАДА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584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/>
        </w:rPr>
        <w:t xml:space="preserve">сорок друга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/>
        </w:rPr>
        <w:t xml:space="preserve">сесія сьомого скликання )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592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26 серпня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2020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ab/>
        <w:t xml:space="preserve">№ 370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5106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Про затвердження Антикорупційної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програми Менської міської ради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на 2020-2023 роки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 та Порядку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запобігання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та врегулювання конфлікту інтересів у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Менській міській раді та її виконавчих органах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З метою запобігання та мінімізації корупційних правопорушень у діяльності Менської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міської ради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 та створення дієвої системи протидії проявам корупції, відповідно до вимог Законів України «Про засади державної антикорупційної політики в Україні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 (Антикорупційна стратегія) на 2014-2017 роки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»,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«Про запобігання корупції», Державної програми щодо реалізації засад державної антикорупційної політики в Україні (Антикорупційної стратегії) на 2015-2017 роки, затвердженої Постановою Кабінету Міністрів України від 29 квітня 2015 року № 265, керуючись ст.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ст.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 25, 26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Менська міська рада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ВИРІШИЛ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А 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589"/>
        <w:numPr>
          <w:ilvl w:val="0"/>
          <w:numId w:val="1"/>
        </w:num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Затвердити </w:t>
      </w:r>
      <w:hyperlink r:id="rId9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6"/>
            <w:lang w:val="uk-UA"/>
          </w:rPr>
          <w:t xml:space="preserve">Антикорупційну програму </w:t>
        </w:r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6"/>
            <w:lang w:val="uk-UA"/>
          </w:rPr>
          <w:t xml:space="preserve">Менської</w:t>
        </w:r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6"/>
            <w:lang w:val="uk-UA"/>
          </w:rPr>
          <w:t xml:space="preserve"> міської ради на 20</w:t>
        </w:r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6"/>
            <w:lang w:val="uk-UA"/>
          </w:rPr>
          <w:t xml:space="preserve">20</w:t>
        </w:r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6"/>
            <w:lang w:val="uk-UA"/>
          </w:rPr>
          <w:t xml:space="preserve"> - 202</w:t>
        </w:r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6"/>
            <w:lang w:val="uk-UA"/>
          </w:rPr>
          <w:t xml:space="preserve">3</w:t>
        </w:r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6"/>
            <w:lang w:val="uk-UA"/>
          </w:rPr>
          <w:t xml:space="preserve"> роки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, згідно з додатком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до цього рішення.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589"/>
        <w:numPr>
          <w:ilvl w:val="0"/>
          <w:numId w:val="1"/>
        </w:num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Затвердити Порядок запобігання та врегулювання конфлікту інтересів  у Менській міській раді та її виконавчих органах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згідно з додатком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до цього рішення.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589"/>
        <w:numPr>
          <w:ilvl w:val="0"/>
          <w:numId w:val="1"/>
        </w:num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Оприлюднити дану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Програму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Порядок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на офіційному сайті Менської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міської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ради.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589"/>
        <w:numPr>
          <w:ilvl w:val="0"/>
          <w:numId w:val="1"/>
        </w:num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Контроль за виконанням даного рішення покласти на постійну комісію з питань етики, законності та правопорядку.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6"/>
          <w:lang w:val="uk-UA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6"/>
          <w:lang w:val="uk-UA"/>
        </w:rPr>
        <w:tab/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6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6"/>
          <w:lang w:val="uk-UA"/>
        </w:rPr>
        <w:t xml:space="preserve">         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6"/>
          <w:lang w:val="uk-UA"/>
        </w:rPr>
        <w:t xml:space="preserve">Г.А.Примаков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spacing w:lineRule="auto" w:line="240" w:after="0" w:afterAutospacing="0" w:before="0" w:beforeAutospacing="0"/>
        <w:shd w:val="nil" w:color="auto" w:fill="FFFFFF"/>
        <w:rPr>
          <w:rFonts w:ascii="Times New Roman" w:hAnsi="Times New Roman" w:cs="Times New Roman" w:eastAsia="Times New Roman"/>
          <w:color w:val="000000" w:themeColor="text1"/>
          <w:sz w:val="20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4"/>
          <w:lang w:val="uk-UA"/>
        </w:rPr>
        <w:br w:type="page"/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5669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0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4"/>
          <w:lang w:val="uk-UA"/>
        </w:rPr>
        <w:t xml:space="preserve">Додаток 1 до рішення 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4"/>
          <w:lang w:val="uk-UA"/>
        </w:rPr>
        <w:t xml:space="preserve">42 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4"/>
          <w:lang w:val="uk-UA"/>
        </w:rPr>
        <w:t xml:space="preserve">сесії 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4"/>
          <w:lang w:val="uk-UA"/>
        </w:rPr>
        <w:t xml:space="preserve">7 скликання Менської міської 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4"/>
          <w:lang w:val="uk-UA"/>
        </w:rPr>
        <w:t xml:space="preserve">ради 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4"/>
          <w:lang w:val="uk-UA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4"/>
          <w:lang w:val="uk-UA"/>
        </w:rPr>
        <w:t xml:space="preserve">Про затвердження Антикорупційної 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4"/>
          <w:lang w:val="uk-UA"/>
        </w:rPr>
        <w:t xml:space="preserve">програми Менської міської ради 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4"/>
          <w:lang w:val="uk-UA"/>
        </w:rPr>
        <w:t xml:space="preserve">на 2020-2023 роки та Порядку запобігання 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4"/>
          <w:lang w:val="uk-UA"/>
        </w:rPr>
        <w:t xml:space="preserve">та врегулювання конфлікту інтересів у 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4"/>
          <w:lang w:val="uk-UA"/>
        </w:rPr>
        <w:t xml:space="preserve">Менській міській раді та її виконавчих органах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4"/>
          <w:lang w:val="uk-UA"/>
        </w:rPr>
        <w:t xml:space="preserve">» 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4"/>
          <w:lang w:val="uk-UA"/>
        </w:rPr>
        <w:t xml:space="preserve">від 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4"/>
          <w:lang w:val="uk-UA"/>
        </w:rPr>
        <w:t xml:space="preserve">26.08.20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4"/>
          <w:lang w:val="uk-UA"/>
        </w:rPr>
        <w:t xml:space="preserve">20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4"/>
          <w:lang w:val="uk-UA"/>
        </w:rPr>
        <w:t xml:space="preserve"> року №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4"/>
          <w:lang w:val="uk-UA"/>
        </w:rPr>
        <w:t xml:space="preserve">370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6"/>
          <w:szCs w:val="26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uk-UA"/>
        </w:rPr>
        <w:t xml:space="preserve">Антикорупційна програма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uk-UA"/>
        </w:rPr>
        <w:t xml:space="preserve">міської ради на 2020 – 2023 роки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Антикорупційна програма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(далі – Антикорупційна програма) розроблен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а відповідно до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Законів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України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«Про місцеве самоврядування в Україні», «Про запобігання корупції»,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«Про засади державної антикорупційної політики в Україні (Ант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икорупційна стратегія) на 2014-2017 роки», Державної програми щодо реалізації засад державної антикорупційної політики в Україні (Антикорупційної стратегії) на 2015-2017 роки, затвердженої Постановою Кабінету Міністрів України від 29 квітня 2015 року № 265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Для складання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Антикорупційної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програми використано зміст Рішень Національного агентства з питань запобігання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корупції від 02 грудня 2016 року №126 «Про затвердження Методології оцінювання корупційних ризиків у діяльності органів влади» та від 19 січня 2017 року № 31 «Про затвердження Методичних рекомендацій щодо підготовки антикорупційних програм органів влади».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851"/>
        <w:jc w:val="both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Корупція — складне соціальне, політичне та економічне явище, яке повною мірою зачіпає життєді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яльність кожної країни. Вона сповільнює економічний розвиток і руйнує демократичні інститути через спотворення виборчих процесів, перекручування принципів верховенства закону і створення бюрократичних бар'єрів, єдиний сенс яких полягає у вимаганні хабарів.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851"/>
        <w:jc w:val="both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аслідками поширення корупції в Україні на національному та регіональному рівнях є підрив соціальної довіри, руйнація соціальної моралі та почуття справедливості в населення, посилення соціальної напруженості, зневіра в ефективності державної політики тощо.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851"/>
        <w:jc w:val="both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Корупція набула ознак системного явища, що поширює свій негативний вплив на всі сфери суспільного життя, все глибше укорінююч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ись у повсякденному житті як основний, швидкий та найбільш дієвий засіб вирішення питань, досягнення певних цілей. Така ситуація потребує невідкладного вжиття комплексу системних заходів, які мають відповідати специфіці цього явища у Менській міській раді.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Розділ І. Визначення загальних засад діяльності щодо запобігання та протидії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корупції у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Менській міській раді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589"/>
        <w:numPr>
          <w:ilvl w:val="1"/>
          <w:numId w:val="3"/>
        </w:numPr>
        <w:ind w:lef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Антикорупційну програму розроблено з метою запобігання вчиненню корупційних правопорушень та мінімізації їх наслідків у діяльності представницьких та виконавчих органів Менської міської ради.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589"/>
        <w:ind w:left="0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Реалізація заходів Антикорупційної програми сприятиме запобіганню вчиненню корупційних правопорушень щодо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жителів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та майна громади з боку інших владних органів та посадових осіб.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1.2. Для досягнення мети Антикорупційної програми пріоритетними для проведення заходів із запобігання корупційним правопорушенням на період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реалізації Антикорупційної програми визнаються такі сфери діяльності: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1.2.1. Наповнення бюджету громади;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1.2.2. Витрачання коштів бюджету громади;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1.2.3. Управління (володіння та розпорядження) майном громади, у тому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числі майновими та корпоративними правами;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1.2.4. Управління та контроль за підпорядкованими підприємствами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, установами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закладами громади;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1.2.5. Врегулювання конфлікту інтересів у сфері прийняття управлінських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рішень;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1.2.6. Декларування майнового стану службовцями, посадовими особами 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депутатами;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1.2.7. Інформування про діяльність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міської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ради та виконавчих органів,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доступ до публічної інформації.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1.3.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Таким чином, заходами з реалізації загальної відомчої політики стосовно запобігання та протидії корупції у сфері діяльності Менської міської ради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 є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1"/>
          <w:numId w:val="4"/>
        </w:numPr>
        <w:ind w:left="0" w:firstLine="0"/>
        <w:jc w:val="both"/>
        <w:spacing w:lineRule="auto" w:line="240" w:after="0" w:afterAutospacing="0" w:before="0" w:beforeAutospacing="0"/>
        <w:shd w:val="nil" w:color="auto" w:fill="FFFFFF"/>
        <w:widowControl w:val="off"/>
        <w:tabs>
          <w:tab w:val="left" w:pos="426" w:leader="none"/>
          <w:tab w:val="left" w:pos="1532" w:leader="none"/>
        </w:tabs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проведення серед посадових осіб Менської міської ради (далі – посадових осіб місцевого самоврядування) організаційної та роз’яснювальної роботи із запобігання, виявлення і протидії корупції;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1"/>
          <w:numId w:val="4"/>
        </w:numPr>
        <w:ind w:left="0" w:firstLine="0"/>
        <w:jc w:val="both"/>
        <w:spacing w:lineRule="auto" w:line="240" w:after="0" w:afterAutospacing="0" w:before="0" w:beforeAutospacing="0"/>
        <w:shd w:val="nil" w:color="auto" w:fill="FFFFFF"/>
        <w:widowControl w:val="off"/>
        <w:tabs>
          <w:tab w:val="left" w:pos="426" w:leader="none"/>
          <w:tab w:val="left" w:pos="1532" w:leader="none"/>
        </w:tabs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вжиття заходів щодо виявлення конфлікту інтересів та його усунення, здійснення контролю за дотриманням вимог законодавства щодо врегу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лювання конфлікту інтересів, а також виявлення сприятливих для вчинення корупційних правопорушень ризиків у діяльності посадових осіб місцевого самоврядування, на підприємствах, в установах і закладах, що належать до сфери управління Менської міської ради;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1"/>
          <w:numId w:val="4"/>
        </w:numPr>
        <w:ind w:left="0" w:firstLine="0"/>
        <w:jc w:val="both"/>
        <w:spacing w:lineRule="auto" w:line="240" w:after="0" w:afterAutospacing="0" w:before="0" w:beforeAutospacing="0"/>
        <w:shd w:val="nil" w:color="auto" w:fill="FFFFFF"/>
        <w:widowControl w:val="off"/>
        <w:tabs>
          <w:tab w:val="left" w:pos="426" w:leader="none"/>
          <w:tab w:val="left" w:pos="1532" w:leader="none"/>
        </w:tabs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здійснення контролю за дотриманням антикорупційного законодавства, у тому числі шляхом опрацювання відповідним спеціалістом Менської міської ради проектів нормативно-правових актів;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1"/>
          <w:numId w:val="4"/>
        </w:numPr>
        <w:ind w:left="0" w:firstLine="0"/>
        <w:jc w:val="both"/>
        <w:spacing w:lineRule="auto" w:line="240" w:after="0" w:afterAutospacing="0" w:before="0" w:beforeAutospacing="0"/>
        <w:shd w:val="nil" w:color="auto" w:fill="FFFFFF"/>
        <w:widowControl w:val="off"/>
        <w:tabs>
          <w:tab w:val="left" w:pos="426" w:leader="none"/>
          <w:tab w:val="left" w:pos="1532" w:leader="none"/>
        </w:tabs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здійснення контролю за дотриманням посадовими особами місцевого самоврядування під час виконання посадових обов’язків загально-етичних норм поведінки, ввічливості у стосунках з громадянами, керівниками, колегами та підлеглими;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1"/>
          <w:numId w:val="4"/>
        </w:numPr>
        <w:ind w:left="0" w:firstLine="0"/>
        <w:jc w:val="both"/>
        <w:spacing w:lineRule="auto" w:line="240" w:after="0" w:afterAutospacing="0" w:before="0" w:beforeAutospacing="0"/>
        <w:shd w:val="nil" w:color="auto" w:fill="FFFFFF"/>
        <w:widowControl w:val="off"/>
        <w:tabs>
          <w:tab w:val="left" w:pos="426" w:leader="none"/>
          <w:tab w:val="left" w:pos="1532" w:leader="none"/>
        </w:tabs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виявлення ризиків, які негативно впливають на виконання функцій і завдань у виконавчому апараті Менської міської ради, та здійснення оцінки щодо наявності корупційної складової;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1"/>
          <w:numId w:val="4"/>
        </w:numPr>
        <w:ind w:left="0" w:firstLine="0"/>
        <w:jc w:val="both"/>
        <w:spacing w:lineRule="auto" w:line="240" w:after="0" w:afterAutospacing="0" w:before="0" w:beforeAutospacing="0"/>
        <w:shd w:val="nil" w:color="auto" w:fill="FFFFFF"/>
        <w:widowControl w:val="off"/>
        <w:tabs>
          <w:tab w:val="left" w:pos="426" w:leader="none"/>
          <w:tab w:val="left" w:pos="1532" w:leader="none"/>
        </w:tabs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проведення службових розслідувань за дорученням к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ерівництва Менської міської ради та вжиття заходів для притягнення до відповідальності осіб, винних у вчиненні корупційних або пов’язаних з корупцією правопорушень, повідомлення про такі випадки спеціально уповноважених суб’єктів у сфері протидії корупції;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1"/>
          <w:numId w:val="4"/>
        </w:numPr>
        <w:ind w:left="0" w:firstLine="0"/>
        <w:jc w:val="both"/>
        <w:spacing w:lineRule="auto" w:line="240" w:after="0" w:afterAutospacing="0" w:before="0" w:beforeAutospacing="0"/>
        <w:shd w:val="nil" w:color="auto" w:fill="FFFFFF"/>
        <w:widowControl w:val="off"/>
        <w:tabs>
          <w:tab w:val="left" w:pos="426" w:leader="none"/>
          <w:tab w:val="left" w:pos="1532" w:leader="none"/>
        </w:tabs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інформування посадових осіб Менської міської ради про випадки вчинення корупційних правопорушень, а також на підприємствах, в установах та закладах, що належать до сфери її управління;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1"/>
          <w:numId w:val="4"/>
        </w:numPr>
        <w:ind w:left="0" w:firstLine="0"/>
        <w:jc w:val="both"/>
        <w:spacing w:lineRule="auto" w:line="240" w:after="0" w:afterAutospacing="0" w:before="0" w:beforeAutospacing="0"/>
        <w:shd w:val="nil" w:color="auto" w:fill="FFFFFF"/>
        <w:widowControl w:val="off"/>
        <w:tabs>
          <w:tab w:val="left" w:pos="426" w:leader="none"/>
          <w:tab w:val="left" w:pos="1532" w:leader="none"/>
        </w:tabs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забезпечення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конфіденційності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інформації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про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осіб,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 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які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добросовісно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повідомляють про можливі факти корупційних або пов’язаних з корупцією правопорушень, факти підбурення їх до вчинення корупційних правопорушень;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1"/>
          <w:numId w:val="4"/>
        </w:numPr>
        <w:ind w:left="0" w:firstLine="0"/>
        <w:jc w:val="both"/>
        <w:spacing w:lineRule="auto" w:line="240" w:after="0" w:afterAutospacing="0" w:before="0" w:beforeAutospacing="0"/>
        <w:shd w:val="nil" w:color="auto" w:fill="FFFFFF"/>
        <w:widowControl w:val="off"/>
        <w:tabs>
          <w:tab w:val="left" w:pos="426" w:leader="none"/>
          <w:tab w:val="left" w:pos="1532" w:leader="none"/>
        </w:tabs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забезпечення доступу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до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публічної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інформації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 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дотримання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принципів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прозорості та неупередженості при публічному висвітлюванні на офіційному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веб-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сайті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 суспільно важливої інформації щодо діяльності Менської міської ради;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1"/>
          <w:numId w:val="4"/>
        </w:numPr>
        <w:ind w:left="0" w:firstLine="0"/>
        <w:jc w:val="both"/>
        <w:spacing w:lineRule="auto" w:line="240" w:after="0" w:afterAutospacing="0" w:before="0" w:beforeAutospacing="0"/>
        <w:shd w:val="nil" w:color="auto" w:fill="FFFFFF"/>
        <w:widowControl w:val="off"/>
        <w:tabs>
          <w:tab w:val="left" w:pos="426" w:leader="none"/>
          <w:tab w:val="left" w:pos="1532" w:leader="none"/>
        </w:tabs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забезпечення доступу громадськості до обговорення проектів рішень Менської міської ради;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1"/>
          <w:numId w:val="4"/>
        </w:numPr>
        <w:ind w:left="0" w:firstLine="0"/>
        <w:jc w:val="both"/>
        <w:spacing w:lineRule="auto" w:line="240" w:after="0" w:afterAutospacing="0" w:before="0" w:beforeAutospacing="0"/>
        <w:shd w:val="nil" w:color="auto" w:fill="FFFFFF"/>
        <w:widowControl w:val="off"/>
        <w:tabs>
          <w:tab w:val="left" w:pos="426" w:leader="none"/>
          <w:tab w:val="left" w:pos="1533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забезпечення контролю своєчасного подання посадовими особами місцевого самоврядування електронних декларацій осіб, уповноважених на виконання функцій держави або місцевого самоврядування.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1.4. Корупційними (корупціогенними) ризиками вважаються організаційні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недоліки та недоліки нормативного регулювання діяльності, що створюють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підґрунтя для вчинення корупційного правопорушення чи правопорушення,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пов’язаного з корупцією, що негативно вплине на досягнення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міською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радою та її виконавчими органами визначених цілей, завдань та сприйняття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жителів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громади добросовісності виконання цими органами своїх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функцій.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1.5. На виконання цієї Програми для запобігання корупційним та пов’язаним з корупцією правопорушенням та підсилення заходів, передбачених п.1.3 цієї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Програми, запроваджуються й інші додаткові заходи.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1.6. Перелік заходів Антикорупційної програми із зазначенням відповідальних осіб визначається у Додатку 1 до Програми.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Розділ ІІ. Виявлення та оцінка корупційних ризиків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2.1. Заходи з виявлення та оцінки корупційних ризиків (надалі – оцінка) 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формулювання пропозицій з усунення виявлених корупційних ризиків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покладаються на Робочу групу з виявлення та оцінки корупційних ризиків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(надалі – Робоча група). Кількісний та персональний склад Робочої групи,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порядок її роботи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та прийняття рішень визначаються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міським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головою.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Засідання Робочої групи проводиться за необхідності, але не рідше одного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разу на квартал. Підсумки засідань Робочої групи фіксуються в протоколі.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До складу Робочої групи включаються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посадові особи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міської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ради та за бажанням депутати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міської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ради, їх помічники,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представники громадських об’єднань та громадських рад, активні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жителі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громади. Для вирішення складних питань до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Робочої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групи можуть залучатися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спеціалісти та експерти. На засідання Робочої групи можуть запрошуватися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посадові особи та службовці, діяльність яких пов’язана з об’єктом виявлення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та оцінки корупційних ризиків.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2.2. Об’єкти оцінки корупційних ризиків визначаються та конкретизуються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Робочою групою виходячи із функцій та завдань, які відповідають зазначеним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у п.1.2 Програми сферам діяльності органів влади, посадових осіб,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комунальних підприємств,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установ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та закладів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. Такими функціями, зокрема, є: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2.2.1. Управління органом влади;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2.2.2. Управління фінансами та публічні закупівлі;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2.2.3. Управління матеріальними ресурсами;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2.2.4. Управління персоналом;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2.2.5. Управління інформацією та зв’язки з громадськістю (громадою).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2.3. Оцінка корупційних ризиків проводиться згідно з планом діяльності Робочої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групи (надалі – План). План складається на календарний рік та затверджується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Робочою групою після обговорення з урахуванням пропозицій членів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Робочої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групи. Пріоритетними для оцінки є об’єкти, що на думку членів Робочої групи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мають більш високий ризик зловживань, стосуються найбільш важливих для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жителів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громади питань діяльності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міської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ради та її виконавчих органів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та з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приводу яких наявні чисельні звернення до органів міської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ради. За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необхідності до Плану можуть вноситися зміни та доповнення.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2.4. Планом діяльності Робочої групи на календарний рік визначаються: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-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конкретні об’єкти оцінки корупційних ризиків,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-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відповідальні особи за проведення оцінки,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-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строки проведення оцінки,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709" w:hanging="142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-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строки та заходи з моніторингу врахування пропозицій Робочої групи 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усунення виявлених корупційних ризиків.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Не допускається доручення безпосереднього проведення оцінки особам 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реальним конфліктом інтересів щодо об’єкта оцінки.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2.5. Для проведення кожної оцінки Робоча група формулює та затверджує перелік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питань, на які існує необхідність знайти відповіді для пошуку корупційних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ризиків.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Орієнтовний перелік питань, який може використовуватись для виявлення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корупційних ризиків наведено у Додатку 2 до Програми.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2.6. Під час оцінки детально аналізуються управлінські та організаційні процеси,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пов’язані з об’єктом оцінювання, з метою виявлення уразливості до корупції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та недоліків, що можуть негативно вплинути на досягнення цілей та завдань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органу влади.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Для визначення чинників та загроз корупційних ризиків можна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використовувати моделювання функцій та процесів досліджуваного об’єкту 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підставі аналізу нормативно-правових актів та організаційно-розпорядчих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документів, які регламентують відповідні функції та процеси.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2.7. Нормативно-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правові акти аналізуються на предмет виявлення норм щодо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здійснення дискреційних повноважень і норм, що сприяють вчиненню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корупційного правопорушення чи правопорушення, пов’язаного з корупцією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(нечітко сформульовані дефініції та мовні конструкції, правові колізії тощо).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Дискреційні повноваження - це сукупність прав та обов'язків органів влади 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посадових осіб, що надають їм можливість на власний розсуд визначити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повністю або частково вид і зміст управлінського рішення, яке приймається,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або можливість вибору на власний розсуд одного з декількох варіантів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управлінських рішень, передбачених нормативно-правовим актом, проектом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нормативно-правового акта.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2.8. Джерелами інформації для проведення оцінки можуть бути: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709" w:hanging="142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-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Нормативно-правові акти та організаційно-розпорядчі документи, внутрішні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709" w:hanging="142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та посадові інструкції;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709" w:hanging="142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-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Результати зовнішніх та внутрішніх перевірок, аудитів;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709" w:hanging="142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-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Документи органу влади, що містять публічну інформацію;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709" w:hanging="142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-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Результати службових розслідувань;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709" w:hanging="142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-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Матеріали інтерв’ювання (соціологічного опитування), анкетування,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709" w:hanging="142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опитування, зокрема, з використанням електронної пошти, мережі Інтернет;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709" w:hanging="142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-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Листи, звернення, скарги, які містять інформацію про об’єкт оцінки;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709" w:hanging="142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-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Інформація з відкритих джерел (засобів масової інформації, соціальних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709" w:hanging="142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мереж, відкритих єдиних державних реєстрів).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Керівники виконавчих органів сприяють відповідальним за проведення оцінки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членам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Робочої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групи в отриманні документів та інформації, необхідних для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оцінки корупційних ризиків.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2.9. Для проведення оцінки корупційних ризиків можуть бути використані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«Методологія оцінювання корупційних ризиків у діяльності органів влади»,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затверджена Рішенням НАЗК №126 від 02.12.2016р. та «Методологія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проведення антикорупційної експертизи», затверджена Наказом Мінюсту від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24.04.2017р. 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1395/5.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2.10. За підсумками оцінки складається письмовий висновок з викладенням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виявлених корупційних ризиків та пропозиціями щодо їх усунення. До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висновку додаються письмові матеріали на підставі яких було зроблений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пошук та оцінка корупційних ризиків. Письмовий висновок підписується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особами, що його підготували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та затверджується на засіданні Робочої групи.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Члени Робочої групи мають право додати до висновку власні доповнення 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зауваження. На засідання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Робочої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групи з розгляду висновку оцінки можуть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запрошуватися особи, сфера діяльності яких стосується об’єкту оцінки.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center"/>
        <w:spacing w:lineRule="auto" w:line="240" w:after="0" w:afterAutospacing="0" w:before="0" w:beforeAutospacing="0"/>
        <w:widowControl w:val="off"/>
        <w:tabs>
          <w:tab w:val="left" w:pos="1182" w:leader="none"/>
        </w:tabs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</w:rPr>
        <w:outlineLvl w:val="2"/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Розділ ІІІ. Заходи щодо усунення виявлених корупційних ризиків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 w:afterAutospacing="0" w:before="0" w:beforeAutospacing="0"/>
        <w:widowControl w:val="off"/>
        <w:tabs>
          <w:tab w:val="left" w:pos="1182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Заходи стосовно усуне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ння виявлених корупційних ризиків полягають у визначенні можливих механізмів протидії та запобігання корупційним ризикам, містять пропозиції щодо шляхів їх реалізації та спрямовані на ліквідацію або мінімізацію умов (причин) виникнення корупційних ризиків.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Детальний опис заходів стосовно усунення (мінімізації) корупційних ризиків, строки виконання заходів та відповідальні особи за їх виконання, ресурси та очікувані результати наведено в Додатку № 1 до рішення Менської міської ради.</w:t>
      </w:r>
      <w:bookmarkStart w:id="0" w:name="V._Навчання_та_заходи_з_поширення_інформ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0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Розділ IV. Навчання та заходи з поширення інформації щодо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антикорупційного законодавства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4.1. З метою запобігання та протидії корупційним проявам службовці, посадові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особи виконавчих органів та депутати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міської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ради, керівники комунальних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підприємств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установ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та закладів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інформуються про зміст вимог Закону України «Про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запобігання корупції» та антикорупційне законодавство. Пріоритетним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навчання та інформування у сфері антикорупційного законодавства визнається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у таких сферах: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709" w:hanging="142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-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Виявлення та врегулювання реального конфлікту інтересів;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709" w:hanging="142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-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Заповнення та своєчасне подання електронних декларацій про майновий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стан та повідомлень про суттєву зміну у майновому стані;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709" w:hanging="142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-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Обмеження щодо одержання подарунків та запобігання одержанню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неправомірної вигоди.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4.2. Міський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голова визначає відповідальну особу з питань надання роз’яснень 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допомоги службовцям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та посадовим особам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виконавчих органів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міської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ради у заповненні 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поданні декларацій (повідомлень) про майновий стан. У разі необхідності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відповідальна особа має право звернутися до Національного агентства 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питань 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апобігання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корупції для отримання роз’яснень вимог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антикорупційного законодавства.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4.3.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Міський голова затверджує порядок запобі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гання та врегулювання конфлікту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інтересів для службовців та посадових осіб виконавчих органів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міської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ради.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4.4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. Здійснення контролю за дотриманням вимог антикорупційного законодавства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з питань запобігання та врегулювання конфлікту інтересів в діяльності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міської ради, надання депутатам міської ради консультацій та роз’яснень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у заповненні 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поданні декларацій (повідомлень) про майновий стан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щодо запобігання та врегулювання конфлікту інтересів, поводження з майном,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що може бути неправомірною вигодою та подарунками, покладається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секретаря ради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У разі необхідності отримання роз’яснення антикорупційного законодавства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секретар ради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звертається до Національного агентства з питань запобігання корупції.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4.5. Перелік заходів Антикорупційної програми щодо навчання та інформування із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зазначенням відповідальних осіб визначається у Додатку 1 до Програми.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4.6. Консультації щодо антикорупційного законодавства та отримані роз’яснення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Національного агентства з питань запобігання корупції та правоохоронних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органів розміщуються на офіційному сайті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міської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ради.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Розділ V. Процедури щодо моніторингу, оцінювання виконання та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періодичного перегляду Антикорупційної програми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5.1. Робоча група здійснює періодичний моніторинг дій міської ради та її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виконавчих органів щодо врахування пропозицій Робочої групи з усунення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виявлених корупційних ризиків.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5.2. За підсумками кожного календарного року Робоча група складає річний звіт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про здійснені заходи з виявлення та оцінки корупційних ризиків, підсумки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розгляду органами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міської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ради звітів про виявлені корупційні ризики. 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річному звіті відображається стан виконання Робочою групою заходів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Антикорупційної програми та річного плану діяльності Робочої групи.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Робоча група направляє річний звіт до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міського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голови 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постійної депутатської комісії з питань етики, законності та правопорядку.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5.3. У разі невиконання Робочою групою заходів, передбачених Антикорупційною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програмою та власного річного плану,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міський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голова має право змінити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персональний склад Робочої групи.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5.4. У разі необхідності підсилити ефективність антикорупційних заходів Робоча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група звертається до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міського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голови з письмовою пропозицією щодо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внесення змін та доповнень до змісту Антикорупційної програми.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5.5. Міський голова узагальнює інформацію про виконання заходів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Антикорупційної програми та включає її до свого річного звіту.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5.6. Постійна депутатська коміс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я з питань етики, законності та правопорядку включає до свого річного звіту інформацію про здійснені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цією комісією заходи контролю виконання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Антикорупційної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програми 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наявну у неї інформацію стан виконання Антикорупційної програми.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Розділ VI. Інформування про заходи Антикорупційної програми. Інші заходи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спрямовані на запобігання корупційним та пов’язаним з корупцією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правопорушенням заходи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6.1. Документи діяльності Робочої групи розміщуються на офіційному сайті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міської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ради. Такими документами є: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-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Плани діяльності на рік;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-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Висновки щодо оцінки корупційних ризиків;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-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Річні звіти про діяльність Робочої групи.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6.2. На офіційному сайті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міської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ради розміщуються письмові відповіді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міського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голови щодо заходів із врахування висновків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Робочої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групи.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6.3. У разі важливості для громади питань, досліджених Робочою групою,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міський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голова може ініціювати проведення громадських обговорень 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консультацій змісту певного звіту Робочої групи з виявлення та оцінки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корупційних ризиків.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6.4. У випадках, визначених ст.62 Закону України «Про запобігання корупції», комунальні підприємства,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установи, заклади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міської ради розробляють власну Антикорупційну програму юридичних осіб,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6"/>
          <w:lang w:val="uk-UA"/>
        </w:rPr>
        <w:t xml:space="preserve">які в обов’язковому порядку затверджуються їх керівниками.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6"/>
          <w:szCs w:val="26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6"/>
          <w:szCs w:val="26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spacing w:lineRule="auto" w:line="240" w:after="0" w:afterAutospacing="0" w:before="0" w:beforeAutospacing="0"/>
        <w:shd w:val="nil" w:color="auto" w:fill="FFFFFF"/>
        <w:rPr>
          <w:rFonts w:ascii="Times New Roman" w:hAnsi="Times New Roman" w:cs="Times New Roman" w:eastAsia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val="uk-UA"/>
        </w:rPr>
        <w:br w:type="page"/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6094" w:right="0" w:firstLine="2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val="uk-UA"/>
        </w:rPr>
        <w:t xml:space="preserve">Додаток №1 </w:t>
      </w:r>
      <w:r>
        <w:rPr>
          <w:rFonts w:ascii="Times New Roman" w:hAnsi="Times New Roman" w:cs="Times New Roman" w:eastAsia="Times New Roman"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val="uk-UA"/>
        </w:rPr>
        <w:t xml:space="preserve">до Антикорупційної програми </w:t>
      </w:r>
      <w:r>
        <w:rPr>
          <w:rFonts w:ascii="Times New Roman" w:hAnsi="Times New Roman" w:cs="Times New Roman" w:eastAsia="Times New Roman"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val="uk-UA"/>
        </w:rPr>
        <w:t xml:space="preserve">на 2020 – 2023 роки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firstLine="5670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/>
        </w:rPr>
        <w:t xml:space="preserve">Заходи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/>
        </w:rPr>
        <w:t xml:space="preserve">з виконання Антикорупційної програми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/>
        </w:rPr>
        <w:t xml:space="preserve"> на 2020-2023 роки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Style w:val="590"/>
          <w:rFonts w:ascii="Times New Roman" w:hAnsi="Times New Roman" w:cs="Times New Roman" w:eastAsia="Times New Roman"/>
          <w:b w:val="false"/>
          <w:color w:val="000000" w:themeColor="text1"/>
          <w:sz w:val="28"/>
          <w:szCs w:val="24"/>
        </w:rPr>
      </w:pPr>
      <w:r>
        <w:rPr>
          <w:rStyle w:val="590"/>
          <w:rFonts w:ascii="Times New Roman" w:hAnsi="Times New Roman" w:cs="Times New Roman" w:eastAsia="Times New Roman"/>
          <w:b w:val="false"/>
          <w:color w:val="000000" w:themeColor="text1"/>
          <w:sz w:val="28"/>
          <w:szCs w:val="24"/>
          <w:lang w:val="uk-UA" w:bidi="uk-UA" w:eastAsia="uk-UA"/>
        </w:rPr>
        <w:t xml:space="preserve">Зазначений у таблиці термін «Робоча група» - це </w:t>
      </w:r>
      <w:r>
        <w:rPr>
          <w:rStyle w:val="590"/>
          <w:rFonts w:ascii="Times New Roman" w:hAnsi="Times New Roman" w:cs="Times New Roman" w:eastAsia="Times New Roman"/>
          <w:b w:val="false"/>
          <w:color w:val="000000" w:themeColor="text1"/>
          <w:sz w:val="28"/>
          <w:szCs w:val="24"/>
          <w:lang w:val="uk-UA" w:bidi="uk-UA" w:eastAsia="uk-UA"/>
        </w:rPr>
        <w:t xml:space="preserve">скорочена назва «Робоча </w:t>
      </w:r>
      <w:r>
        <w:rPr>
          <w:rStyle w:val="590"/>
          <w:rFonts w:ascii="Times New Roman" w:hAnsi="Times New Roman" w:cs="Times New Roman" w:eastAsia="Times New Roman"/>
          <w:b w:val="false"/>
          <w:color w:val="000000" w:themeColor="text1"/>
          <w:sz w:val="28"/>
          <w:szCs w:val="24"/>
          <w:lang w:val="uk-UA" w:bidi="uk-UA" w:eastAsia="uk-UA"/>
        </w:rPr>
        <w:t xml:space="preserve">група з </w:t>
      </w:r>
      <w:r>
        <w:rPr>
          <w:rStyle w:val="590"/>
          <w:rFonts w:ascii="Times New Roman" w:hAnsi="Times New Roman" w:cs="Times New Roman" w:eastAsia="Times New Roman"/>
          <w:b w:val="false"/>
          <w:color w:val="000000" w:themeColor="text1"/>
          <w:sz w:val="28"/>
          <w:szCs w:val="24"/>
          <w:lang w:val="uk-UA" w:bidi="uk-UA" w:eastAsia="uk-UA"/>
        </w:rPr>
        <w:t xml:space="preserve">виявлення та оцінки корупційних ризиків»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598"/>
        <w:numPr>
          <w:ilvl w:val="0"/>
          <w:numId w:val="6"/>
        </w:numPr>
        <w:ind w:left="851" w:right="-53" w:hanging="284"/>
        <w:jc w:val="center"/>
        <w:keepLines w:val="false"/>
        <w:keepNext w:val="false"/>
        <w:spacing w:lineRule="auto" w:line="240" w:after="0" w:afterAutospacing="0" w:before="0" w:beforeAutospacing="0"/>
        <w:widowControl w:val="off"/>
        <w:tabs>
          <w:tab w:val="left" w:pos="851" w:leader="none"/>
          <w:tab w:val="left" w:pos="3223" w:leader="none"/>
          <w:tab w:val="left" w:pos="5062" w:leader="none"/>
          <w:tab w:val="left" w:pos="6466" w:leader="none"/>
          <w:tab w:val="left" w:pos="7750" w:leader="none"/>
          <w:tab w:val="left" w:pos="8731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  <w:lang w:val="uk-UA"/>
        </w:rPr>
        <w:t xml:space="preserve">Забезпечення прозорості та відкритості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діяльності органів місцевого самоврядування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tbl>
      <w:tblPr>
        <w:tblStyle w:val="596"/>
        <w:tblW w:w="9747" w:type="dxa"/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3828"/>
        <w:gridCol w:w="1559"/>
        <w:gridCol w:w="1984"/>
      </w:tblGrid>
      <w:tr>
        <w:trPr>
          <w:trHeight w:val="693"/>
        </w:trPr>
        <w:tc>
          <w:tcPr>
            <w:tcW w:w="5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color w:val="000000" w:themeColor="text1"/>
              </w:rPr>
              <w:t xml:space="preserve">№ з/п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color w:val="000000" w:themeColor="text1"/>
              </w:rPr>
              <w:t xml:space="preserve">Завдання програми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color w:val="000000" w:themeColor="text1"/>
              </w:rPr>
              <w:t xml:space="preserve">Найменування заходу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color w:val="000000" w:themeColor="text1"/>
              </w:rPr>
              <w:t xml:space="preserve">Строк виконання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color w:val="000000" w:themeColor="text1"/>
              </w:rPr>
              <w:t xml:space="preserve">Відповідальні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  <w:tr>
        <w:trPr>
          <w:trHeight w:val="1238"/>
        </w:trPr>
        <w:tc>
          <w:tcPr>
            <w:tcW w:w="5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Забезпечення прозорості та відкритості діяльності органів влади ОТГ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597"/>
              <w:jc w:val="both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Забезпечення функціонування, ведення та своєчасного оновлення інформації сайту ради ОТГ, інформаційних стендів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Протягом року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Відділ організаційної роботи та інформаційного забезпечення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  <w:tr>
        <w:trPr>
          <w:trHeight w:val="1220"/>
        </w:trPr>
        <w:tc>
          <w:tcPr>
            <w:tcW w:w="5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842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597"/>
              <w:ind w:left="34"/>
              <w:jc w:val="both"/>
              <w:spacing w:lineRule="auto" w:line="240" w:after="0" w:afterAutospacing="0" w:before="0" w:beforeAutospacing="0"/>
              <w:tabs>
                <w:tab w:val="left" w:pos="3436" w:leader="none"/>
              </w:tabs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Забезпечення доступу громадськості до проектів, нормативно-правових актів шляхом їх розміщення на офіційному сайті ради ОТГ та інших ЗМІ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Протягом року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Відділ організаційної роботи та інформаційного забезпечення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  <w:tr>
        <w:trPr>
          <w:trHeight w:val="825"/>
        </w:trPr>
        <w:tc>
          <w:tcPr>
            <w:tcW w:w="5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842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597"/>
              <w:ind w:left="34"/>
              <w:jc w:val="both"/>
              <w:spacing w:lineRule="auto" w:line="240" w:after="0" w:afterAutospacing="0" w:before="0" w:beforeAutospacing="0"/>
              <w:tabs>
                <w:tab w:val="left" w:pos="1743" w:leader="none"/>
                <w:tab w:val="left" w:pos="3436" w:leader="none"/>
              </w:tabs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Впровадження використання системи публічних закупівель «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ProZorro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» з суми 50 000 грн.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597"/>
              <w:ind w:left="83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Протягом року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597"/>
              <w:ind w:left="33" w:hanging="1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Уповноважена особа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 з організації та проведення процедур публічних закупівель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  <w:tr>
        <w:trPr>
          <w:trHeight w:val="1186"/>
        </w:trPr>
        <w:tc>
          <w:tcPr>
            <w:tcW w:w="5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842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597"/>
              <w:ind w:left="34"/>
              <w:jc w:val="both"/>
              <w:spacing w:lineRule="auto" w:line="240" w:after="0" w:afterAutospacing="0" w:before="0" w:beforeAutospacing="0"/>
              <w:tabs>
                <w:tab w:val="left" w:pos="1637" w:leader="none"/>
                <w:tab w:val="left" w:pos="3436" w:leader="none"/>
              </w:tabs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Опублікування інформації про діяльність ради ОТГ на офіційній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веб-сторінці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 в мережі Інтернет, на інформаційних стендах, іншими способами, передбаченими законом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Протягом року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597"/>
              <w:ind w:left="33" w:hanging="1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Відділ організаційної роботи та інформаційного забезпечення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</w:tbl>
    <w:p>
      <w:pPr>
        <w:pStyle w:val="598"/>
        <w:numPr>
          <w:ilvl w:val="0"/>
          <w:numId w:val="6"/>
        </w:numPr>
        <w:ind w:left="851" w:right="-53" w:hanging="284"/>
        <w:jc w:val="center"/>
        <w:keepLines w:val="false"/>
        <w:keepNext w:val="false"/>
        <w:spacing w:lineRule="auto" w:line="240" w:after="0" w:afterAutospacing="0" w:before="0" w:beforeAutospacing="0"/>
        <w:widowControl w:val="off"/>
        <w:tabs>
          <w:tab w:val="left" w:pos="851" w:leader="none"/>
          <w:tab w:val="left" w:pos="3223" w:leader="none"/>
          <w:tab w:val="left" w:pos="5062" w:leader="none"/>
          <w:tab w:val="left" w:pos="6466" w:leader="none"/>
          <w:tab w:val="left" w:pos="7750" w:leader="none"/>
          <w:tab w:val="left" w:pos="8731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Запобігання корупції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tbl>
      <w:tblPr>
        <w:tblStyle w:val="596"/>
        <w:tblW w:w="9747" w:type="dxa"/>
        <w:tblLayout w:type="fixed"/>
        <w:tblLook w:val="01E0" w:firstRow="1" w:lastRow="1" w:firstColumn="1" w:lastColumn="1" w:noHBand="0" w:noVBand="0"/>
      </w:tblPr>
      <w:tblGrid>
        <w:gridCol w:w="534"/>
        <w:gridCol w:w="1558"/>
        <w:gridCol w:w="4252"/>
        <w:gridCol w:w="1419"/>
        <w:gridCol w:w="1984"/>
      </w:tblGrid>
      <w:tr>
        <w:trPr>
          <w:trHeight w:val="685"/>
        </w:trPr>
        <w:tc>
          <w:tcPr>
            <w:tcW w:w="5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558" w:type="dxa"/>
            <w:vMerge w:val="restart"/>
            <w:textDirection w:val="lrTb"/>
            <w:noWrap w:val="false"/>
          </w:tcPr>
          <w:p>
            <w:pPr>
              <w:pStyle w:val="597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Протидія корупції в діяльності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посадових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 осіб ради та депутатів ОТГ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597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Забезпечити якісний добір і розстановку кадрів на засадах конкурсного відбору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Протягом року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597"/>
              <w:ind w:left="34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Міський голова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  <w:tr>
        <w:trPr>
          <w:trHeight w:val="1528"/>
        </w:trPr>
        <w:tc>
          <w:tcPr>
            <w:tcW w:w="5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558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597"/>
              <w:ind w:left="34" w:right="94"/>
              <w:jc w:val="both"/>
              <w:spacing w:lineRule="auto" w:line="240" w:after="0" w:afterAutospacing="0" w:before="0" w:beforeAutospacing="0"/>
              <w:tabs>
                <w:tab w:val="left" w:pos="1633" w:leader="none"/>
              </w:tabs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Провести навчання щодо вимог ЗУ «Про запобігання корупції» в частині подання декларацій посадовими особами ради, керівниками комунальних підприємств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597"/>
              <w:ind w:left="-108" w:right="-107" w:firstLine="108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У разі необхідності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597"/>
              <w:ind w:left="-108" w:right="45" w:firstLine="163"/>
              <w:jc w:val="center"/>
              <w:spacing w:lineRule="auto" w:line="240" w:after="0" w:afterAutospacing="0" w:before="0" w:beforeAutospacing="0"/>
              <w:tabs>
                <w:tab w:val="left" w:pos="1768" w:leader="none"/>
              </w:tabs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Відповідальна особа з питань надання роз’яснень та допомоги у заповненні та поданні декларацій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  <w:tr>
        <w:trPr>
          <w:trHeight w:val="1276"/>
        </w:trPr>
        <w:tc>
          <w:tcPr>
            <w:tcW w:w="5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558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597"/>
              <w:ind w:left="34"/>
              <w:jc w:val="both"/>
              <w:spacing w:lineRule="auto" w:line="240" w:after="0" w:afterAutospacing="0" w:before="0" w:beforeAutospacing="0"/>
              <w:tabs>
                <w:tab w:val="left" w:pos="3045" w:leader="none"/>
              </w:tabs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Проводити навчання з посадовими особами щодо вимог антикорупційного законодавства та норм Загальних правил етичної поведінки посадових осіб місцевого самоврядування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Протягом року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Робоча група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, юридичний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відділ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  <w:tr>
        <w:trPr>
          <w:trHeight w:val="2126"/>
        </w:trPr>
        <w:tc>
          <w:tcPr>
            <w:tcW w:w="5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558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597"/>
              <w:ind w:left="34"/>
              <w:jc w:val="both"/>
              <w:spacing w:lineRule="auto" w:line="240" w:after="0" w:afterAutospacing="0" w:before="0" w:beforeAutospacing="0"/>
              <w:tabs>
                <w:tab w:val="left" w:pos="1633" w:leader="none"/>
                <w:tab w:val="left" w:pos="3045" w:leader="none"/>
              </w:tabs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Довести інформацію щодо необхідності виконання положень ЗУ «Про запобігання корупції» депутатам ради в частині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 подання  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декларацій шляхом: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  <w:p>
            <w:pPr>
              <w:pStyle w:val="597"/>
              <w:numPr>
                <w:ilvl w:val="0"/>
                <w:numId w:val="7"/>
              </w:numPr>
              <w:jc w:val="both"/>
              <w:spacing w:lineRule="auto" w:line="240" w:after="0" w:afterAutospacing="0" w:before="0" w:beforeAutospacing="0"/>
              <w:tabs>
                <w:tab w:val="left" w:pos="655" w:leader="none"/>
                <w:tab w:val="left" w:pos="3045" w:leader="none"/>
              </w:tabs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інформування на пленарному засіданні ради;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  <w:p>
            <w:pPr>
              <w:pStyle w:val="597"/>
              <w:ind w:left="34"/>
              <w:jc w:val="both"/>
              <w:spacing w:lineRule="auto" w:line="240" w:after="0" w:afterAutospacing="0" w:before="0" w:beforeAutospacing="0"/>
              <w:tabs>
                <w:tab w:val="left" w:pos="237" w:leader="none"/>
                <w:tab w:val="left" w:pos="3045" w:leader="none"/>
              </w:tabs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висвітлення інформації на офіційному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веб-сайті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, інформаційних стендах ради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Протягом IV кварталу поточного року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597"/>
              <w:ind w:left="210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Робоча група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,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 секретар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ради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  <w:tr>
        <w:trPr>
          <w:trHeight w:val="996"/>
        </w:trPr>
        <w:tc>
          <w:tcPr>
            <w:tcW w:w="5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558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597"/>
              <w:ind w:left="34"/>
              <w:jc w:val="both"/>
              <w:spacing w:lineRule="auto" w:line="240" w:after="0" w:afterAutospacing="0" w:before="0" w:beforeAutospacing="0"/>
              <w:tabs>
                <w:tab w:val="left" w:pos="1633" w:leader="none"/>
                <w:tab w:val="left" w:pos="2869" w:leader="none"/>
              </w:tabs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Забезпечити контроль за поданням декларацій осіб, уповноважених на виконання функцій місцевого самоврядування, за минулий рік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Протягом I кварталу щорічно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597"/>
              <w:ind w:left="210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Робоча група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  <w:tr>
        <w:trPr>
          <w:trHeight w:val="1362"/>
        </w:trPr>
        <w:tc>
          <w:tcPr>
            <w:tcW w:w="5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558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597"/>
              <w:ind w:left="34"/>
              <w:jc w:val="both"/>
              <w:spacing w:lineRule="auto" w:line="240" w:after="0" w:afterAutospacing="0" w:before="0" w:beforeAutospacing="0"/>
              <w:tabs>
                <w:tab w:val="left" w:pos="3045" w:leader="none"/>
              </w:tabs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Згідно ст.9 ЗУ «Про запобігання корупції» забезпечувати подання особами, які претендують на зайняття вакантних посад, інформації щодо працюючих в раді близьких осіб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Протягом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року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Сектор кадрової роботи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hd w:val="clear" w:color="auto" w:fill="FFFFFF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  <w:tr>
        <w:trPr>
          <w:trHeight w:val="1543"/>
        </w:trPr>
        <w:tc>
          <w:tcPr>
            <w:tcW w:w="5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558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597"/>
              <w:ind w:left="34"/>
              <w:jc w:val="both"/>
              <w:spacing w:lineRule="auto" w:line="240" w:after="0" w:afterAutospacing="0" w:before="0" w:beforeAutospacing="0"/>
              <w:tabs>
                <w:tab w:val="left" w:pos="944" w:leader="none"/>
                <w:tab w:val="left" w:pos="1336" w:leader="none"/>
                <w:tab w:val="left" w:pos="1744" w:leader="none"/>
                <w:tab w:val="left" w:pos="1998" w:leader="none"/>
                <w:tab w:val="left" w:pos="2322" w:leader="none"/>
                <w:tab w:val="left" w:pos="2423" w:leader="none"/>
                <w:tab w:val="left" w:pos="2727" w:leader="none"/>
              </w:tabs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Здійснювати попередження осіб, як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і претендують на зайняття посад у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раді, про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 спеціальні обмеження встановлені ЗУ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«Про службу в органах місцевого самоврядування»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та антикорупційним законодавств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ом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597"/>
              <w:ind w:left="-108" w:firstLine="108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У разі необхідності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Сектор кадрової роботи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hd w:val="clear" w:color="auto" w:fill="FFFFFF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  <w:tr>
        <w:trPr>
          <w:trHeight w:val="1961"/>
        </w:trPr>
        <w:tc>
          <w:tcPr>
            <w:tcW w:w="5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558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597"/>
              <w:jc w:val="both"/>
              <w:spacing w:lineRule="auto" w:line="240" w:after="0" w:afterAutospacing="0" w:before="0" w:beforeAutospacing="0"/>
              <w:tabs>
                <w:tab w:val="left" w:pos="2423" w:leader="none"/>
                <w:tab w:val="left" w:pos="2585" w:leader="none"/>
              </w:tabs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Проводити перевірку фактів подання щорічних декл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арацій суб’єктами декларування,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які припиняють діяльність та які претендують на зайняття відповідних посад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597"/>
              <w:ind w:left="81" w:right="71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Згідно п.4 Порядку перевірки фактів подання декларацій відповідно до ЗУ "Про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запобігання корупції" та повідомлення НАЗК про факти неподання чи несвоєчасного подання декларацій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color w:val="000000" w:themeColor="text1"/>
                <w:shd w:val="clear" w:color="auto" w:fill="FFFFFF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Сектор кадрової роботи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Робоча група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  <w:tr>
        <w:trPr>
          <w:trHeight w:val="1046"/>
        </w:trPr>
        <w:tc>
          <w:tcPr>
            <w:tcW w:w="5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558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597"/>
              <w:jc w:val="both"/>
              <w:spacing w:lineRule="auto" w:line="240" w:after="0" w:afterAutospacing="0" w:before="0" w:beforeAutospacing="0"/>
              <w:tabs>
                <w:tab w:val="left" w:pos="2025" w:leader="none"/>
              </w:tabs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Повідомляти працівників, які звільняються з посади, про необхідність подання декларацій за період, не охоплений раніше поданими деклараціями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597"/>
              <w:ind w:left="-108" w:firstLine="108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У разі необхідності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Сектор кадрової роботи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Робоча група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hd w:val="clear" w:color="auto" w:fill="FFFFFF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  <w:tr>
        <w:trPr>
          <w:trHeight w:val="1984"/>
        </w:trPr>
        <w:tc>
          <w:tcPr>
            <w:tcW w:w="5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558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597"/>
              <w:jc w:val="both"/>
              <w:spacing w:lineRule="auto" w:line="240" w:after="0" w:afterAutospacing="0" w:before="0" w:beforeAutospacing="0"/>
              <w:tabs>
                <w:tab w:val="left" w:pos="2125" w:leader="none"/>
              </w:tabs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Вживати за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ходів щодо виявлення конфліктів інтересів та сприяти їх усуненню, контролювати дотримання вимог законодавства щодо врегулювання конфлікту інтересів та забезпечувати невідкладне повідомлення керівника про наявність конфлікту інтересів у разі його виникнення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Протягом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року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597"/>
              <w:ind w:left="210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Робоча група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  <w:tr>
        <w:trPr>
          <w:trHeight w:val="1677"/>
        </w:trPr>
        <w:tc>
          <w:tcPr>
            <w:tcW w:w="5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558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597"/>
              <w:jc w:val="both"/>
              <w:spacing w:lineRule="auto" w:line="240" w:after="0" w:afterAutospacing="0" w:before="0" w:beforeAutospacing="0"/>
              <w:tabs>
                <w:tab w:val="left" w:pos="1904" w:leader="none"/>
              </w:tabs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Виявляти сприятливі для вчинення корупційних правопорушень ризики в діяльності посадових і службових осіб апарату ради та її виконавчих органів, вносити пропозиції керівнику щодо усунення таких ризиків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Протягом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року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597"/>
              <w:ind w:left="140" w:right="130" w:hanging="3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Секретар ради,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  <w:p>
            <w:pPr>
              <w:pStyle w:val="597"/>
              <w:ind w:left="140" w:right="130" w:hanging="3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Заступники міського голови з питань діяльності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 виконкому,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  <w:p>
            <w:pPr>
              <w:pStyle w:val="597"/>
              <w:ind w:left="140" w:right="130" w:hanging="3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Робоча група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  <w:tr>
        <w:trPr>
          <w:trHeight w:val="1254"/>
        </w:trPr>
        <w:tc>
          <w:tcPr>
            <w:tcW w:w="5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558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597"/>
              <w:jc w:val="both"/>
              <w:spacing w:lineRule="auto" w:line="240" w:after="0" w:afterAutospacing="0" w:before="0" w:beforeAutospacing="0"/>
              <w:tabs>
                <w:tab w:val="left" w:pos="532" w:leader="none"/>
                <w:tab w:val="left" w:pos="1439" w:leader="none"/>
              </w:tabs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В межах повноважень розглядати повідомлення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щодо причетності працівників ради та її комунальних закладів до вчинення корупційних правопорушень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597"/>
              <w:ind w:left="-108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У разі необхідності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597"/>
              <w:ind w:left="140" w:right="130" w:hanging="3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Міський голова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  <w:p>
            <w:pPr>
              <w:pStyle w:val="597"/>
              <w:ind w:left="140" w:right="130" w:hanging="3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Робоча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група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  <w:tr>
        <w:trPr>
          <w:trHeight w:val="1772"/>
        </w:trPr>
        <w:tc>
          <w:tcPr>
            <w:tcW w:w="5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558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597"/>
              <w:ind w:left="34"/>
              <w:jc w:val="both"/>
              <w:spacing w:lineRule="auto" w:line="240" w:after="0" w:afterAutospacing="0" w:before="0" w:beforeAutospacing="0"/>
              <w:tabs>
                <w:tab w:val="left" w:pos="1806" w:leader="none"/>
                <w:tab w:val="left" w:pos="3152" w:leader="none"/>
              </w:tabs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Проводити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службові перевірки фактів недодержання посадовими особами законодавства про службу в органах місцевого самоврядування,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про запобігання корупції, вчинення корупційних правопорушень з метою виявлення причин та умов, що сприяли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вчиненню правопорушень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419" w:type="dxa"/>
            <w:textDirection w:val="lrTb"/>
            <w:noWrap w:val="false"/>
          </w:tcPr>
          <w:p>
            <w:pPr>
              <w:ind w:left="-108" w:firstLine="108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  <w:lang w:val="uk-UA" w:bidi="uk-UA" w:eastAsia="uk-UA"/>
              </w:rPr>
              <w:t xml:space="preserve">У разі виявлення ознак корупційного правопорушення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597"/>
              <w:ind w:left="140" w:right="130" w:hanging="3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Робоча група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  <w:tr>
        <w:trPr>
          <w:trHeight w:val="1772"/>
        </w:trPr>
        <w:tc>
          <w:tcPr>
            <w:tcW w:w="5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558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597"/>
              <w:ind w:left="34"/>
              <w:jc w:val="both"/>
              <w:spacing w:lineRule="auto" w:line="240" w:after="0" w:afterAutospacing="0" w:before="0" w:beforeAutospacing="0"/>
              <w:tabs>
                <w:tab w:val="left" w:pos="1739" w:leader="none"/>
                <w:tab w:val="left" w:pos="2111" w:leader="none"/>
                <w:tab w:val="left" w:pos="2727" w:leader="none"/>
              </w:tabs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Здійснювати аналіз результатів службових перевірок з метою виявлення причин та умов вчинення корупційних правопорушень, ЗУ «Про місцеве самоврядування в Україні» та «Про службу в органах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місцевого самоврядування»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419" w:type="dxa"/>
            <w:textDirection w:val="lrTb"/>
            <w:noWrap w:val="false"/>
          </w:tcPr>
          <w:p>
            <w:pPr>
              <w:ind w:left="-108" w:firstLine="108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  <w:lang w:val="uk-UA" w:bidi="uk-UA" w:eastAsia="uk-UA"/>
              </w:rPr>
              <w:t xml:space="preserve">У разі виявлення ознак корупційного правопорушення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597"/>
              <w:ind w:right="163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Заступники міського голови з питань діяльності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виконкому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Робоча група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  <w:tr>
        <w:trPr>
          <w:trHeight w:val="1561"/>
        </w:trPr>
        <w:tc>
          <w:tcPr>
            <w:tcW w:w="5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558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597"/>
              <w:jc w:val="both"/>
              <w:spacing w:lineRule="auto" w:line="240" w:after="0" w:afterAutospacing="0" w:before="0" w:beforeAutospacing="0"/>
              <w:tabs>
                <w:tab w:val="left" w:pos="1168" w:leader="none"/>
                <w:tab w:val="left" w:pos="1352" w:leader="none"/>
                <w:tab w:val="left" w:pos="1667" w:leader="none"/>
                <w:tab w:val="left" w:pos="2322" w:leader="none"/>
                <w:tab w:val="left" w:pos="2727" w:leader="none"/>
              </w:tabs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Забезпечувати інформування правоохоронних органів у разі виявл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ення фактів, що можуть свідчити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про вчинення корупційних або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пов'язаних з корупцією правопорушень, посадовими особами ради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597"/>
              <w:ind w:left="-108" w:firstLine="108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У разі виявлення ознак корупційного правопорушення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Робоча група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  <w:tr>
        <w:trPr>
          <w:trHeight w:val="1310"/>
        </w:trPr>
        <w:tc>
          <w:tcPr>
            <w:tcW w:w="5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558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597"/>
              <w:jc w:val="both"/>
              <w:spacing w:lineRule="auto" w:line="240" w:after="0" w:afterAutospacing="0" w:before="0" w:beforeAutospacing="0"/>
              <w:tabs>
                <w:tab w:val="left" w:pos="1605" w:leader="none"/>
                <w:tab w:val="left" w:pos="1655" w:leader="none"/>
                <w:tab w:val="left" w:pos="2727" w:leader="none"/>
              </w:tabs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Здійснювати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моніторинг змін, що відбуваються у антикорупційному законода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встві, та, у разі необхідності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проводити навчання серед службових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та посадових осіб ради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597"/>
              <w:ind w:left="149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Протягом року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Юридичний відділ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Робоча група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  <w:tr>
        <w:trPr>
          <w:trHeight w:val="1413"/>
        </w:trPr>
        <w:tc>
          <w:tcPr>
            <w:tcW w:w="5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558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597"/>
              <w:jc w:val="both"/>
              <w:spacing w:lineRule="auto" w:line="240" w:after="0" w:afterAutospacing="0" w:before="0" w:beforeAutospacing="0"/>
              <w:tabs>
                <w:tab w:val="left" w:pos="2727" w:leader="none"/>
              </w:tabs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Забезпечення прозорості здійснення тендерних процедур та розміщення на офіційному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веб-сайті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 інформації, передбаченої нормативними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актами з питань здійснення державних закупівель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597"/>
              <w:ind w:left="33" w:right="143"/>
              <w:jc w:val="center"/>
              <w:spacing w:lineRule="auto" w:line="240" w:after="0" w:afterAutospacing="0" w:before="0" w:beforeAutospacing="0"/>
              <w:tabs>
                <w:tab w:val="left" w:pos="1202" w:leader="none"/>
              </w:tabs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Протягом року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Уповноважена особа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 з організації та проведення процедур публічних закупівель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  <w:tr>
        <w:trPr>
          <w:trHeight w:val="982"/>
        </w:trPr>
        <w:tc>
          <w:tcPr>
            <w:tcW w:w="5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558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597"/>
              <w:jc w:val="both"/>
              <w:spacing w:lineRule="auto" w:line="240" w:after="0" w:afterAutospacing="0" w:before="0" w:beforeAutospacing="0"/>
              <w:tabs>
                <w:tab w:val="left" w:pos="2111" w:leader="none"/>
                <w:tab w:val="left" w:pos="2727" w:leader="none"/>
              </w:tabs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Здійснювати аналіз виконання плану заходів щодо запобігання корупції серед посадових осіб місцевого самоврядування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за поточний рік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597"/>
              <w:ind w:left="149" w:right="143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До 30 грудня щорічно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597"/>
              <w:ind w:left="212" w:right="202" w:hanging="1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Робоча група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  <w:tr>
        <w:trPr>
          <w:trHeight w:val="709"/>
        </w:trPr>
        <w:tc>
          <w:tcPr>
            <w:tcW w:w="5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24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558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597"/>
              <w:jc w:val="both"/>
              <w:spacing w:lineRule="auto" w:line="240" w:after="0" w:afterAutospacing="0" w:before="0" w:beforeAutospacing="0"/>
              <w:tabs>
                <w:tab w:val="left" w:pos="2727" w:leader="none"/>
              </w:tabs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Здійснити інвентаризацію наданих пільг зі сплати податків і зборів та проаналізувати доцільність їх надання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597"/>
              <w:ind w:left="149" w:right="143" w:hanging="25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Протягом року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597"/>
              <w:ind w:left="212" w:right="202" w:hanging="1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Фінансове управління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  <w:tr>
        <w:trPr>
          <w:trHeight w:val="790"/>
        </w:trPr>
        <w:tc>
          <w:tcPr>
            <w:tcW w:w="5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558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597"/>
              <w:jc w:val="both"/>
              <w:spacing w:lineRule="auto" w:line="240" w:after="0" w:afterAutospacing="0" w:before="0" w:beforeAutospacing="0"/>
              <w:tabs>
                <w:tab w:val="left" w:pos="1489" w:leader="none"/>
                <w:tab w:val="left" w:pos="1540" w:leader="none"/>
                <w:tab w:val="left" w:pos="1976" w:leader="none"/>
                <w:tab w:val="left" w:pos="2185" w:leader="none"/>
                <w:tab w:val="left" w:pos="2727" w:leader="none"/>
              </w:tabs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Проводити роз’яснювальну роботу серед працівників ради з питань дотримання положень ЗУ «Про запобігання корупції»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597"/>
              <w:ind w:left="149" w:right="143" w:hanging="149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Протягом року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597"/>
              <w:ind w:left="212" w:right="202" w:hanging="1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Робоча група, юридичний відділ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  <w:tr>
        <w:trPr>
          <w:trHeight w:val="1478"/>
        </w:trPr>
        <w:tc>
          <w:tcPr>
            <w:tcW w:w="5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26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558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597"/>
              <w:jc w:val="both"/>
              <w:spacing w:lineRule="auto" w:line="240" w:after="0" w:afterAutospacing="0" w:before="0" w:beforeAutospacing="0"/>
              <w:tabs>
                <w:tab w:val="left" w:pos="2727" w:leader="none"/>
              </w:tabs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Забезпечити надання допомоги в заповненні посадовими особами ради, а також особами, які вперше претендують на зайняття посад в раді е-декларації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597"/>
              <w:ind w:left="149" w:right="143" w:hanging="149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Протягом року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597"/>
              <w:ind w:left="212" w:right="202" w:hanging="1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Відповідальна особа з питань надання роз’яснень та допомоги у заповненні та поданні декларацій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  <w:tr>
        <w:trPr>
          <w:trHeight w:val="1214"/>
        </w:trPr>
        <w:tc>
          <w:tcPr>
            <w:tcW w:w="5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27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558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597"/>
              <w:ind w:right="33"/>
              <w:jc w:val="both"/>
              <w:spacing w:lineRule="auto" w:line="240" w:after="0" w:afterAutospacing="0" w:before="0" w:beforeAutospacing="0"/>
              <w:tabs>
                <w:tab w:val="left" w:pos="2226" w:leader="none"/>
                <w:tab w:val="left" w:pos="2456" w:leader="none"/>
                <w:tab w:val="left" w:pos="2727" w:leader="none"/>
              </w:tabs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Попередити депутатів ради про зобов’язання подання е-декларації та розміщення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її на сайті ЄДР декларацій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осіб, уповноважених на виконання місцевого самоврядування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597"/>
              <w:ind w:left="149" w:right="143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Щороку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597"/>
              <w:ind w:left="212" w:right="202" w:hanging="1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Секретар ради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  <w:tr>
        <w:trPr>
          <w:trHeight w:val="1771"/>
        </w:trPr>
        <w:tc>
          <w:tcPr>
            <w:tcW w:w="5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28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558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597"/>
              <w:jc w:val="both"/>
              <w:spacing w:lineRule="auto" w:line="240" w:after="0" w:afterAutospacing="0" w:before="0" w:beforeAutospacing="0"/>
              <w:tabs>
                <w:tab w:val="left" w:pos="894" w:leader="none"/>
                <w:tab w:val="left" w:pos="1168" w:leader="none"/>
                <w:tab w:val="left" w:pos="1244" w:leader="none"/>
                <w:tab w:val="left" w:pos="1472" w:leader="none"/>
                <w:tab w:val="left" w:pos="1628" w:leader="none"/>
                <w:tab w:val="left" w:pos="2144" w:leader="none"/>
                <w:tab w:val="left" w:pos="2322" w:leader="none"/>
              </w:tabs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Повідомляти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ab/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міського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голову,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правоохоронні органи відповідно до їх ко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мпетенції про факти, що можуть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свідчити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про вчинення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корупційних правопорушень посадовими особами ради,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а 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також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ознак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правопорушень за результатами перевірки декларацій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597"/>
              <w:ind w:left="149" w:right="143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Протягом року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Робоча група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  <w:tr>
        <w:trPr>
          <w:trHeight w:val="597"/>
        </w:trPr>
        <w:tc>
          <w:tcPr>
            <w:tcW w:w="5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29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558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597"/>
              <w:ind w:left="34"/>
              <w:jc w:val="both"/>
              <w:spacing w:lineRule="auto" w:line="240" w:after="0" w:afterAutospacing="0" w:before="0" w:beforeAutospacing="0"/>
              <w:tabs>
                <w:tab w:val="left" w:pos="1921" w:leader="none"/>
              </w:tabs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Забезпечувати негайне реагування на повідомлення підлеглих про наявність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конфлікту інтересів шляхом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доручення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 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виконання відповідного завдання іншій посадовій особі особистого виконання завдання чи в інший спосіб, передбачений законодавством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597"/>
              <w:ind w:left="149" w:right="143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Протягом року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Міський голова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  <w:tr>
        <w:trPr>
          <w:trHeight w:val="1202"/>
        </w:trPr>
        <w:tc>
          <w:tcPr>
            <w:tcW w:w="5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558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597"/>
              <w:ind w:left="34"/>
              <w:jc w:val="both"/>
              <w:spacing w:lineRule="auto" w:line="240" w:after="0" w:afterAutospacing="0" w:before="0" w:beforeAutospacing="0"/>
              <w:tabs>
                <w:tab w:val="left" w:pos="1374" w:leader="none"/>
                <w:tab w:val="left" w:pos="1410" w:leader="none"/>
                <w:tab w:val="left" w:pos="1660" w:leader="none"/>
                <w:tab w:val="left" w:pos="1751" w:leader="none"/>
                <w:tab w:val="left" w:pos="2585" w:leader="none"/>
              </w:tabs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Ознайомлювати працівників ради з поширеними випадками конфлікту інтересів, а також застосування позитивних прикладів врегулювання конфліктних ситуацій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597"/>
              <w:ind w:left="149" w:right="143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Протягом року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597"/>
              <w:ind w:left="55" w:right="45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Робоча група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  <w:tr>
        <w:trPr>
          <w:trHeight w:val="1489"/>
        </w:trPr>
        <w:tc>
          <w:tcPr>
            <w:tcW w:w="5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31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558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597"/>
              <w:ind w:left="34"/>
              <w:jc w:val="both"/>
              <w:spacing w:lineRule="auto" w:line="240" w:after="0" w:afterAutospacing="0" w:before="0" w:beforeAutospacing="0"/>
              <w:tabs>
                <w:tab w:val="left" w:pos="2585" w:leader="none"/>
              </w:tabs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Проводити службові розслідування (перевірки) з метою виявлення причин та умов, що сприяли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вчиненню корупційних порушень,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або невиконання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вимог антикорупційного законодавства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597"/>
              <w:ind w:right="143" w:firstLine="33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Протягом року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Робоча група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  <w:tr>
        <w:trPr>
          <w:trHeight w:val="1974"/>
        </w:trPr>
        <w:tc>
          <w:tcPr>
            <w:tcW w:w="5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32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558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597"/>
              <w:ind w:left="34"/>
              <w:jc w:val="both"/>
              <w:spacing w:lineRule="auto" w:line="240" w:after="0" w:afterAutospacing="0" w:before="0" w:beforeAutospacing="0"/>
              <w:tabs>
                <w:tab w:val="left" w:pos="2585" w:leader="none"/>
              </w:tabs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Узагальнювати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інформацію правоохоронних та судових органів щодо службовців, притягнутих до відповідальності за скоєння корупційних правопорушень. Вести облік працівників, притягнутих до відповідальності за вчинення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корупційних правопорушень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597"/>
              <w:ind w:left="149" w:right="143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Протягом року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Робоча група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  <w:tr>
        <w:trPr>
          <w:trHeight w:val="1559"/>
        </w:trPr>
        <w:tc>
          <w:tcPr>
            <w:tcW w:w="5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33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558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597"/>
              <w:ind w:left="34"/>
              <w:jc w:val="both"/>
              <w:spacing w:lineRule="auto" w:line="240" w:after="0" w:afterAutospacing="0" w:before="0" w:beforeAutospacing="0"/>
              <w:tabs>
                <w:tab w:val="left" w:pos="1561" w:leader="none"/>
                <w:tab w:val="left" w:pos="1602" w:leader="none"/>
                <w:tab w:val="left" w:pos="2478" w:leader="none"/>
                <w:tab w:val="left" w:pos="2585" w:leader="none"/>
              </w:tabs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Аналізувати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 скарги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та звернен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ня громадян, в яких вбачається           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порушення посадовими особами ради чинного антикорупційного законодавства, інформувати голову ради з внесенням відповідних пропозицій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597"/>
              <w:ind w:left="149" w:hanging="25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Щоквар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тально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597"/>
              <w:ind w:left="212" w:right="202" w:hanging="1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Робоча група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  <w:tr>
        <w:trPr>
          <w:trHeight w:val="599"/>
        </w:trPr>
        <w:tc>
          <w:tcPr>
            <w:tcW w:w="5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558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597"/>
              <w:ind w:left="34"/>
              <w:jc w:val="both"/>
              <w:spacing w:lineRule="auto" w:line="240" w:after="0" w:afterAutospacing="0" w:before="0" w:beforeAutospacing="0"/>
              <w:tabs>
                <w:tab w:val="left" w:pos="1686" w:leader="none"/>
                <w:tab w:val="left" w:pos="2585" w:leader="none"/>
              </w:tabs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Забезпечення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виконання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вимог ЗУ «Про запобігання корупції», зокрема оновлення рішень ради ОТГ, виконавчого комітету ради, розпоряджень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міського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 голови з антикорупційних питань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597"/>
              <w:ind w:left="149" w:right="143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Постійно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597"/>
              <w:ind w:left="212" w:right="202" w:hanging="1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Міський голова,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Робоча група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  <w:tr>
        <w:trPr>
          <w:trHeight w:val="599"/>
        </w:trPr>
        <w:tc>
          <w:tcPr>
            <w:tcW w:w="5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lang w:val="uk-UA"/>
              </w:rPr>
              <w:t xml:space="preserve">35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558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  <w:lang w:val="uk-UA" w:bidi="uk-UA" w:eastAsia="uk-UA"/>
              </w:rPr>
              <w:t xml:space="preserve">Забезпечення формування негативного ставлення до корупції, викорінення випадків корупційних явищ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597"/>
              <w:jc w:val="both"/>
              <w:spacing w:lineRule="auto" w:line="240" w:after="0" w:afterAutospacing="0" w:before="0" w:beforeAutospacing="0"/>
              <w:tabs>
                <w:tab w:val="left" w:pos="1573" w:leader="none"/>
              </w:tabs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Проведення інформаційної роботи, спрямованої на формування у населення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н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есприйняття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 корупції як способу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розв’язання проблеми.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  <w:p>
            <w:pPr>
              <w:pStyle w:val="597"/>
              <w:jc w:val="both"/>
              <w:spacing w:lineRule="auto" w:line="240" w:after="0" w:afterAutospacing="0" w:before="0" w:beforeAutospacing="0"/>
              <w:tabs>
                <w:tab w:val="left" w:pos="602" w:leader="none"/>
                <w:tab w:val="left" w:pos="2329" w:leader="none"/>
              </w:tabs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1. Повідомлення про виявлені факти вчинення корупційних або пов’язаних з корупцією правопорушень, реальний, потенційний конфлікт інтересів спеціально уповноваженим суб’єктам у сфері протидії корупції, Національному агентству, голові ради ОТГ.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  <w:p>
            <w:pPr>
              <w:pStyle w:val="597"/>
              <w:jc w:val="both"/>
              <w:spacing w:lineRule="auto" w:line="240" w:after="0" w:afterAutospacing="0" w:before="0" w:beforeAutospacing="0"/>
              <w:tabs>
                <w:tab w:val="left" w:pos="441" w:leader="none"/>
                <w:tab w:val="left" w:pos="1463" w:leader="none"/>
                <w:tab w:val="left" w:pos="1532" w:leader="none"/>
                <w:tab w:val="left" w:pos="1592" w:leader="none"/>
                <w:tab w:val="left" w:pos="2585" w:leader="none"/>
              </w:tabs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2. Проводити, замовляти проведення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громадської антикорупційної експертизи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нормативно-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 правових актів та проектів нормативно-правових актів ради ОТГ, подавати за результатами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експертизи пропозиції.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  <w:p>
            <w:pPr>
              <w:pStyle w:val="597"/>
              <w:jc w:val="both"/>
              <w:spacing w:lineRule="auto" w:line="240" w:after="0" w:afterAutospacing="0" w:before="0" w:beforeAutospacing="0"/>
              <w:tabs>
                <w:tab w:val="left" w:pos="573" w:leader="none"/>
                <w:tab w:val="left" w:pos="1235" w:leader="none"/>
                <w:tab w:val="left" w:pos="1506" w:leader="none"/>
                <w:tab w:val="left" w:pos="1568" w:leader="none"/>
                <w:tab w:val="left" w:pos="1664" w:leader="none"/>
                <w:tab w:val="left" w:pos="2142" w:leader="none"/>
                <w:tab w:val="left" w:pos="2585" w:leader="none"/>
              </w:tabs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3. Вносити пропозиції щодо вдосконалення законодавчого регулювання відносин, що виникають у сфері запобігання корупції в діяльності ради ОТГ.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  <w:p>
            <w:pPr>
              <w:pStyle w:val="597"/>
              <w:jc w:val="both"/>
              <w:spacing w:lineRule="auto" w:line="240" w:after="0" w:afterAutospacing="0" w:before="0" w:beforeAutospacing="0"/>
              <w:tabs>
                <w:tab w:val="left" w:pos="828" w:leader="none"/>
                <w:tab w:val="left" w:pos="2585" w:leader="none"/>
              </w:tabs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4. Проведення із залученням громадських організацій конференцій, семінарів, засідань за круглим столом, прес-конференцій, зустрічей із представниками ради ОТГ та засобів масової інформації з метою формування негативного ставлення членів ОТГ до корупції.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  <w:p>
            <w:pPr>
              <w:pStyle w:val="597"/>
              <w:jc w:val="both"/>
              <w:spacing w:lineRule="auto" w:line="240" w:after="0" w:afterAutospacing="0" w:before="0" w:beforeAutospacing="0"/>
              <w:tabs>
                <w:tab w:val="left" w:pos="835" w:leader="none"/>
                <w:tab w:val="left" w:pos="2585" w:leader="none"/>
              </w:tabs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5. Проведення у навчальних закладах, розташованих на території ОТГ виховних годин, лекцій та тематичних занять з питань запобігання та протидії корупції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597"/>
              <w:ind w:left="149" w:right="143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Протягом року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597"/>
              <w:ind w:left="34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Робоча група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  <w:tr>
        <w:trPr>
          <w:trHeight w:val="4886"/>
        </w:trPr>
        <w:tc>
          <w:tcPr>
            <w:tcW w:w="5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36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558" w:type="dxa"/>
            <w:textDirection w:val="lrTb"/>
            <w:noWrap w:val="false"/>
          </w:tcPr>
          <w:p>
            <w:pPr>
              <w:pStyle w:val="597"/>
              <w:ind w:left="34" w:right="34" w:hanging="6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Забезпечення підвищення рівня знань осіб, уповноважених на виконання функцій місцевого самоврядування ОТГ, про Бюджетні процеси та прозорість бюджету; Державні закупівлі в ОТГ; Використання E-Data та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Prozorro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597"/>
              <w:jc w:val="both"/>
              <w:spacing w:lineRule="auto" w:line="240" w:after="0" w:afterAutospacing="0" w:before="0" w:beforeAutospacing="0"/>
              <w:tabs>
                <w:tab w:val="left" w:pos="1184" w:leader="none"/>
                <w:tab w:val="left" w:pos="1444" w:leader="none"/>
                <w:tab w:val="left" w:pos="1648" w:leader="none"/>
                <w:tab w:val="left" w:pos="1787" w:leader="none"/>
                <w:tab w:val="left" w:pos="1926" w:leader="none"/>
                <w:tab w:val="left" w:pos="2159" w:leader="none"/>
                <w:tab w:val="left" w:pos="2456" w:leader="none"/>
              </w:tabs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Забезпечення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проведення інформаційної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ab/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 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роботи, спрямованої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н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а підвищення рівня знань службових та посадових осіб ОТГ, про Бюджетні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процеси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та прозорість бюджету; Державні закупівлі в ОТГ; Використання E-Data та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Prozorro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  <w:p>
            <w:pPr>
              <w:pStyle w:val="597"/>
              <w:jc w:val="both"/>
              <w:spacing w:lineRule="auto" w:line="240" w:after="0" w:afterAutospacing="0" w:before="0" w:beforeAutospacing="0"/>
              <w:tabs>
                <w:tab w:val="left" w:pos="1909" w:leader="none"/>
                <w:tab w:val="left" w:pos="2457" w:leader="none"/>
              </w:tabs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Організація семінарів та інших форм навчання з питань запобігання і протидії корупції для різних категорій осіб у</w:t>
            </w:r>
            <w:bookmarkStart w:id="1" w:name="_GoBack"/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bookmarkEnd w:id="1"/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повноважених на виконання функцій місцевого самоврядування в раді ОТГ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597"/>
              <w:ind w:left="149" w:right="143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Протягом року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597"/>
              <w:ind w:left="34"/>
              <w:jc w:val="center"/>
              <w:spacing w:lineRule="auto" w:line="240" w:after="0" w:afterAutospacing="0" w:before="0" w:beforeAutospacing="0"/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Робоча група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,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Уповноважена 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особа</w:t>
            </w:r>
            <w:r>
              <w:rPr>
                <w:rStyle w:val="590"/>
                <w:rFonts w:ascii="Times New Roman" w:hAnsi="Times New Roman" w:cs="Times New Roman" w:eastAsia="Times New Roman"/>
                <w:b w:val="false"/>
                <w:color w:val="000000" w:themeColor="text1"/>
              </w:rPr>
              <w:t xml:space="preserve"> з організації та проведення процедур публічних закупівель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</w:tbl>
    <w:p>
      <w:pPr>
        <w:spacing w:lineRule="auto" w:line="240" w:after="0" w:afterAutospacing="0" w:before="0" w:beforeAutospacing="0"/>
        <w:rPr>
          <w:rStyle w:val="590"/>
          <w:rFonts w:ascii="Times New Roman" w:hAnsi="Times New Roman" w:cs="Times New Roman" w:eastAsia="Times New Roman"/>
          <w:b w:val="false"/>
          <w:color w:val="000000" w:themeColor="text1"/>
        </w:rPr>
        <w:sectPr>
          <w:footnotePr/>
          <w:type w:val="nextPage"/>
          <w:pgSz w:w="11910" w:h="16840" w:orient="portrait"/>
          <w:pgMar w:top="1134" w:right="567" w:bottom="1134" w:left="1701" w:header="720" w:footer="720" w:gutter="43743928"/>
          <w:cols w:num="1" w:sep="0" w:space="720" w:equalWidth="1"/>
          <w:docGrid w:linePitch="360"/>
        </w:sectPr>
      </w:pPr>
      <w:r>
        <w:rPr>
          <w:rFonts w:ascii="Times New Roman" w:hAnsi="Times New Roman" w:cs="Times New Roman" w:eastAsia="Times New Roman"/>
          <w:b w:val="false"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6096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val="uk-UA"/>
        </w:rPr>
        <w:t xml:space="preserve">Додаток №2 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val="uk-UA"/>
        </w:rPr>
        <w:t xml:space="preserve">до Антикорупційної програми 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val="uk-UA"/>
        </w:rPr>
        <w:t xml:space="preserve">на 2020 – 2023 роки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6"/>
          <w:szCs w:val="26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Орієнтовний перелік питань,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який може використовуватися для ідентифікації корупційних ризиків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Орієнтовний перелік питань наведено за визначеними Антикорупційною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програмою пріоритетними для проведення заходів із запобігання корупційним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правопорушенням сферами.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Для кожного об’єкту оцінки питання для ідентифікації корупційних ризиків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визначається Робочою групою спеціально.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І. Наповнення бюджету громади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1. Який структурний підрозділ виконує функції з наповнення доходної частини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бюджету;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2. Які нормативні акти регулюють наповнення доходної частини бюджету. Яка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процедура прийняття таких рішень;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3. Якими є важелі впливу щодо підвищення надходжень до бюджету. Як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вимірюється ефективність діяльності з наповнення бюджету. Якими є внутрішні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та зовнішні обмеження для впливу на надходження до бюджету. Які зовнішні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суб’єкти суттєво впливають на надходження бюджету;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4. Які функції відповідального за наповнення бюджету органу влади є найбільш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вразливими до вчинення корупційних правопорушень чи правопорушень,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пов’язаних з корупцією.;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5. Чи вжито усіх можливих заходів для збільшення надходжень до бюджету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громади.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ІІ. Витрачання коштів бюджету громади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1. Які структурні підрозділи виконують функції з витрачання коштів бюджету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громади;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2. Які нормативні акти регулюють витрачання коштів бюджету. Яка процедура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прийняття рішень з витрачання бюджетних коштів;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3. Якими є важелі впливу щодо підвищення ефективності витрат з бюджету. Як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вимірюється ефективність діяльності з витрачання бюджету. Якими є внутрішні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та зовнішні обмеження для впливу на витрачання бюджетних коштів. Які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зовнішні суб’єкти суттєво впливають на надходження бюджету;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4. Які функції відповідальних за витрачання бюджету підрозділів є найбільш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вразливими до вчинення корупційних правопорушень чи правопорушень,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пов’язаних з корупцією;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5. Чи вжито усіх можливих заходів для збільшення ефективності витрат з бюджету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громади.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ІІІ. Управління (володіння та розпорядження) майном громади, у тому числі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майновими та корпоративними правами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1. Якими документами визначений обсяг майна громади.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2. Які структурні підрозділи виконують функції з управління (володіння,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розпорядження) майном громади;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3. Які нормативні акти регулюють діяльність з управління (володіння,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розпорядження) майном громади;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4. Якими є важелі впливу щодо підвищення ефективності діяльності з управління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(володіння, розпорядження) майном громади. Як вимірюється ефективність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діяльності з управління (володіння, розпорядження) майном громади. Якими є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внутрішні та зовнішні обмеження для впливу на ефективність управління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майном громади. Які зовнішні суб’єкти суттєво впливають на діяльність 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управління (володіння, розпорядження) майном громади;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5. Які функції відповідальних за управління майном громади підрозділів є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найбільш вразливими до вчинення корупційних правопорушень чи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правопорушень, пов’язаних з корупцією;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6. Чи вжито усіх можливих заходів для збільшення ефективності управлінням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майном громади.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ІV. Управління та контроль за підпорядкованими підприємствами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, установами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 та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закладами громади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1. Якими документами визначений перелік підпорядкованих підприємств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, установ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закладів громади та їх підпорядкування.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2. Які структурні підрозділи виконують функції з управління та контролю за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підпорядкованими підприємствами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, установами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та закладами громади;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3. Які нормативні акти регулюють діяльність по управлінню та контролю за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підпорядкованими підприємствами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,установами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та закладами громади;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4. Якими є важелі впливу щодо підвищення ефективності підпорядкованих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підприємств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, установ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та закладів. Як вимірюється ефективність діяльності з управління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за підпорядкованими підприємствами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, установами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та закладами громади. Якими є внутрішні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та зовнішні обмеження для впливу на ефективність підпорядкованих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підприємств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, установ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та закладів громади. Які зовнішні суб’єкти суттєво впливають 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діяльність з управління та контролю за підпорядкованими підприємствами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, установами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закладами громади;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5. Які функції відповідальних за управління підпорядкованими підприємствами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, установами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закладами громади підрозділів є найбільш вразливими до вчинення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корупційних правопорушень чи правопорушень, пов’язаних з корупцією;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6. Чи вжито усіх можливих заходів для збільшення ефективності управління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підпорядкованими підприємствами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,установами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та закладами громади.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V. Врегулювання конфлікту інтересів у сфері прийняття управлінських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рішень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1. Якими документами визначений порядок запобігання та врегулювання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конфлікту інтересів;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2. Які зовнішні та внутрішні фактори мають переважний вплив на діяльність із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запобігання та врегулювання конфлікту інтересів;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3. Як вимірюється ефективність діяльності уповноважених осіб із запобігання 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врегулювання конфлікту інтересів;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4. Чи вжито усіх можливих заходів щодо унеможливлення прийняттю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управлінських рішень у стані невирішеного реального конфлікту інтересів;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5. Чи фіксувалися правоохоронними органами випадки порушення законодавства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із запобігання та врегулювання конфлікту інтересів.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VI. Декларування майнового стану службовцями, посадовими особами та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депутатами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1. Якими документами визначений порядок декларування майнового стану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службовцями, посадовими особами та депутатами 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2. Які зовнішні та внутрішні фактори мають переважний вплив на своєчасне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декларування майнового стану службовцями, посадовими особами 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депутатами;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3. Як вимірюється ефективність діяльності уповноважених осіб громади із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запобігання порушенню вимог законодавства щодо декларування майнового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стану службовцями, посадовими особами та депутатами;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4. Чи вжито усіх можливих заходів для унеможливлення порушень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законодавства щодо декларування майнового стану службовцями, посадовими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особами та депутатами;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5. Чи фіксувалися правоохоронними органами випадки порушення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законодавства щодо декларування майнового стану службовцями, посадовими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особами та депутатами.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VII. Інформування про діяльність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міської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 ради та виконавчих органів,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доступ до публічної інформації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1. Чи веде орган влади політику щодо поширення інформації про його діяльність.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2. Чи є у загальному доступі інформація про організаційну структуру органу влади,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його керівний склад, контактних осіб.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3. Чи є у загальному доступі інформація про організаційно-розпорядчі акти, якими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у своїй діяльності керується орган влади.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4. Чи виносяться на загальне обговорення проекти нормативно-правових 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організаційно-розпорядчих актів, які регулюють діяльність органу влади. Чи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визначено порядок консультацій з громадськістю, порядок ініціювання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прийняття рішень за ініціативою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жителів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громади.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5. Чи розглядає орган влади запити про надання інформації. Чи визначено перелік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конфіденційної інформації.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6. Скільки запитів було розглянуто у минулому році, з них у наданні відповідної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інформації відмовлено.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7. Які мотиви відмови у наданні тої чи іншої інформації.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8. Як приймається рішення щодо надання чи відмови у наданні публічної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інформації.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shd w:val="nil" w:color="auto" w:fill="FFFFFF"/>
        <w:rPr>
          <w:rFonts w:ascii="Times New Roman" w:hAnsi="Times New Roman" w:cs="Times New Roman" w:eastAsia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6"/>
          <w:szCs w:val="26"/>
          <w:lang w:val="uk-UA"/>
        </w:rPr>
        <w:br w:type="page"/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5669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0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4"/>
          <w:lang w:val="uk-UA"/>
        </w:rPr>
        <w:t xml:space="preserve">Додаток 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4"/>
          <w:lang w:val="uk-UA"/>
        </w:rPr>
        <w:t xml:space="preserve">2 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4"/>
          <w:lang w:val="uk-UA"/>
        </w:rPr>
        <w:t xml:space="preserve">42 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4"/>
          <w:lang w:val="uk-UA"/>
        </w:rPr>
        <w:t xml:space="preserve">сесії 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4"/>
          <w:lang w:val="uk-UA"/>
        </w:rPr>
        <w:t xml:space="preserve">7 скликання Менської міської ради 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4"/>
          <w:lang w:val="uk-UA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4"/>
          <w:lang w:val="uk-UA"/>
        </w:rPr>
        <w:t xml:space="preserve">Про затвердження Антикорупційної 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4"/>
          <w:lang w:val="uk-UA"/>
        </w:rPr>
        <w:t xml:space="preserve">програми Менської міської ради 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4"/>
          <w:lang w:val="uk-UA"/>
        </w:rPr>
        <w:t xml:space="preserve">на 2020-2023 роки та Порядку запобігання 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4"/>
          <w:lang w:val="uk-UA"/>
        </w:rPr>
        <w:t xml:space="preserve">та врегулювання конфлікту інтересів у 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4"/>
          <w:lang w:val="uk-UA"/>
        </w:rPr>
        <w:t xml:space="preserve">Менській міській раді та її виконавчих органах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4"/>
          <w:lang w:val="uk-UA"/>
        </w:rPr>
        <w:t xml:space="preserve">» 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4"/>
          <w:lang w:val="uk-UA"/>
        </w:rPr>
        <w:t xml:space="preserve">від __________2020 року № ______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right="-259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32"/>
          <w:szCs w:val="32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right="-259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Порядок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запобігання та врегулювання конфлікту інтересів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у Менській міській раді та її виконавчих органах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right="-259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</w:r>
    </w:p>
    <w:p>
      <w:pPr>
        <w:ind w:right="-259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І. Загальні положення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1.1. Цей Порядок розроблений на підставі відповідних положень законів України «Про запобігання корупції», «Про місцеве самоврядування в Україні», «Про сл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ужбу в органах місцевого самоврядування», рішення Національного агентства з питань запобігання корупції № 839 від 20.09.2017 року «Про затвердження Методичних рекомендацій щодо запобігання та врегулювання конфлікту інтересів» для використання в роботі поса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довими особами місцевого самоврядування, членами виконавчого комітету Менської міської ради, депутатами Менської міської ради, і визначає шляхи врегулювання конфлікту інтересів під час здійснення ними службових чи представницьких обов’язків та повноважень.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1.2. Терміни, які вживаються в даному Порядку: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- потенційний конфлікт інтересів – наявність у посадової особи приватного інтересу у сфері, в якій вона виконує свої службові повноваження, що може вплинути на об’єктивність чи неупередженість прийняття нею рішень, або на вчинення чи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невчинення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дій під час виконання зазначених повноважень.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- реальний конфлікт інтересів – суперечність між приватним інтересом посадової особи та її службовими повноваженнями, що впливає на об’єктивність або неупередженість прийняття рішень, або на вчинення чи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невчинення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дій під час виконання зазначених повноважень.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- приватний інтерес – будь-який майновий чи немайновий інтерес осо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би, тому числі зумовлений особистими, сімейними, дружніми чи іншими позаслужбовими стосунками з фізичними чи юридичними особами, у тому числі ті, що виникають у зв’язку з членством або діяльністю в громадських, політичних, релігійних чи інших організаціях.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Приватний інтерес може мати своїм наслідком як позитивний вплив (прагнення віддячити тощо) на ситуацію, так і негативний (прагнення завдати клопоту тощо).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- близькі особи – особи, які спільно проживають, пов’язані спільним побутом і мають взаємні права та обов’язки із таким суб’єктом: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- міський 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олова, депутат міської ради, посадова особа місцевого самоврядуван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ня;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- особи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, які входять до складу конкурсних та дисциплінарних комісій, утворених відповідно до Закону України "Про службу в органах місцевого самоврядування;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- особи, які спільно проживають, пов’я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зані спільним побутом, але не перебувають у шлюбі чи родинних стосунках, а також - незалежно від місця прожи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вання - чоловік, дружина, батько, мати, вітчим, мачуха, син, дочка, пасинок, падчерка, рідний брат, рідна сестра, дід, баба, прадід, прабаба, внук,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внучка, правнук, правнучка, зять, невістка, тесть, теща, свекор, свекруха,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усиновлювач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чи усиновлений, опікун чи піклувальник, особа, яка перебуває під опікою або піклуванням згаданого суб’єкта.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1.3. Для оцінювання наявності реального чи потенційного конфлікту інтересів кожна особа при виконанні своїх повноважень повинна брати до уваги увесь спектр своїх не лише правових (юридичних), а й соціальних (приватних)</w:t>
      </w:r>
      <w:bookmarkStart w:id="2" w:name="page3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2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відносин, які зумовлюють виникнення у неї майнового чи немайнового інтересу.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1.4. Суб’єктами, на яких поширюється дія даного Порядку є: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- міський голова;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- члени виконавчого комітету;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- депутати міської ради;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- секретар міської ради;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- посадові особи місцевого самоврядування.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1"/>
          <w:numId w:val="9"/>
        </w:numPr>
        <w:ind w:left="2420" w:hanging="367"/>
        <w:spacing w:lineRule="auto" w:line="240" w:after="0" w:afterAutospacing="0" w:before="0" w:beforeAutospacing="0"/>
        <w:tabs>
          <w:tab w:val="left" w:pos="2420" w:leader="none"/>
        </w:tabs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Запобігання та врегулювання конфлікту інтересів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2.1. Посадові особи місцевого самоврядування, члени виконавчого комітету, депутати Менської міської ради зобов’язані: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- самостійно вживати заходів щодо недопущення виникнення реального чи потенційного конфлікту інтересів при виконанні службових повноважень;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- повідомляти  про  наявність  реального  чи  потенційного  конфлікту інтересів  при  виконанні  своїх повноважень  у  встановленому Законом  України  «Про  запобігання  корупції»  та  цього  Порядку;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- не вчиняти дій та не приймати рішень в умовах реального конфлікту інтересів;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- вжити заходів щодо врегулювання реального чи потенційного конфлікту інтересів.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2.2. При виникненні реального чи потенційного конфлікту інтересів при виконанні своїх повноважень посадова особа письмово повідомляє безпосереднього керівника про наявність такого конфлікту.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2.4. Про наявність конфлікту інтересів посадова особа повинна повідомити не пізніше наступного робочого дня з моменту, коли посадова особа дізналася чи повинна була дізнатися про наявність у неї реального чи потенційного конфлікту інтересів.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2.5. Безпосередній керівник посадової особи протягом двох робочих днів після отримання повідомлення про наявність у підлеглої йому посадової особи реально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го чи потенційного конфлікту інтересів зобов’язаний прийняти рішення щодо врегулювання конфлікту інтересів, про що письмово повідомляє посадову особу, яка звернулась із повідомленням. Шляхи врегулювання конфлікту інтересів визначаються Розділом ІІІ Правил.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2.6. У разі, якщо виходячи з наявних умов безпосередній керівник не має по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вноважень щодо врегулювання конфлікту належним чином (переведення на іншу посаду, звільнення тощо), повідомлення про конфлікт інтересів негайно передається на розгляд керівнику, повноважному застосовувати відповідні заходи врегулювання конфлікту інтересів.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2.7. Посадова особа, депутат можуть самостійно вжити заходів щодо врегулювання свого</w:t>
      </w:r>
      <w:bookmarkStart w:id="3" w:name="page4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3"/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конфлікту інтересів шляхом позбавлення відповідного приватного інтересу з наданням документів, що підтверджують це, своєму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безпосередньому  керівнику. Позбавлення приватного інтересу має виключати будь-яку можливість його приховування.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2.8. Про звернення з повідомленнями щодо конфлікту інтересів та заходи з врегулювання конфлікту інтересів керівник посадової особи письмово повідомляє міського голову.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2.9. У разі існування в посадової особи, депутата сумнівів щодо наявності в них конфлікту інтересів вони зо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бов’язані звернутися за роз’ясненнями до територіального органу НАЗК. У разі, якщо вони не отримали підтвердження про відсутність конфлікту інтересів, вони діють відповідно до вимог, передбачених Законом України «Про запобігання корупції» та цього Порядку.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2.10. Якщо посадова особа, депутат отримали підтвердження про відсутність конфлікту інтересів, вони звільняється від відповідальності,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якщо у діях, щодо яких вони зверталися за роз’ясненням, пізніше було виявлено конфлікт інтересів. Це правило не розповсюджується на випадки змістової невідповідності між надісланим до НАЗК зверненням і фактичними обставинами виникнення конфлікту інтересів.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993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2.11. Якщо посадовій особі стало відомо про наявність конфлікту інтересів у інших посадових осіб, йому необхідно повідомити про це свого безпосереднього керівника.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0"/>
        </w:numPr>
        <w:ind w:right="-29"/>
        <w:jc w:val="center"/>
        <w:spacing w:lineRule="auto" w:line="240" w:after="0" w:afterAutospacing="0" w:before="0" w:beforeAutospacing="0"/>
        <w:tabs>
          <w:tab w:val="left" w:pos="0" w:leader="none"/>
        </w:tabs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Заходи зовнішнього та самостійного врегулювання конфлікту інтересів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851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3.1. Конфлікт інтересів може бути врегульований шляхом: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1"/>
        </w:numPr>
        <w:ind w:lef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усунення посадової особи від виконання завдання, вчинення дій, прийняття рішення чи участі в його прийнятті в умовах реального чи потенційного конфлікту інтересів;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1"/>
        </w:numPr>
        <w:ind w:lef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застосування зовнішнього контролю за виконанням посадовою особою відповідного завдання, вчиненням нею певних дій чи прийняття рішень;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1"/>
        </w:numPr>
        <w:ind w:left="0" w:right="176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обмеження доступу посадової особи до певної інформації;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1"/>
        </w:numPr>
        <w:ind w:left="0" w:right="176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перегляду обсягу службових повноважень посадової особи;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1"/>
        </w:numPr>
        <w:ind w:left="0" w:right="176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переведення посадової особи на іншу посаду;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1"/>
        </w:numPr>
        <w:ind w:left="0" w:right="176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звільнення посадової особи.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right="20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3.2. Шлях врегулювання конфлікту інтересів обирається керівником посадової особи в залежності від низки умов: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2"/>
        </w:numPr>
        <w:ind w:left="0" w:firstLine="0"/>
        <w:jc w:val="both"/>
        <w:spacing w:lineRule="auto" w:line="240" w:after="0" w:afterAutospacing="0" w:before="0" w:beforeAutospacing="0"/>
        <w:tabs>
          <w:tab w:val="left" w:pos="960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виду конфлікту інтересів (потенційний або реальний);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2"/>
        </w:numPr>
        <w:ind w:left="0" w:firstLine="0"/>
        <w:jc w:val="both"/>
        <w:spacing w:lineRule="auto" w:line="240" w:after="0" w:afterAutospacing="0" w:before="0" w:beforeAutospacing="0"/>
        <w:tabs>
          <w:tab w:val="left" w:pos="960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характеру конфлікту інтересів (постійний або тимчасовий);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2"/>
        </w:numPr>
        <w:ind w:left="0" w:firstLine="0"/>
        <w:jc w:val="both"/>
        <w:spacing w:lineRule="auto" w:line="240" w:after="0" w:afterAutospacing="0" w:before="0" w:beforeAutospacing="0"/>
        <w:tabs>
          <w:tab w:val="left" w:pos="960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суб’єкта прийняття рішення про його застосування (безпосередній керівник та/або керівник відповідного органу, підприємства, установи, закладу);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2"/>
        </w:numPr>
        <w:ind w:left="0" w:firstLine="0"/>
        <w:jc w:val="both"/>
        <w:spacing w:lineRule="auto" w:line="240" w:after="0" w:afterAutospacing="0" w:before="0" w:beforeAutospacing="0"/>
        <w:tabs>
          <w:tab w:val="left" w:pos="960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наявності (відсутності) альтернативних заходів врегулювання; наявності (відсутності) згоди особи на застосування заходу.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right="20" w:firstLine="851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3.3. Обмеження доступу посадової особи до певної інформації може бути здійснено: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2"/>
        </w:numPr>
        <w:ind w:left="0" w:right="-29" w:firstLine="0"/>
        <w:spacing w:lineRule="auto" w:line="240" w:after="0" w:afterAutospacing="0" w:before="0" w:beforeAutospacing="0"/>
        <w:tabs>
          <w:tab w:val="left" w:pos="-142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при наявності реального чи потенційного конфлікту інтересів пов’язаного із таким доступом;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2"/>
        </w:numPr>
        <w:ind w:left="0" w:right="-29" w:firstLine="0"/>
        <w:spacing w:lineRule="auto" w:line="240" w:after="0" w:afterAutospacing="0" w:before="0" w:beforeAutospacing="0"/>
        <w:tabs>
          <w:tab w:val="left" w:pos="0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якщо конфлікт інтересів має постійний характер;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2"/>
        </w:numPr>
        <w:ind w:left="0" w:right="-29" w:firstLine="0"/>
        <w:spacing w:lineRule="auto" w:line="240" w:after="0" w:afterAutospacing="0" w:before="0" w:beforeAutospacing="0"/>
        <w:tabs>
          <w:tab w:val="left" w:pos="0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за рішенням керівника органу або відповідного структурного підрозділу, в якому працює особа;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2"/>
        </w:numPr>
        <w:ind w:left="0" w:right="-29" w:firstLine="0"/>
        <w:jc w:val="both"/>
        <w:spacing w:lineRule="auto" w:line="240" w:after="0" w:afterAutospacing="0" w:before="0" w:beforeAutospacing="0"/>
        <w:tabs>
          <w:tab w:val="left" w:pos="0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за можливості продовження належного виконання особою повноважень на посаді за умови такого обмеження;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2"/>
        </w:numPr>
        <w:ind w:left="0" w:right="-29" w:firstLine="0"/>
        <w:jc w:val="both"/>
        <w:spacing w:lineRule="auto" w:line="240" w:after="0" w:afterAutospacing="0" w:before="0" w:beforeAutospacing="0"/>
        <w:tabs>
          <w:tab w:val="left" w:pos="0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за можливості доручення роботи з відповідною інформацією іншій посадовій особі відповідного органу.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right="20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3.4. Перегляд обсягу службових повноважень посадової особи може бути здійснено: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2"/>
        </w:numPr>
        <w:ind w:left="0" w:firstLine="0"/>
        <w:spacing w:lineRule="auto" w:line="240" w:after="0" w:afterAutospacing="0" w:before="0" w:beforeAutospacing="0"/>
        <w:tabs>
          <w:tab w:val="left" w:pos="0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при наявності реального чи потенційного конфлікту інтересів;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2"/>
        </w:numPr>
        <w:ind w:left="0" w:firstLine="0"/>
        <w:jc w:val="both"/>
        <w:spacing w:lineRule="auto" w:line="240" w:after="0" w:afterAutospacing="0" w:before="0" w:beforeAutospacing="0"/>
        <w:tabs>
          <w:tab w:val="left" w:pos="0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якщо конфлікт інтересів має постійний характер, пов’язаний з конкретним повноваженням особи;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2"/>
        </w:numPr>
        <w:ind w:left="0" w:firstLine="0"/>
        <w:jc w:val="both"/>
        <w:spacing w:lineRule="auto" w:line="240" w:after="0" w:afterAutospacing="0" w:before="0" w:beforeAutospacing="0"/>
        <w:tabs>
          <w:tab w:val="left" w:pos="0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за рішенням керівника органу або відповідного структурного підрозділу, в якому працює особа;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2"/>
        </w:numPr>
        <w:ind w:left="0" w:firstLine="0"/>
        <w:jc w:val="both"/>
        <w:spacing w:lineRule="auto" w:line="240" w:after="0" w:afterAutospacing="0" w:before="0" w:beforeAutospacing="0"/>
        <w:tabs>
          <w:tab w:val="left" w:pos="0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за можливості продовження належного виконання посадовою особою службових завдань у разі такого перегляду і можливості наділення відповідними повноваженнями іншого працівника 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right="20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3.5. Виконання службових повноважень посадовою особою під зовнішнім контролем може бути здійснено: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3"/>
        </w:numPr>
        <w:ind w:left="0" w:firstLine="0"/>
        <w:spacing w:lineRule="auto" w:line="240" w:after="0" w:afterAutospacing="0" w:before="0" w:beforeAutospacing="0"/>
        <w:tabs>
          <w:tab w:val="left" w:pos="0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при наявності реального чи потенційного конфлікту інтересів;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3"/>
        </w:numPr>
        <w:ind w:left="0" w:firstLine="0"/>
        <w:spacing w:lineRule="auto" w:line="240" w:after="0" w:afterAutospacing="0" w:before="0" w:beforeAutospacing="0"/>
        <w:tabs>
          <w:tab w:val="left" w:pos="0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якщо конфлікт інтересів має постійний або тимчасовий характер;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3"/>
        </w:numPr>
        <w:ind w:left="0" w:firstLine="0"/>
        <w:spacing w:lineRule="auto" w:line="240" w:after="0" w:afterAutospacing="0" w:before="0" w:beforeAutospacing="0"/>
        <w:tabs>
          <w:tab w:val="left" w:pos="0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за рішенням керівника відповідного органу або відповідного структурного підрозділу, в якому працює особа;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3"/>
        </w:numPr>
        <w:ind w:left="0" w:firstLine="0"/>
        <w:jc w:val="both"/>
        <w:spacing w:lineRule="auto" w:line="240" w:after="0" w:afterAutospacing="0" w:before="0" w:beforeAutospacing="0"/>
        <w:tabs>
          <w:tab w:val="left" w:pos="0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якщо усунення посадової особи від виконання завдання, вчинення дій, прийняття рішення чи участі в його прийнятті або обмеження її доступу до інформації чи перегляд її повноважень є неможливим;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3"/>
        </w:numPr>
        <w:ind w:left="0" w:firstLine="0"/>
        <w:spacing w:lineRule="auto" w:line="240" w:after="0" w:afterAutospacing="0" w:before="0" w:beforeAutospacing="0"/>
        <w:tabs>
          <w:tab w:val="left" w:pos="0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якщо відсутні підстави для її переведення на іншу посаду або звільнення.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260" w:firstLine="591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3.6. Формами зовнішнього контролю є: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3"/>
        </w:numPr>
        <w:ind w:left="0" w:right="20" w:firstLine="0"/>
        <w:jc w:val="both"/>
        <w:spacing w:lineRule="auto" w:line="240" w:after="0" w:afterAutospacing="0" w:before="0" w:beforeAutospacing="0"/>
        <w:tabs>
          <w:tab w:val="left" w:pos="960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перевірка, визначеною керівником уповноваженою особою на проведення контролю, стану та результатів виконання посадовою особою, що має конфлікт</w:t>
      </w:r>
      <w:bookmarkStart w:id="4" w:name="page6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4"/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інтересів, завдання, вчинення нею дій, змісту рішень чи проектів рішень, що приймаються або розробляються цією посадовою особою з питань, пов’язаних із предметом конфлікту інтересів;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3"/>
        </w:numPr>
        <w:ind w:left="0" w:right="2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виконання посадовою особою, що має конфлікт інтересів, завдання, вчинення нею дій, розгляд справ, підготовка та прийняття нею рішень у присутності уповноваженої особи на проведення контролю, визначеної керівником;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right="20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У рішенні про здій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снення зовнішнього контролю визначаються форма контролю, уповноважений на проведення контролю працівник, а також обов’язки особи у зв’язку із застосуванням зовнішнього контролю за виконанням нею відповідного завдання, вчиненням нею дій чи прийняття рішень.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851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3.7. Переведення особи на іншу посаду може бути запровадженим: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3"/>
        </w:numPr>
        <w:ind w:lef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при наявності реального чи потенційного конфлікту інтересів;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3"/>
        </w:numPr>
        <w:ind w:lef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за рішенням керівника органу, повноважного приймати рішення щодо переведення на іншу посаду;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3"/>
        </w:numPr>
        <w:ind w:lef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якщо конфлікт інтересів має постійний характер;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3"/>
        </w:numPr>
        <w:ind w:lef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якщо конфлікт інтересі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в не може бути врегульований шляхом усунення такої посадової особи від виконання завдання, вчинення дій, прийняття рішення чи участі в його прийнятті, обмеження її доступу до інформації, перегляду її повноважень та функцій, позбавлення приватного інтересу;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3"/>
        </w:numPr>
        <w:ind w:lef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за наявності вакантної посади, яка за своїми характеристиками відповідає особистим та професійним якостям посадової особи, що має конфлікт інтересів;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3"/>
        </w:numPr>
        <w:ind w:lef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за наявності згоди на переведення посадової особи.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851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3.8. Звільнення посадової особи у зв’язку з наявністю конфлікту інтересів може бути застосовано: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4"/>
        </w:numPr>
        <w:ind w:lef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при наявності реального чи потенційного конфлікту інтересів;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4"/>
        </w:numPr>
        <w:ind w:lef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за рішенням керівника органу, повноважного приймати рішення щодо прийняття та звільнення з посади;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4"/>
        </w:numPr>
        <w:ind w:lef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якщо конфлікт інтересів має постійний характер;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4"/>
        </w:numPr>
        <w:ind w:lef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якщо конфлікт інтересів не може бути врегульований в будь-який інший спосіб, в тому числі через відсутність згоди на переведення або на позбавлення приватного інтересу.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right="20" w:firstLine="993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3.9. Рішення міського голови про врегулювання конфлікту інтересів оформл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юється відповідним розпорядчим документом. В рішенні щодо врегулювання конфлікту інтересів зазначається обраний шлях врегулювання конфлікту інтересів, описуються необхідні заходи, визначаються відповідальні особи та заходи з контролю за виконанням рішення.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993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5" w:name="page7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5"/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3.10. Не допускається обрання шляху вирішення конфлікту інтересів у формі вказівки підлеглій особі самостійно врегулювати свій конфлікт інтересів.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993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3.11. Під час пленарного засідання ради член профільної депутатської комісії, повідомляє публічно присутніх про наявність звернення депутата з повідомленням щодо конфлікту інтересів.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993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Врегулювання конфлікту буде здійснюватися шляхом «утримання» у голосуванні.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993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3.11. Для запобігання конфлікту інтересів посадова особа міської ради зобов’язана передати в управління іншій особі належні їй на праві власності підприємства та/або корпоративні права.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993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3.12. Передача належних посадовій особі підприємств та/або корпоративних прав передбачає необхідність дотримання таких вимог: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5"/>
        </w:numPr>
        <w:ind w:left="0" w:right="20" w:firstLine="0"/>
        <w:jc w:val="both"/>
        <w:spacing w:lineRule="auto" w:line="240" w:after="0" w:afterAutospacing="0" w:before="0" w:beforeAutospacing="0"/>
        <w:tabs>
          <w:tab w:val="left" w:pos="960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передача має бути здійснена протягом 30 днів після призначення на посаду;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5"/>
        </w:numPr>
        <w:ind w:left="0" w:right="20" w:firstLine="0"/>
        <w:jc w:val="both"/>
        <w:spacing w:lineRule="auto" w:line="240" w:after="0" w:afterAutospacing="0" w:before="0" w:beforeAutospacing="0"/>
        <w:tabs>
          <w:tab w:val="left" w:pos="960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забороняється передавати в управління підприємства та корпоративні права на користь членів своєї сім’ї;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15"/>
        </w:numPr>
        <w:ind w:left="0" w:right="20" w:firstLine="0"/>
        <w:jc w:val="both"/>
        <w:spacing w:lineRule="auto" w:line="240" w:after="0" w:afterAutospacing="0" w:before="0" w:beforeAutospacing="0"/>
        <w:tabs>
          <w:tab w:val="left" w:pos="960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не можуть бути укладені договори, із суб’єктами підприємницької діяльності, торговцями цінними паперами та компаніями з управління активами, в яких працюють члени сім’ї таких осіб.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600"/>
        <w:ind w:firstLine="851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3.13. Передача особами, належних їм корпоративних прав здійснюється в один із таких способів: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600"/>
        <w:numPr>
          <w:ilvl w:val="0"/>
          <w:numId w:val="15"/>
        </w:numPr>
        <w:ind w:left="0" w:firstLine="0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6" w:name="n410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6"/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укладення договору управління майном із суб’єктом підприємницької діяльності (крім договору управління цінними паперами та іншими фінансовими інструментами);</w:t>
      </w:r>
      <w:bookmarkStart w:id="7" w:name="n411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7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600"/>
        <w:numPr>
          <w:ilvl w:val="0"/>
          <w:numId w:val="15"/>
        </w:numPr>
        <w:ind w:left="0" w:firstLine="0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укладення договору про управління цінними паперами, іншими фінансовими інструментами і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грошовими коштами, призначеними для інвестування в цінні папери та інші фінансові інструменти, з торговцем цінними паперами, який має ліцензію Національної комісії з цінних паперів та фондового ринку на провадження діяльності з управління цінними паперами;</w:t>
      </w:r>
      <w:bookmarkStart w:id="8" w:name="n412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8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600"/>
        <w:numPr>
          <w:ilvl w:val="0"/>
          <w:numId w:val="15"/>
        </w:numPr>
        <w:ind w:left="0" w:firstLine="0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укладення договору про створення венчурного пайового інвестиційного фонду для управління переданими корпоративними правами з компанією з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управління активами, яка має ліцензію Національної комісії з цінних паперів та фондового ринку на провадження діяльності з управління активами.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right="20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3.14. Визначення наявності конфлікту інтер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есів з приводу обмежень при прийнятті посадовими особами подарунків, щодо володіння корпоративними правами, щодо сумісництва та суміщення з іншими видами діяльності, зайняття іншою оплачуваною або підприємницькою діяльністю, включення до складу виконавчих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чи контрольних органів підприємств або організацій, що мають на меті одержання прибутку, щодо спільної роботи близьких осіб встановлюються чинним законодавством України. Для визначення наявності конфлікту інтересів необхідно керуватися вимогами Закону Укра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їни «Про запобігання корупції», іншими законами України та Методичними рекомендаціями щодо запобігання та врегулювання конфлікту інтересів, затверджених Рішенням Національного агентства з питань запобігання корупції від 29.09.2017р. №839 в чинній редакції.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right="-259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6"/>
          <w:lang w:val="uk-UA"/>
        </w:rPr>
        <w:t xml:space="preserve">ІV. Відповідальність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4.1. За вчинення корупційних або пов’язаних з корупцією правопорушень посадові особи притягаються до кримінальної, адміністративної, цивільно-правової та дисциплінарної відповідальності у встановленому законом порядку.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4.2. З метою виявлення причин та умов, що сприяли вчиненню корупційного або пов’язаного з корупцією правопорушення проводиться службове</w:t>
      </w:r>
      <w:bookmarkStart w:id="9" w:name="page8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9"/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 розслідування в порядку, визначеному Кабінетом Міністрів України.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4.3. Посадова особа, якій повідомлено про підозру у вчиненні нею злочину у сфері службової діяльності, підлягає відстороненню від виконання повноважень на посаді в порядку, визначеному законом.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4.4. Посадова особа, щодо якої складено протокол про адміністративне правопорушення, пов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’язане з корупцією, якщо інше не передбачено Конституцією і законами України, може бути відсторонена від виконання службових повноважень за рішенням міського голови або керівника виконавчого органу, в якому вона працює, до закінчення розгляду справи судом.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4.5. Порушення вимог чинного законодавства щодо конфлікту інтересів становлять порушення службової дисципліни, за їх вчинення може бути застосоване дисциплінарне стягнення в порядку, передбаченому законодавством.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4.6. Невжиття заходів щодо усунення наявного конфлікту інтересів слід вважати невиконанням чи неналежним виконанням службових обов’язків та підставами для притягнення порушників до дисциплінарної відповідальності.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lang w:val="uk-UA"/>
        </w:rPr>
        <w:t xml:space="preserve">4.7. Збитки, шкода, завдані державі внаслідок вчинення корупційного або пов’язаного з корупцією правопорушення, підлягають відшкодуванню особою, яка вчинила відповідне правопорушення, в установленому законом порядку.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6"/>
          <w:szCs w:val="26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BM Plex Serif">
    <w:panose1 w:val="020B0609030804020204"/>
  </w:font>
  <w:font w:name="Symbol">
    <w:panose1 w:val="05010000000000000000"/>
  </w:font>
  <w:font w:name="Tahoma">
    <w:panose1 w:val="020B0604030504040204"/>
  </w:font>
  <w:font w:name="Wingdings">
    <w:panose1 w:val="05010000000000000000"/>
  </w:font>
  <w:font w:name="Courier New">
    <w:panose1 w:val="02070309020205020404"/>
  </w:font>
  <w:font w:name="Mangal">
    <w:panose1 w:val="02040502050405020303"/>
  </w:font>
  <w:font w:name="Times New Roman">
    <w:panose1 w:val="020206030504050203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 "/>
      <w:lvlJc w:val="left"/>
      <w:pPr/>
    </w:lvl>
    <w:lvl w:ilvl="1">
      <w:start w:val="35"/>
      <w:numFmt w:val="upperLetter"/>
      <w:isLgl w:val="false"/>
      <w:suff w:val="tab"/>
      <w:lvlText w:val="%2."/>
      <w:lvlJc w:val="left"/>
      <w:pPr/>
    </w:lvl>
    <w:lvl w:ilvl="2">
      <w:start w:val="1"/>
      <w:numFmt w:val="bullet"/>
      <w:isLgl w:val="false"/>
      <w:suff w:val="tab"/>
      <w:lvlText w:val=""/>
      <w:lvlJc w:val="left"/>
      <w:pPr/>
    </w:lvl>
    <w:lvl w:ilvl="3">
      <w:start w:val="1"/>
      <w:numFmt w:val="bullet"/>
      <w:isLgl w:val="false"/>
      <w:suff w:val="tab"/>
      <w:lvlText w:val=""/>
      <w:lvlJc w:val="left"/>
      <w:pPr/>
    </w:lvl>
    <w:lvl w:ilvl="4">
      <w:start w:val="1"/>
      <w:numFmt w:val="bullet"/>
      <w:isLgl w:val="false"/>
      <w:suff w:val="tab"/>
      <w:lvlText w:val=""/>
      <w:lvlJc w:val="left"/>
      <w:pPr/>
    </w:lvl>
    <w:lvl w:ilvl="5">
      <w:start w:val="1"/>
      <w:numFmt w:val="bullet"/>
      <w:isLgl w:val="false"/>
      <w:suff w:val="tab"/>
      <w:lvlText w:val=""/>
      <w:lvlJc w:val="left"/>
      <w:pPr/>
    </w:lvl>
    <w:lvl w:ilvl="6">
      <w:start w:val="1"/>
      <w:numFmt w:val="bullet"/>
      <w:isLgl w:val="false"/>
      <w:suff w:val="tab"/>
      <w:lvlText w:val=""/>
      <w:lvlJc w:val="left"/>
      <w:pPr/>
    </w:lvl>
    <w:lvl w:ilvl="7">
      <w:start w:val="1"/>
      <w:numFmt w:val="bullet"/>
      <w:isLgl w:val="false"/>
      <w:suff w:val="tab"/>
      <w:lvlText w:val=""/>
      <w:lvlJc w:val="left"/>
      <w:pPr/>
    </w:lvl>
    <w:lvl w:ilvl="8">
      <w:start w:val="1"/>
      <w:numFmt w:val="bullet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61"/>
      <w:numFmt w:val="upperLetter"/>
      <w:isLgl w:val="false"/>
      <w:suff w:val="tab"/>
      <w:lvlText w:val="%1."/>
      <w:lvlJc w:val="left"/>
      <w:pPr/>
    </w:lvl>
    <w:lvl w:ilvl="1">
      <w:start w:val="1"/>
      <w:numFmt w:val="bullet"/>
      <w:isLgl w:val="false"/>
      <w:suff w:val="tab"/>
      <w:lvlText w:val=""/>
      <w:lvlJc w:val="left"/>
      <w:pPr/>
    </w:lvl>
    <w:lvl w:ilvl="2">
      <w:start w:val="1"/>
      <w:numFmt w:val="bullet"/>
      <w:isLgl w:val="false"/>
      <w:suff w:val="tab"/>
      <w:lvlText w:val=""/>
      <w:lvlJc w:val="left"/>
      <w:pPr/>
    </w:lvl>
    <w:lvl w:ilvl="3">
      <w:start w:val="1"/>
      <w:numFmt w:val="bullet"/>
      <w:isLgl w:val="false"/>
      <w:suff w:val="tab"/>
      <w:lvlText w:val=""/>
      <w:lvlJc w:val="left"/>
      <w:pPr/>
    </w:lvl>
    <w:lvl w:ilvl="4">
      <w:start w:val="1"/>
      <w:numFmt w:val="bullet"/>
      <w:isLgl w:val="false"/>
      <w:suff w:val="tab"/>
      <w:lvlText w:val=""/>
      <w:lvlJc w:val="left"/>
      <w:pPr/>
    </w:lvl>
    <w:lvl w:ilvl="5">
      <w:start w:val="1"/>
      <w:numFmt w:val="bullet"/>
      <w:isLgl w:val="false"/>
      <w:suff w:val="tab"/>
      <w:lvlText w:val=""/>
      <w:lvlJc w:val="left"/>
      <w:pPr/>
    </w:lvl>
    <w:lvl w:ilvl="6">
      <w:start w:val="1"/>
      <w:numFmt w:val="bullet"/>
      <w:isLgl w:val="false"/>
      <w:suff w:val="tab"/>
      <w:lvlText w:val=""/>
      <w:lvlJc w:val="left"/>
      <w:pPr/>
    </w:lvl>
    <w:lvl w:ilvl="7">
      <w:start w:val="1"/>
      <w:numFmt w:val="bullet"/>
      <w:isLgl w:val="false"/>
      <w:suff w:val="tab"/>
      <w:lvlText w:val=""/>
      <w:lvlJc w:val="left"/>
      <w:pPr/>
    </w:lvl>
    <w:lvl w:ilvl="8">
      <w:start w:val="1"/>
      <w:numFmt w:val="bullet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9" w:hanging="545"/>
      </w:pPr>
      <w:rPr>
        <w:rFonts w:ascii="Arial" w:hAnsi="Arial" w:cs="Arial" w:eastAsia="Arial" w:hint="default"/>
        <w:sz w:val="22"/>
        <w:szCs w:val="22"/>
        <w:lang w:val="uk-UA" w:bidi="uk-UA" w:eastAsia="uk-UA"/>
      </w:rPr>
    </w:lvl>
    <w:lvl w:ilvl="1">
      <w:start w:val="1"/>
      <w:numFmt w:val="bullet"/>
      <w:isLgl w:val="false"/>
      <w:suff w:val="tab"/>
      <w:lvlText w:val="•"/>
      <w:lvlJc w:val="left"/>
      <w:pPr>
        <w:ind w:left="367" w:hanging="545"/>
      </w:pPr>
      <w:rPr>
        <w:lang w:val="uk-UA" w:bidi="uk-UA" w:eastAsia="uk-UA"/>
      </w:rPr>
    </w:lvl>
    <w:lvl w:ilvl="2">
      <w:start w:val="1"/>
      <w:numFmt w:val="bullet"/>
      <w:isLgl w:val="false"/>
      <w:suff w:val="tab"/>
      <w:lvlText w:val="•"/>
      <w:lvlJc w:val="left"/>
      <w:pPr>
        <w:ind w:left="634" w:hanging="545"/>
      </w:pPr>
      <w:rPr>
        <w:lang w:val="uk-UA" w:bidi="uk-UA" w:eastAsia="uk-UA"/>
      </w:rPr>
    </w:lvl>
    <w:lvl w:ilvl="3">
      <w:start w:val="1"/>
      <w:numFmt w:val="bullet"/>
      <w:isLgl w:val="false"/>
      <w:suff w:val="tab"/>
      <w:lvlText w:val="•"/>
      <w:lvlJc w:val="left"/>
      <w:pPr>
        <w:ind w:left="901" w:hanging="545"/>
      </w:pPr>
      <w:rPr>
        <w:lang w:val="uk-UA" w:bidi="uk-UA" w:eastAsia="uk-UA"/>
      </w:rPr>
    </w:lvl>
    <w:lvl w:ilvl="4">
      <w:start w:val="1"/>
      <w:numFmt w:val="bullet"/>
      <w:isLgl w:val="false"/>
      <w:suff w:val="tab"/>
      <w:lvlText w:val="•"/>
      <w:lvlJc w:val="left"/>
      <w:pPr>
        <w:ind w:left="1168" w:hanging="545"/>
      </w:pPr>
      <w:rPr>
        <w:lang w:val="uk-UA" w:bidi="uk-UA" w:eastAsia="uk-UA"/>
      </w:rPr>
    </w:lvl>
    <w:lvl w:ilvl="5">
      <w:start w:val="1"/>
      <w:numFmt w:val="bullet"/>
      <w:isLgl w:val="false"/>
      <w:suff w:val="tab"/>
      <w:lvlText w:val="•"/>
      <w:lvlJc w:val="left"/>
      <w:pPr>
        <w:ind w:left="1436" w:hanging="545"/>
      </w:pPr>
      <w:rPr>
        <w:lang w:val="uk-UA" w:bidi="uk-UA" w:eastAsia="uk-UA"/>
      </w:rPr>
    </w:lvl>
    <w:lvl w:ilvl="6">
      <w:start w:val="1"/>
      <w:numFmt w:val="bullet"/>
      <w:isLgl w:val="false"/>
      <w:suff w:val="tab"/>
      <w:lvlText w:val="•"/>
      <w:lvlJc w:val="left"/>
      <w:pPr>
        <w:ind w:left="1703" w:hanging="545"/>
      </w:pPr>
      <w:rPr>
        <w:lang w:val="uk-UA" w:bidi="uk-UA" w:eastAsia="uk-UA"/>
      </w:rPr>
    </w:lvl>
    <w:lvl w:ilvl="7">
      <w:start w:val="1"/>
      <w:numFmt w:val="bullet"/>
      <w:isLgl w:val="false"/>
      <w:suff w:val="tab"/>
      <w:lvlText w:val="•"/>
      <w:lvlJc w:val="left"/>
      <w:pPr>
        <w:ind w:left="1970" w:hanging="545"/>
      </w:pPr>
      <w:rPr>
        <w:lang w:val="uk-UA" w:bidi="uk-UA" w:eastAsia="uk-UA"/>
      </w:rPr>
    </w:lvl>
    <w:lvl w:ilvl="8">
      <w:start w:val="1"/>
      <w:numFmt w:val="bullet"/>
      <w:isLgl w:val="false"/>
      <w:suff w:val="tab"/>
      <w:lvlText w:val="•"/>
      <w:lvlJc w:val="left"/>
      <w:pPr>
        <w:ind w:left="2237" w:hanging="545"/>
      </w:pPr>
      <w:rPr>
        <w:lang w:val="uk-UA" w:bidi="uk-UA" w:eastAsia="uk-UA"/>
      </w:rPr>
    </w:lvl>
  </w:abstractNum>
  <w:abstractNum w:abstractNumId="4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216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67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3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9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IBM Plex Serif" w:hAnsi="IBM Plex Serif" w:hint="default"/>
        <w:color w:val="293A55"/>
      </w:rPr>
    </w:lvl>
    <w:lvl w:ilvl="1">
      <w:start w:val="4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IBM Plex Serif" w:hAnsi="IBM Plex Serif" w:hint="default"/>
        <w:color w:val="293A55"/>
      </w:rPr>
    </w:lvl>
    <w:lvl w:ilvl="1">
      <w:start w:val="4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544" w:hanging="466"/>
      </w:pPr>
      <w:rPr>
        <w:rFonts w:ascii="Times New Roman" w:hAnsi="Times New Roman" w:cs="Times New Roman" w:eastAsia="Arial" w:hint="default"/>
        <w:b/>
        <w:color w:val="auto"/>
        <w:spacing w:val="-1"/>
        <w:sz w:val="24"/>
        <w:szCs w:val="24"/>
        <w:lang w:val="uk-UA" w:bidi="uk-UA" w:eastAsia="uk-UA"/>
      </w:rPr>
    </w:lvl>
    <w:lvl w:ilvl="1">
      <w:start w:val="1"/>
      <w:numFmt w:val="bullet"/>
      <w:isLgl w:val="false"/>
      <w:suff w:val="tab"/>
      <w:lvlText w:val="•"/>
      <w:lvlJc w:val="left"/>
      <w:pPr>
        <w:ind w:left="2372" w:hanging="466"/>
      </w:pPr>
      <w:rPr>
        <w:lang w:val="uk-UA" w:bidi="uk-UA" w:eastAsia="uk-UA"/>
      </w:rPr>
    </w:lvl>
    <w:lvl w:ilvl="2">
      <w:start w:val="1"/>
      <w:numFmt w:val="bullet"/>
      <w:isLgl w:val="false"/>
      <w:suff w:val="tab"/>
      <w:lvlText w:val="•"/>
      <w:lvlJc w:val="left"/>
      <w:pPr>
        <w:ind w:left="3205" w:hanging="466"/>
      </w:pPr>
      <w:rPr>
        <w:lang w:val="uk-UA" w:bidi="uk-UA" w:eastAsia="uk-UA"/>
      </w:rPr>
    </w:lvl>
    <w:lvl w:ilvl="3">
      <w:start w:val="1"/>
      <w:numFmt w:val="bullet"/>
      <w:isLgl w:val="false"/>
      <w:suff w:val="tab"/>
      <w:lvlText w:val="•"/>
      <w:lvlJc w:val="left"/>
      <w:pPr>
        <w:ind w:left="4037" w:hanging="466"/>
      </w:pPr>
      <w:rPr>
        <w:lang w:val="uk-UA" w:bidi="uk-UA" w:eastAsia="uk-UA"/>
      </w:rPr>
    </w:lvl>
    <w:lvl w:ilvl="4">
      <w:start w:val="1"/>
      <w:numFmt w:val="bullet"/>
      <w:isLgl w:val="false"/>
      <w:suff w:val="tab"/>
      <w:lvlText w:val="•"/>
      <w:lvlJc w:val="left"/>
      <w:pPr>
        <w:ind w:left="4870" w:hanging="466"/>
      </w:pPr>
      <w:rPr>
        <w:lang w:val="uk-UA" w:bidi="uk-UA" w:eastAsia="uk-UA"/>
      </w:rPr>
    </w:lvl>
    <w:lvl w:ilvl="5">
      <w:start w:val="1"/>
      <w:numFmt w:val="bullet"/>
      <w:isLgl w:val="false"/>
      <w:suff w:val="tab"/>
      <w:lvlText w:val="•"/>
      <w:lvlJc w:val="left"/>
      <w:pPr>
        <w:ind w:left="5703" w:hanging="466"/>
      </w:pPr>
      <w:rPr>
        <w:lang w:val="uk-UA" w:bidi="uk-UA" w:eastAsia="uk-UA"/>
      </w:rPr>
    </w:lvl>
    <w:lvl w:ilvl="6">
      <w:start w:val="1"/>
      <w:numFmt w:val="bullet"/>
      <w:isLgl w:val="false"/>
      <w:suff w:val="tab"/>
      <w:lvlText w:val="•"/>
      <w:lvlJc w:val="left"/>
      <w:pPr>
        <w:ind w:left="6535" w:hanging="466"/>
      </w:pPr>
      <w:rPr>
        <w:lang w:val="uk-UA" w:bidi="uk-UA" w:eastAsia="uk-UA"/>
      </w:rPr>
    </w:lvl>
    <w:lvl w:ilvl="7">
      <w:start w:val="1"/>
      <w:numFmt w:val="bullet"/>
      <w:isLgl w:val="false"/>
      <w:suff w:val="tab"/>
      <w:lvlText w:val="•"/>
      <w:lvlJc w:val="left"/>
      <w:pPr>
        <w:ind w:left="7368" w:hanging="466"/>
      </w:pPr>
      <w:rPr>
        <w:lang w:val="uk-UA" w:bidi="uk-UA" w:eastAsia="uk-UA"/>
      </w:rPr>
    </w:lvl>
    <w:lvl w:ilvl="8">
      <w:start w:val="1"/>
      <w:numFmt w:val="bullet"/>
      <w:isLgl w:val="false"/>
      <w:suff w:val="tab"/>
      <w:lvlText w:val="•"/>
      <w:lvlJc w:val="left"/>
      <w:pPr>
        <w:ind w:left="8201" w:hanging="466"/>
      </w:pPr>
      <w:rPr>
        <w:lang w:val="uk-UA" w:bidi="uk-UA" w:eastAsia="uk-UA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IBM Plex Serif" w:hAnsi="IBM Plex Serif" w:hint="default"/>
        <w:color w:val="293A55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181" w:hanging="464"/>
      </w:pPr>
      <w:rPr>
        <w:rFonts w:ascii="Arial" w:hAnsi="Arial" w:cs="Arial" w:eastAsia="Arial" w:hint="default"/>
        <w:color w:val="2E5395"/>
        <w:spacing w:val="-1"/>
        <w:sz w:val="24"/>
        <w:szCs w:val="24"/>
        <w:lang w:val="uk-UA" w:bidi="uk-UA" w:eastAsia="uk-UA"/>
      </w:rPr>
    </w:lvl>
    <w:lvl w:ilvl="1">
      <w:start w:val="1"/>
      <w:numFmt w:val="bullet"/>
      <w:isLgl w:val="false"/>
      <w:suff w:val="tab"/>
      <w:lvlText w:val=""/>
      <w:lvlJc w:val="left"/>
      <w:pPr>
        <w:ind w:left="1544" w:hanging="361"/>
      </w:pPr>
      <w:rPr>
        <w:rFonts w:ascii="Symbol" w:hAnsi="Symbol" w:cs="Symbol" w:eastAsia="Symbol" w:hint="default"/>
        <w:sz w:val="22"/>
        <w:szCs w:val="22"/>
        <w:lang w:val="uk-UA" w:bidi="uk-UA" w:eastAsia="uk-UA"/>
      </w:rPr>
    </w:lvl>
    <w:lvl w:ilvl="2">
      <w:start w:val="1"/>
      <w:numFmt w:val="bullet"/>
      <w:isLgl w:val="false"/>
      <w:suff w:val="tab"/>
      <w:lvlText w:val="•"/>
      <w:lvlJc w:val="left"/>
      <w:pPr>
        <w:ind w:left="1540" w:hanging="361"/>
      </w:pPr>
      <w:rPr>
        <w:lang w:val="uk-UA" w:bidi="uk-UA" w:eastAsia="uk-UA"/>
      </w:rPr>
    </w:lvl>
    <w:lvl w:ilvl="3">
      <w:start w:val="1"/>
      <w:numFmt w:val="bullet"/>
      <w:isLgl w:val="false"/>
      <w:suff w:val="tab"/>
      <w:lvlText w:val="•"/>
      <w:lvlJc w:val="left"/>
      <w:pPr>
        <w:ind w:left="2580" w:hanging="361"/>
      </w:pPr>
      <w:rPr>
        <w:lang w:val="uk-UA" w:bidi="uk-UA" w:eastAsia="uk-UA"/>
      </w:rPr>
    </w:lvl>
    <w:lvl w:ilvl="4">
      <w:start w:val="1"/>
      <w:numFmt w:val="bullet"/>
      <w:isLgl w:val="false"/>
      <w:suff w:val="tab"/>
      <w:lvlText w:val="•"/>
      <w:lvlJc w:val="left"/>
      <w:pPr>
        <w:ind w:left="3621" w:hanging="361"/>
      </w:pPr>
      <w:rPr>
        <w:lang w:val="uk-UA" w:bidi="uk-UA" w:eastAsia="uk-UA"/>
      </w:rPr>
    </w:lvl>
    <w:lvl w:ilvl="5">
      <w:start w:val="1"/>
      <w:numFmt w:val="bullet"/>
      <w:isLgl w:val="false"/>
      <w:suff w:val="tab"/>
      <w:lvlText w:val="•"/>
      <w:lvlJc w:val="left"/>
      <w:pPr>
        <w:ind w:left="4662" w:hanging="361"/>
      </w:pPr>
      <w:rPr>
        <w:lang w:val="uk-UA" w:bidi="uk-UA" w:eastAsia="uk-UA"/>
      </w:rPr>
    </w:lvl>
    <w:lvl w:ilvl="6">
      <w:start w:val="1"/>
      <w:numFmt w:val="bullet"/>
      <w:isLgl w:val="false"/>
      <w:suff w:val="tab"/>
      <w:lvlText w:val="•"/>
      <w:lvlJc w:val="left"/>
      <w:pPr>
        <w:ind w:left="5703" w:hanging="361"/>
      </w:pPr>
      <w:rPr>
        <w:lang w:val="uk-UA" w:bidi="uk-UA" w:eastAsia="uk-UA"/>
      </w:rPr>
    </w:lvl>
    <w:lvl w:ilvl="7">
      <w:start w:val="1"/>
      <w:numFmt w:val="bullet"/>
      <w:isLgl w:val="false"/>
      <w:suff w:val="tab"/>
      <w:lvlText w:val="•"/>
      <w:lvlJc w:val="left"/>
      <w:pPr>
        <w:ind w:left="6744" w:hanging="361"/>
      </w:pPr>
      <w:rPr>
        <w:lang w:val="uk-UA" w:bidi="uk-UA" w:eastAsia="uk-UA"/>
      </w:rPr>
    </w:lvl>
    <w:lvl w:ilvl="8">
      <w:start w:val="1"/>
      <w:numFmt w:val="bullet"/>
      <w:isLgl w:val="false"/>
      <w:suff w:val="tab"/>
      <w:lvlText w:val="•"/>
      <w:lvlJc w:val="left"/>
      <w:pPr>
        <w:ind w:left="7784" w:hanging="361"/>
      </w:pPr>
      <w:rPr>
        <w:lang w:val="uk-UA" w:bidi="uk-UA" w:eastAsia="uk-UA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4"/>
    <w:lvlOverride w:ilvl="0">
      <w:startOverride w:val="1"/>
    </w:lvlOverride>
  </w:num>
  <w:num w:numId="5">
    <w:abstractNumId w:val="6"/>
  </w:num>
  <w:num w:numId="6">
    <w:abstractNumId w:val="12"/>
    <w:lvlOverride w:ilvl="0">
      <w:startOverride w:val="1"/>
    </w:lvlOverride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16">
    <w:name w:val="Heading 1 Char"/>
    <w:basedOn w:val="585"/>
    <w:link w:val="595"/>
    <w:uiPriority w:val="9"/>
    <w:rPr>
      <w:rFonts w:ascii="Arial" w:hAnsi="Arial" w:cs="Arial" w:eastAsia="Arial"/>
      <w:sz w:val="40"/>
      <w:szCs w:val="40"/>
    </w:rPr>
  </w:style>
  <w:style w:type="paragraph" w:styleId="417">
    <w:name w:val="Heading 2"/>
    <w:basedOn w:val="583"/>
    <w:next w:val="583"/>
    <w:link w:val="41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18">
    <w:name w:val="Heading 2 Char"/>
    <w:basedOn w:val="585"/>
    <w:link w:val="417"/>
    <w:uiPriority w:val="9"/>
    <w:rPr>
      <w:rFonts w:ascii="Arial" w:hAnsi="Arial" w:cs="Arial" w:eastAsia="Arial"/>
      <w:sz w:val="34"/>
    </w:rPr>
  </w:style>
  <w:style w:type="character" w:styleId="419">
    <w:name w:val="Heading 3 Char"/>
    <w:basedOn w:val="585"/>
    <w:link w:val="598"/>
    <w:uiPriority w:val="9"/>
    <w:rPr>
      <w:rFonts w:ascii="Arial" w:hAnsi="Arial" w:cs="Arial" w:eastAsia="Arial"/>
      <w:sz w:val="30"/>
      <w:szCs w:val="30"/>
    </w:rPr>
  </w:style>
  <w:style w:type="paragraph" w:styleId="420">
    <w:name w:val="Heading 4"/>
    <w:basedOn w:val="583"/>
    <w:next w:val="583"/>
    <w:link w:val="42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21">
    <w:name w:val="Heading 4 Char"/>
    <w:basedOn w:val="585"/>
    <w:link w:val="420"/>
    <w:uiPriority w:val="9"/>
    <w:rPr>
      <w:rFonts w:ascii="Arial" w:hAnsi="Arial" w:cs="Arial" w:eastAsia="Arial"/>
      <w:b/>
      <w:bCs/>
      <w:sz w:val="26"/>
      <w:szCs w:val="26"/>
    </w:rPr>
  </w:style>
  <w:style w:type="paragraph" w:styleId="422">
    <w:name w:val="Heading 5"/>
    <w:basedOn w:val="583"/>
    <w:next w:val="583"/>
    <w:link w:val="4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23">
    <w:name w:val="Heading 5 Char"/>
    <w:basedOn w:val="585"/>
    <w:link w:val="422"/>
    <w:uiPriority w:val="9"/>
    <w:rPr>
      <w:rFonts w:ascii="Arial" w:hAnsi="Arial" w:cs="Arial" w:eastAsia="Arial"/>
      <w:b/>
      <w:bCs/>
      <w:sz w:val="24"/>
      <w:szCs w:val="24"/>
    </w:rPr>
  </w:style>
  <w:style w:type="paragraph" w:styleId="424">
    <w:name w:val="Heading 6"/>
    <w:basedOn w:val="583"/>
    <w:next w:val="583"/>
    <w:link w:val="42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25">
    <w:name w:val="Heading 6 Char"/>
    <w:basedOn w:val="585"/>
    <w:link w:val="424"/>
    <w:uiPriority w:val="9"/>
    <w:rPr>
      <w:rFonts w:ascii="Arial" w:hAnsi="Arial" w:cs="Arial" w:eastAsia="Arial"/>
      <w:b/>
      <w:bCs/>
      <w:sz w:val="22"/>
      <w:szCs w:val="22"/>
    </w:rPr>
  </w:style>
  <w:style w:type="paragraph" w:styleId="426">
    <w:name w:val="Heading 7"/>
    <w:basedOn w:val="583"/>
    <w:next w:val="583"/>
    <w:link w:val="42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27">
    <w:name w:val="Heading 7 Char"/>
    <w:basedOn w:val="585"/>
    <w:link w:val="4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28">
    <w:name w:val="Heading 8"/>
    <w:basedOn w:val="583"/>
    <w:next w:val="583"/>
    <w:link w:val="42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29">
    <w:name w:val="Heading 8 Char"/>
    <w:basedOn w:val="585"/>
    <w:link w:val="428"/>
    <w:uiPriority w:val="9"/>
    <w:rPr>
      <w:rFonts w:ascii="Arial" w:hAnsi="Arial" w:cs="Arial" w:eastAsia="Arial"/>
      <w:i/>
      <w:iCs/>
      <w:sz w:val="22"/>
      <w:szCs w:val="22"/>
    </w:rPr>
  </w:style>
  <w:style w:type="paragraph" w:styleId="430">
    <w:name w:val="Heading 9"/>
    <w:basedOn w:val="583"/>
    <w:next w:val="583"/>
    <w:link w:val="43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1">
    <w:name w:val="Heading 9 Char"/>
    <w:basedOn w:val="585"/>
    <w:link w:val="430"/>
    <w:uiPriority w:val="9"/>
    <w:rPr>
      <w:rFonts w:ascii="Arial" w:hAnsi="Arial" w:cs="Arial" w:eastAsia="Arial"/>
      <w:i/>
      <w:iCs/>
      <w:sz w:val="21"/>
      <w:szCs w:val="21"/>
    </w:rPr>
  </w:style>
  <w:style w:type="paragraph" w:styleId="432">
    <w:name w:val="No Spacing"/>
    <w:qFormat/>
    <w:uiPriority w:val="1"/>
    <w:pPr>
      <w:spacing w:lineRule="auto" w:line="240" w:after="0" w:before="0"/>
    </w:pPr>
  </w:style>
  <w:style w:type="paragraph" w:styleId="433">
    <w:name w:val="Title"/>
    <w:basedOn w:val="583"/>
    <w:next w:val="583"/>
    <w:link w:val="4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4">
    <w:name w:val="Title Char"/>
    <w:basedOn w:val="585"/>
    <w:link w:val="433"/>
    <w:uiPriority w:val="10"/>
    <w:rPr>
      <w:sz w:val="48"/>
      <w:szCs w:val="48"/>
    </w:rPr>
  </w:style>
  <w:style w:type="paragraph" w:styleId="435">
    <w:name w:val="Subtitle"/>
    <w:basedOn w:val="583"/>
    <w:next w:val="583"/>
    <w:link w:val="436"/>
    <w:qFormat/>
    <w:uiPriority w:val="11"/>
    <w:rPr>
      <w:sz w:val="24"/>
      <w:szCs w:val="24"/>
    </w:rPr>
    <w:pPr>
      <w:spacing w:after="200" w:before="200"/>
    </w:pPr>
  </w:style>
  <w:style w:type="character" w:styleId="436">
    <w:name w:val="Subtitle Char"/>
    <w:basedOn w:val="585"/>
    <w:link w:val="435"/>
    <w:uiPriority w:val="11"/>
    <w:rPr>
      <w:sz w:val="24"/>
      <w:szCs w:val="24"/>
    </w:rPr>
  </w:style>
  <w:style w:type="paragraph" w:styleId="437">
    <w:name w:val="Quote"/>
    <w:basedOn w:val="583"/>
    <w:next w:val="583"/>
    <w:link w:val="438"/>
    <w:qFormat/>
    <w:uiPriority w:val="29"/>
    <w:rPr>
      <w:i/>
    </w:rPr>
    <w:pPr>
      <w:ind w:left="720" w:right="720"/>
    </w:pPr>
  </w:style>
  <w:style w:type="character" w:styleId="438">
    <w:name w:val="Quote Char"/>
    <w:link w:val="437"/>
    <w:uiPriority w:val="29"/>
    <w:rPr>
      <w:i/>
    </w:rPr>
  </w:style>
  <w:style w:type="paragraph" w:styleId="439">
    <w:name w:val="Intense Quote"/>
    <w:basedOn w:val="583"/>
    <w:next w:val="583"/>
    <w:link w:val="44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0">
    <w:name w:val="Intense Quote Char"/>
    <w:link w:val="439"/>
    <w:uiPriority w:val="30"/>
    <w:rPr>
      <w:i/>
    </w:rPr>
  </w:style>
  <w:style w:type="paragraph" w:styleId="441">
    <w:name w:val="Header"/>
    <w:basedOn w:val="583"/>
    <w:link w:val="44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2">
    <w:name w:val="Header Char"/>
    <w:basedOn w:val="585"/>
    <w:link w:val="441"/>
    <w:uiPriority w:val="99"/>
  </w:style>
  <w:style w:type="paragraph" w:styleId="443">
    <w:name w:val="Footer"/>
    <w:basedOn w:val="583"/>
    <w:link w:val="44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4">
    <w:name w:val="Footer Char"/>
    <w:basedOn w:val="585"/>
    <w:link w:val="443"/>
    <w:uiPriority w:val="99"/>
  </w:style>
  <w:style w:type="table" w:styleId="445">
    <w:name w:val="Table Grid Light"/>
    <w:basedOn w:val="58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6">
    <w:name w:val="Plain Table 1"/>
    <w:basedOn w:val="58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7">
    <w:name w:val="Plain Table 2"/>
    <w:basedOn w:val="58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8">
    <w:name w:val="Plain Table 3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9">
    <w:name w:val="Plain Table 4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>
    <w:name w:val="Plain Table 5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1">
    <w:name w:val="Grid Table 1 Light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>
    <w:name w:val="Grid Table 1 Light - Accent 1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Grid Table 1 Light - Accent 2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>
    <w:name w:val="Grid Table 1 Light - Accent 3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>
    <w:name w:val="Grid Table 1 Light - Accent 4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>
    <w:name w:val="Grid Table 1 Light - Accent 5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>
    <w:name w:val="Grid Table 1 Light - Accent 6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>
    <w:name w:val="Grid Table 2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2 - Accent 1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2 - Accent 2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2 - Accent 3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2 - Accent 4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2 - Accent 5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2 - Accent 6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3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3 - Accent 1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3 - Accent 2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3 - Accent 3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3 - Accent 4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3 - Accent 5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3 - Accent 6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4"/>
    <w:basedOn w:val="5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3">
    <w:name w:val="Grid Table 4 - Accent 1"/>
    <w:basedOn w:val="5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74">
    <w:name w:val="Grid Table 4 - Accent 2"/>
    <w:basedOn w:val="5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75">
    <w:name w:val="Grid Table 4 - Accent 3"/>
    <w:basedOn w:val="5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76">
    <w:name w:val="Grid Table 4 - Accent 4"/>
    <w:basedOn w:val="5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77">
    <w:name w:val="Grid Table 4 - Accent 5"/>
    <w:basedOn w:val="5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78">
    <w:name w:val="Grid Table 4 - Accent 6"/>
    <w:basedOn w:val="5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79">
    <w:name w:val="Grid Table 5 Dark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80">
    <w:name w:val="Grid Table 5 Dark- Accent 1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81">
    <w:name w:val="Grid Table 5 Dark - Accent 2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82">
    <w:name w:val="Grid Table 5 Dark - Accent 3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83">
    <w:name w:val="Grid Table 5 Dark- Accent 4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84">
    <w:name w:val="Grid Table 5 Dark - Accent 5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85">
    <w:name w:val="Grid Table 5 Dark - Accent 6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86">
    <w:name w:val="Grid Table 6 Colorful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87">
    <w:name w:val="Grid Table 6 Colorful - Accent 1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88">
    <w:name w:val="Grid Table 6 Colorful - Accent 2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89">
    <w:name w:val="Grid Table 6 Colorful - Accent 3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90">
    <w:name w:val="Grid Table 6 Colorful - Accent 4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91">
    <w:name w:val="Grid Table 6 Colorful - Accent 5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92">
    <w:name w:val="Grid Table 6 Colorful - Accent 6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93">
    <w:name w:val="Grid Table 7 Colorful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7 Colorful - Accent 1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7 Colorful - Accent 2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7 Colorful - Accent 3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7 Colorful - Accent 4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7 Colorful - Accent 5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7 Colorful - Accent 6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List Table 1 Light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List Table 1 Light - Accent 1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List Table 1 Light - Accent 2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List Table 1 Light - Accent 3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List Table 1 Light - Accent 4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List Table 1 Light - Accent 5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List Table 1 Light - Accent 6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List Table 2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08">
    <w:name w:val="List Table 2 - Accent 1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09">
    <w:name w:val="List Table 2 - Accent 2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10">
    <w:name w:val="List Table 2 - Accent 3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11">
    <w:name w:val="List Table 2 - Accent 4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12">
    <w:name w:val="List Table 2 - Accent 5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13">
    <w:name w:val="List Table 2 - Accent 6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14">
    <w:name w:val="List Table 3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3 - Accent 1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3 - Accent 2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3 - Accent 3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3 - Accent 4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3 - Accent 5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List Table 3 - Accent 6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4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4 - Accent 1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4 - Accent 2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4 - Accent 3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List Table 4 - Accent 4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List Table 4 - Accent 5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List Table 4 - Accent 6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List Table 5 Dark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9">
    <w:name w:val="List Table 5 Dark - Accent 1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0">
    <w:name w:val="List Table 5 Dark - Accent 2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1">
    <w:name w:val="List Table 5 Dark - Accent 3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2">
    <w:name w:val="List Table 5 Dark - Accent 4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3">
    <w:name w:val="List Table 5 Dark - Accent 5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4">
    <w:name w:val="List Table 5 Dark - Accent 6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5">
    <w:name w:val="List Table 6 Colorful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36">
    <w:name w:val="List Table 6 Colorful - Accent 1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37">
    <w:name w:val="List Table 6 Colorful - Accent 2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38">
    <w:name w:val="List Table 6 Colorful - Accent 3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39">
    <w:name w:val="List Table 6 Colorful - Accent 4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40">
    <w:name w:val="List Table 6 Colorful - Accent 5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41">
    <w:name w:val="List Table 6 Colorful - Accent 6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42">
    <w:name w:val="List Table 7 Colorful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43">
    <w:name w:val="List Table 7 Colorful - Accent 1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44">
    <w:name w:val="List Table 7 Colorful - Accent 2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45">
    <w:name w:val="List Table 7 Colorful - Accent 3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46">
    <w:name w:val="List Table 7 Colorful - Accent 4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47">
    <w:name w:val="List Table 7 Colorful - Accent 5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48">
    <w:name w:val="List Table 7 Colorful - Accent 6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49">
    <w:name w:val="Lined - Accent"/>
    <w:basedOn w:val="5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50">
    <w:name w:val="Lined - Accent 1"/>
    <w:basedOn w:val="5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51">
    <w:name w:val="Lined - Accent 2"/>
    <w:basedOn w:val="5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2">
    <w:name w:val="Lined - Accent 3"/>
    <w:basedOn w:val="5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3">
    <w:name w:val="Lined - Accent 4"/>
    <w:basedOn w:val="5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4">
    <w:name w:val="Lined - Accent 5"/>
    <w:basedOn w:val="5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5">
    <w:name w:val="Lined - Accent 6"/>
    <w:basedOn w:val="5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6">
    <w:name w:val="Bordered &amp; Lined - Accent"/>
    <w:basedOn w:val="5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57">
    <w:name w:val="Bordered &amp; Lined - Accent 1"/>
    <w:basedOn w:val="5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58">
    <w:name w:val="Bordered &amp; Lined - Accent 2"/>
    <w:basedOn w:val="5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9">
    <w:name w:val="Bordered &amp; Lined - Accent 3"/>
    <w:basedOn w:val="5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60">
    <w:name w:val="Bordered &amp; Lined - Accent 4"/>
    <w:basedOn w:val="5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61">
    <w:name w:val="Bordered &amp; Lined - Accent 5"/>
    <w:basedOn w:val="5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62">
    <w:name w:val="Bordered &amp; Lined - Accent 6"/>
    <w:basedOn w:val="5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63">
    <w:name w:val="Bordered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64">
    <w:name w:val="Bordered - Accent 1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65">
    <w:name w:val="Bordered - Accent 2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66">
    <w:name w:val="Bordered - Accent 3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67">
    <w:name w:val="Bordered - Accent 4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68">
    <w:name w:val="Bordered - Accent 5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69">
    <w:name w:val="Bordered - Accent 6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70">
    <w:name w:val="footnote text"/>
    <w:basedOn w:val="583"/>
    <w:link w:val="571"/>
    <w:uiPriority w:val="99"/>
    <w:semiHidden/>
    <w:unhideWhenUsed/>
    <w:rPr>
      <w:sz w:val="18"/>
    </w:rPr>
    <w:pPr>
      <w:spacing w:lineRule="auto" w:line="240" w:after="40"/>
    </w:pPr>
  </w:style>
  <w:style w:type="character" w:styleId="571">
    <w:name w:val="Footnote Text Char"/>
    <w:link w:val="570"/>
    <w:uiPriority w:val="99"/>
    <w:rPr>
      <w:sz w:val="18"/>
    </w:rPr>
  </w:style>
  <w:style w:type="character" w:styleId="572">
    <w:name w:val="footnote reference"/>
    <w:basedOn w:val="585"/>
    <w:uiPriority w:val="99"/>
    <w:unhideWhenUsed/>
    <w:rPr>
      <w:vertAlign w:val="superscript"/>
    </w:rPr>
  </w:style>
  <w:style w:type="paragraph" w:styleId="573">
    <w:name w:val="toc 1"/>
    <w:basedOn w:val="583"/>
    <w:next w:val="583"/>
    <w:uiPriority w:val="39"/>
    <w:unhideWhenUsed/>
    <w:pPr>
      <w:ind w:left="0" w:right="0" w:firstLine="0"/>
      <w:spacing w:after="57"/>
    </w:pPr>
  </w:style>
  <w:style w:type="paragraph" w:styleId="574">
    <w:name w:val="toc 2"/>
    <w:basedOn w:val="583"/>
    <w:next w:val="583"/>
    <w:uiPriority w:val="39"/>
    <w:unhideWhenUsed/>
    <w:pPr>
      <w:ind w:left="283" w:right="0" w:firstLine="0"/>
      <w:spacing w:after="57"/>
    </w:pPr>
  </w:style>
  <w:style w:type="paragraph" w:styleId="575">
    <w:name w:val="toc 3"/>
    <w:basedOn w:val="583"/>
    <w:next w:val="583"/>
    <w:uiPriority w:val="39"/>
    <w:unhideWhenUsed/>
    <w:pPr>
      <w:ind w:left="567" w:right="0" w:firstLine="0"/>
      <w:spacing w:after="57"/>
    </w:pPr>
  </w:style>
  <w:style w:type="paragraph" w:styleId="576">
    <w:name w:val="toc 4"/>
    <w:basedOn w:val="583"/>
    <w:next w:val="583"/>
    <w:uiPriority w:val="39"/>
    <w:unhideWhenUsed/>
    <w:pPr>
      <w:ind w:left="850" w:right="0" w:firstLine="0"/>
      <w:spacing w:after="57"/>
    </w:pPr>
  </w:style>
  <w:style w:type="paragraph" w:styleId="577">
    <w:name w:val="toc 5"/>
    <w:basedOn w:val="583"/>
    <w:next w:val="583"/>
    <w:uiPriority w:val="39"/>
    <w:unhideWhenUsed/>
    <w:pPr>
      <w:ind w:left="1134" w:right="0" w:firstLine="0"/>
      <w:spacing w:after="57"/>
    </w:pPr>
  </w:style>
  <w:style w:type="paragraph" w:styleId="578">
    <w:name w:val="toc 6"/>
    <w:basedOn w:val="583"/>
    <w:next w:val="583"/>
    <w:uiPriority w:val="39"/>
    <w:unhideWhenUsed/>
    <w:pPr>
      <w:ind w:left="1417" w:right="0" w:firstLine="0"/>
      <w:spacing w:after="57"/>
    </w:pPr>
  </w:style>
  <w:style w:type="paragraph" w:styleId="579">
    <w:name w:val="toc 7"/>
    <w:basedOn w:val="583"/>
    <w:next w:val="583"/>
    <w:uiPriority w:val="39"/>
    <w:unhideWhenUsed/>
    <w:pPr>
      <w:ind w:left="1701" w:right="0" w:firstLine="0"/>
      <w:spacing w:after="57"/>
    </w:pPr>
  </w:style>
  <w:style w:type="paragraph" w:styleId="580">
    <w:name w:val="toc 8"/>
    <w:basedOn w:val="583"/>
    <w:next w:val="583"/>
    <w:uiPriority w:val="39"/>
    <w:unhideWhenUsed/>
    <w:pPr>
      <w:ind w:left="1984" w:right="0" w:firstLine="0"/>
      <w:spacing w:after="57"/>
    </w:pPr>
  </w:style>
  <w:style w:type="paragraph" w:styleId="581">
    <w:name w:val="toc 9"/>
    <w:basedOn w:val="583"/>
    <w:next w:val="583"/>
    <w:uiPriority w:val="39"/>
    <w:unhideWhenUsed/>
    <w:pPr>
      <w:ind w:left="2268" w:right="0" w:firstLine="0"/>
      <w:spacing w:after="57"/>
    </w:pPr>
  </w:style>
  <w:style w:type="paragraph" w:styleId="582">
    <w:name w:val="TOC Heading"/>
    <w:uiPriority w:val="39"/>
    <w:unhideWhenUsed/>
  </w:style>
  <w:style w:type="paragraph" w:styleId="583" w:default="1">
    <w:name w:val="Normal"/>
    <w:qFormat/>
  </w:style>
  <w:style w:type="paragraph" w:styleId="584">
    <w:name w:val="Heading 1"/>
    <w:basedOn w:val="583"/>
    <w:next w:val="583"/>
    <w:link w:val="591"/>
    <w:qFormat/>
    <w:uiPriority w:val="99"/>
    <w:rPr>
      <w:rFonts w:ascii="Times New Roman" w:hAnsi="Times New Roman" w:cs="Times New Roman" w:eastAsia="Times New Roman"/>
      <w:b/>
      <w:sz w:val="32"/>
      <w:szCs w:val="20"/>
      <w:lang w:val="uk-UA" w:eastAsia="ru-RU"/>
    </w:rPr>
    <w:pPr>
      <w:jc w:val="center"/>
      <w:keepNext/>
      <w:spacing w:lineRule="auto" w:line="240" w:after="0"/>
      <w:outlineLvl w:val="0"/>
    </w:pPr>
  </w:style>
  <w:style w:type="character" w:styleId="585" w:default="1">
    <w:name w:val="Default Paragraph Font"/>
    <w:uiPriority w:val="1"/>
    <w:semiHidden/>
    <w:unhideWhenUsed/>
  </w:style>
  <w:style w:type="table" w:styleId="58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87" w:default="1">
    <w:name w:val="No List"/>
    <w:uiPriority w:val="99"/>
    <w:semiHidden/>
    <w:unhideWhenUsed/>
  </w:style>
  <w:style w:type="character" w:styleId="588">
    <w:name w:val="Hyperlink"/>
    <w:basedOn w:val="585"/>
    <w:uiPriority w:val="99"/>
    <w:semiHidden/>
    <w:unhideWhenUsed/>
    <w:rPr>
      <w:color w:val="0000FF"/>
      <w:u w:val="single"/>
    </w:rPr>
  </w:style>
  <w:style w:type="paragraph" w:styleId="589">
    <w:name w:val="List Paragraph"/>
    <w:basedOn w:val="583"/>
    <w:qFormat/>
    <w:uiPriority w:val="1"/>
    <w:pPr>
      <w:contextualSpacing w:val="true"/>
      <w:ind w:left="720"/>
    </w:pPr>
  </w:style>
  <w:style w:type="character" w:styleId="590">
    <w:name w:val="Strong"/>
    <w:basedOn w:val="585"/>
    <w:qFormat/>
    <w:uiPriority w:val="22"/>
    <w:rPr>
      <w:b/>
      <w:bCs/>
    </w:rPr>
  </w:style>
  <w:style w:type="character" w:styleId="591" w:customStyle="1">
    <w:name w:val="Заголовок 1 Знак"/>
    <w:basedOn w:val="585"/>
    <w:link w:val="584"/>
    <w:uiPriority w:val="1"/>
    <w:rPr>
      <w:rFonts w:ascii="Times New Roman" w:hAnsi="Times New Roman" w:cs="Times New Roman" w:eastAsia="Times New Roman"/>
      <w:b/>
      <w:sz w:val="32"/>
      <w:szCs w:val="20"/>
      <w:lang w:val="uk-UA" w:eastAsia="ru-RU"/>
    </w:rPr>
  </w:style>
  <w:style w:type="paragraph" w:styleId="592" w:customStyle="1">
    <w:name w:val="Титулка"/>
    <w:basedOn w:val="583"/>
    <w:uiPriority w:val="99"/>
    <w:rPr>
      <w:rFonts w:ascii="Times New Roman" w:hAnsi="Times New Roman" w:cs="Mangal" w:eastAsia="Times New Roman"/>
      <w:b/>
      <w:sz w:val="24"/>
      <w:szCs w:val="24"/>
      <w:lang w:val="uk-UA" w:bidi="hi-IN" w:eastAsia="hi-IN"/>
    </w:rPr>
    <w:pPr>
      <w:jc w:val="center"/>
      <w:spacing w:lineRule="auto" w:line="240" w:after="120"/>
      <w:widowControl w:val="off"/>
    </w:pPr>
  </w:style>
  <w:style w:type="paragraph" w:styleId="593">
    <w:name w:val="Balloon Text"/>
    <w:basedOn w:val="583"/>
    <w:link w:val="59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94" w:customStyle="1">
    <w:name w:val="Текст выноски Знак"/>
    <w:basedOn w:val="585"/>
    <w:link w:val="593"/>
    <w:uiPriority w:val="99"/>
    <w:semiHidden/>
    <w:rPr>
      <w:rFonts w:ascii="Tahoma" w:hAnsi="Tahoma" w:cs="Tahoma"/>
      <w:sz w:val="16"/>
      <w:szCs w:val="16"/>
    </w:rPr>
  </w:style>
  <w:style w:type="paragraph" w:styleId="595" w:customStyle="1">
    <w:name w:val="Heading 1"/>
    <w:basedOn w:val="583"/>
    <w:next w:val="583"/>
    <w:qFormat/>
    <w:uiPriority w:val="1"/>
    <w:rPr>
      <w:rFonts w:ascii="Cambria" w:hAnsi="Cambria" w:cs="Cambria" w:eastAsia="Cambria"/>
      <w:b/>
      <w:bCs/>
      <w:color w:val="365F91" w:themeColor="accent1" w:themeShade="BF"/>
      <w:sz w:val="28"/>
      <w:szCs w:val="28"/>
      <w:lang w:val="en-US" w:bidi="en-US"/>
    </w:rPr>
    <w:pPr>
      <w:keepLines/>
      <w:keepNext/>
      <w:spacing w:after="0" w:before="480"/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table" w:styleId="596">
    <w:name w:val="Table Grid"/>
    <w:basedOn w:val="586"/>
    <w:uiPriority w:val="59"/>
    <w:rPr>
      <w:rFonts w:ascii="Calibri" w:hAnsi="Calibri" w:cs="Calibri" w:eastAsia="Calibri"/>
    </w:rPr>
    <w:pPr>
      <w:spacing w:lineRule="auto" w:line="240" w:after="0"/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597" w:customStyle="1">
    <w:name w:val="Table Paragraph"/>
    <w:basedOn w:val="583"/>
    <w:qFormat/>
    <w:uiPriority w:val="1"/>
    <w:rPr>
      <w:rFonts w:ascii="Arial" w:hAnsi="Arial" w:cs="Arial" w:eastAsia="Arial"/>
      <w:lang w:val="uk-UA" w:bidi="uk-UA" w:eastAsia="uk-UA"/>
    </w:rPr>
    <w:pPr>
      <w:spacing w:lineRule="auto" w:line="240" w:after="0"/>
      <w:shd w:val="nil" w:color="auto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98" w:customStyle="1">
    <w:name w:val="Heading 3"/>
    <w:basedOn w:val="583"/>
    <w:next w:val="583"/>
    <w:link w:val="599"/>
    <w:qFormat/>
    <w:uiPriority w:val="1"/>
    <w:unhideWhenUsed/>
    <w:rPr>
      <w:rFonts w:ascii="Cambria" w:hAnsi="Cambria" w:cs="Cambria" w:eastAsia="Cambria"/>
      <w:b/>
      <w:bCs/>
      <w:color w:val="4F81BD" w:themeColor="accent1"/>
      <w:lang w:val="en-US" w:bidi="en-US"/>
    </w:rPr>
    <w:pPr>
      <w:keepLines/>
      <w:keepNext/>
      <w:spacing w:after="0" w:before="200"/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2"/>
    </w:pPr>
  </w:style>
  <w:style w:type="character" w:styleId="599" w:customStyle="1">
    <w:name w:val="Заголовок 3 Знак"/>
    <w:basedOn w:val="585"/>
    <w:link w:val="598"/>
    <w:uiPriority w:val="1"/>
    <w:rPr>
      <w:rFonts w:ascii="Cambria" w:hAnsi="Cambria" w:cs="Cambria" w:eastAsia="Cambria"/>
      <w:b/>
      <w:bCs/>
      <w:color w:val="4F81BD" w:themeColor="accent1"/>
      <w:shd w:val="nil" w:color="auto" w:fill="FFFFFF"/>
      <w:lang w:val="en-US" w:bidi="en-US"/>
    </w:rPr>
  </w:style>
  <w:style w:type="paragraph" w:styleId="600" w:customStyle="1">
    <w:name w:val="rvps2"/>
    <w:basedOn w:val="583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hyperlink" Target="https://ips.ligazakon.net/document/view/MR191383?ed=2019_12_19&amp;an=8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СТАЛЬНИЧЕНКО Юрій Валерійович</cp:lastModifiedBy>
  <cp:revision>216</cp:revision>
  <dcterms:created xsi:type="dcterms:W3CDTF">2020-06-03T11:22:00Z</dcterms:created>
  <dcterms:modified xsi:type="dcterms:W3CDTF">2020-08-31T08:55:35Z</dcterms:modified>
</cp:coreProperties>
</file>